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E278B5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E278B5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E278B5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E278B5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255082D7" w:rsidR="003A7CA2" w:rsidRPr="002314C6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9C7D4A">
              <w:rPr>
                <w:rFonts w:ascii="標楷體" w:hAnsi="標楷體" w:cs="Arial" w:hint="eastAsia"/>
                <w:szCs w:val="24"/>
              </w:rPr>
              <w:t>2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2314C6">
              <w:rPr>
                <w:rFonts w:ascii="標楷體" w:hAnsi="標楷體" w:hint="eastAsia"/>
                <w:color w:val="000000"/>
                <w:szCs w:val="24"/>
              </w:rPr>
              <w:t>13:30~17</w:t>
            </w:r>
            <w:r w:rsidR="002314C6">
              <w:rPr>
                <w:rFonts w:ascii="標楷體" w:hAnsi="標楷體"/>
                <w:color w:val="000000"/>
                <w:szCs w:val="24"/>
              </w:rPr>
              <w:t>:</w:t>
            </w:r>
            <w:r w:rsidR="002314C6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2314C6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E278B5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E278B5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E278B5" w:rsidRPr="009871C7" w14:paraId="0FFDFD60" w14:textId="77777777" w:rsidTr="00E278B5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E278B5" w:rsidRPr="009871C7" w:rsidRDefault="00E278B5" w:rsidP="00E278B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E278B5" w:rsidRPr="009871C7" w:rsidRDefault="00E278B5" w:rsidP="00E278B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255DA2A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EB33E45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0330E06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07D631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BF450CA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497D5BE9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9871C7" w14:paraId="64D9624A" w14:textId="77777777" w:rsidTr="00E718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5E27C98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457D35B4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D65C08F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413FC5E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1DF28DD8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B12F784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9DFB43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9871C7" w14:paraId="54E62D8A" w14:textId="77777777" w:rsidTr="00E718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2F4167A9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5C0D60BE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62FF0B78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8CDF8A0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1656F68D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32B99D20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CAB33ED" w:rsidR="00E278B5" w:rsidRPr="00195A26" w:rsidRDefault="00E278B5" w:rsidP="00E278B5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9871C7" w14:paraId="4BB4710B" w14:textId="77777777" w:rsidTr="00E718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EF3C2C6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883D7D6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AD57D4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63FF9DB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5FC31291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F611D40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BAC0028" w:rsidR="00E278B5" w:rsidRPr="00195A26" w:rsidRDefault="00E278B5" w:rsidP="00E278B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9871C7" w14:paraId="4AAB32AE" w14:textId="77777777" w:rsidTr="00E718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5EF6514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38A4A11B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4ED9169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3166B054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1799D81A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053E7B58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E3D0E2C" w:rsidR="00E278B5" w:rsidRPr="00195A26" w:rsidRDefault="00E278B5" w:rsidP="00E278B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9871C7" w14:paraId="00DFA645" w14:textId="77777777" w:rsidTr="00E718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209CF65B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6898C0A8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5710993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575B89DD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</w:tcPr>
          <w:p w14:paraId="1CC0DAFD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E278B5" w:rsidRPr="00195A26" w:rsidRDefault="00E278B5" w:rsidP="00E278B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9871C7" w14:paraId="32BFE5B6" w14:textId="77777777" w:rsidTr="00E278B5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E278B5" w:rsidRPr="009871C7" w:rsidRDefault="00E278B5" w:rsidP="00E278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CEE765B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533F396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E278B5" w:rsidRDefault="00E278B5" w:rsidP="00E278B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E278B5" w:rsidRPr="009871C7" w:rsidRDefault="00E278B5" w:rsidP="00E278B5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E278B5" w:rsidRPr="009871C7" w:rsidRDefault="00E278B5" w:rsidP="00E278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E278B5" w:rsidRPr="009871C7" w:rsidRDefault="00E278B5" w:rsidP="00E278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E278B5" w:rsidRPr="00195A26" w:rsidRDefault="00E278B5" w:rsidP="00E278B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E278B5" w:rsidRPr="009871C7" w:rsidRDefault="00E278B5" w:rsidP="00E278B5">
            <w:pPr>
              <w:jc w:val="center"/>
              <w:rPr>
                <w:rFonts w:ascii="標楷體" w:hAnsi="標楷體"/>
              </w:rPr>
            </w:pPr>
          </w:p>
        </w:tc>
      </w:tr>
      <w:tr w:rsidR="00E278B5" w:rsidRPr="00FA061C" w14:paraId="03EC9012" w14:textId="77777777" w:rsidTr="00E278B5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E278B5" w:rsidRDefault="00E278B5" w:rsidP="00E278B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42AB17D" w14:textId="1E04FCFA" w:rsidR="00E278B5" w:rsidRPr="009C7D4A" w:rsidRDefault="00E278B5" w:rsidP="00E278B5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顧客明細資料查詢</w:t>
            </w:r>
          </w:p>
          <w:p w14:paraId="74E7C8B2" w14:textId="0A89D0EC" w:rsidR="00E278B5" w:rsidRPr="009C7D4A" w:rsidRDefault="00E278B5" w:rsidP="00E278B5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L1101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顧客基本資料維護-自然人</w:t>
            </w:r>
          </w:p>
          <w:p w14:paraId="7B0B4F05" w14:textId="62E897C1" w:rsidR="00E278B5" w:rsidRPr="009C7D4A" w:rsidRDefault="00E278B5" w:rsidP="00E278B5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(3).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L1103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顧客基本資料變更-自然人</w:t>
            </w:r>
          </w:p>
          <w:p w14:paraId="63CF3577" w14:textId="00FE1FDF" w:rsidR="00E278B5" w:rsidRDefault="00E278B5" w:rsidP="00E278B5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L1905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顧客聯絡電話查詢</w:t>
            </w:r>
          </w:p>
          <w:p w14:paraId="7BE3647B" w14:textId="30195B0C" w:rsidR="00E278B5" w:rsidRPr="009C7D4A" w:rsidRDefault="00E278B5" w:rsidP="00E278B5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L1105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顧客聯絡電話維護</w:t>
            </w:r>
          </w:p>
          <w:p w14:paraId="105E6D3F" w14:textId="51A009DE" w:rsidR="00E278B5" w:rsidRDefault="00E278B5" w:rsidP="00E278B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5736"/>
              <w:gridCol w:w="1414"/>
            </w:tblGrid>
            <w:tr w:rsidR="00E278B5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E278B5" w:rsidRPr="005F7978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E278B5" w:rsidRPr="005F7978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E278B5" w:rsidRPr="005F7978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E278B5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44EC8058" w:rsidR="00E278B5" w:rsidRPr="005F7978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L1001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30BEF631" w:rsidR="00E278B5" w:rsidRDefault="00E278B5" w:rsidP="00E278B5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其他類似查詢交易,比照辦理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]L1001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已調整</w:t>
                  </w:r>
                </w:p>
                <w:p w14:paraId="0F299D69" w14:textId="5CBD6D62" w:rsidR="00E278B5" w:rsidRPr="00A56B46" w:rsidRDefault="00E278B5" w:rsidP="00E278B5">
                  <w:p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56B46">
                    <w:rPr>
                      <w:rFonts w:ascii="標楷體" w:hAnsi="標楷體"/>
                      <w:noProof/>
                      <w:kern w:val="2"/>
                      <w:szCs w:val="22"/>
                    </w:rPr>
                    <w:drawing>
                      <wp:inline distT="0" distB="0" distL="0" distR="0" wp14:anchorId="7CCA7844" wp14:editId="7E74D2F1">
                        <wp:extent cx="3499485" cy="53975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468AC4DD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E278B5" w:rsidRPr="005F7978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E278B5" w:rsidRPr="005F7978" w14:paraId="02A2DCB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E07B66B" w14:textId="14B6D71B" w:rsidR="00E278B5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L1101 </w:t>
                  </w:r>
                  <w:r w:rsidRPr="007910A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289ECC" w14:textId="51B9CB9B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員工代號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C34357C" w14:textId="77777777" w:rsidR="00E278B5" w:rsidRDefault="00E278B5" w:rsidP="00E278B5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當[客戶別]值為"01"(員工)時,必須輸入[員工代號],並檢查[員工檔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dEmp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]資料必須存在,且為在職員工</w:t>
                  </w:r>
                </w:p>
                <w:p w14:paraId="5FC4E2A8" w14:textId="658CBFC8" w:rsidR="00E278B5" w:rsidRPr="00DB25E4" w:rsidRDefault="00E278B5" w:rsidP="00E278B5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(2).其他[客戶別]值,隱藏欄位</w:t>
                  </w:r>
                </w:p>
                <w:p w14:paraId="48E1C3DC" w14:textId="09639C4A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1A88A2C" w14:textId="08A292FC" w:rsidR="00E278B5" w:rsidRDefault="00E278B5" w:rsidP="00E278B5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34B564A2" w14:textId="264B4537" w:rsidR="00E278B5" w:rsidRDefault="00E278B5" w:rsidP="00E278B5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是否控制不可為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待與</w:t>
                  </w:r>
                  <w:r w:rsidRPr="007910A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5EB1271D" w14:textId="77777777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[國籍]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欄位處理如下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A4D6BA3" w14:textId="77777777" w:rsidR="00E278B5" w:rsidRDefault="00E278B5" w:rsidP="00E278B5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預設為"TW",不可修改</w:t>
                  </w:r>
                </w:p>
                <w:p w14:paraId="30AB1A0F" w14:textId="78911867" w:rsidR="00E278B5" w:rsidRDefault="00E278B5" w:rsidP="00E278B5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轉換時"自然人"資料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改值為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有異動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"自然人"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並陳述於"轉換資調值異動報表"[廠商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]列入資料轉換共同處理事項</w:t>
                  </w:r>
                </w:p>
                <w:p w14:paraId="0A446E54" w14:textId="3784E5E2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073DF22" w14:textId="4502C0F6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5B16959" w14:textId="368FE8D0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48748AC3" w14:textId="6C8036C4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39FC27F1" w14:textId="02DF681C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951EDF" w14:textId="7727B0B8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29FF3F5F" w14:textId="7E59E2D5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修正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無法正確顯示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輸入提示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問題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因展示過程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有放大瀏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器顯示比例造成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會適度調整放大訊息顯示區因應</w:t>
                  </w:r>
                </w:p>
                <w:p w14:paraId="27EDB536" w14:textId="77777777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53A597E1" w14:textId="2D94E836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教育程度代號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449D3D6D" w14:textId="050494B2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自有住宅有無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4C2115E5" w14:textId="77777777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</w:t>
                  </w:r>
                  <w:proofErr w:type="gramStart"/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準</w:t>
                  </w:r>
                  <w:proofErr w:type="gramEnd"/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於目前顯示狀態後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資訊</w:t>
                  </w:r>
                </w:p>
                <w:p w14:paraId="74406D9C" w14:textId="77777777" w:rsidR="00E278B5" w:rsidRPr="008573AF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是否為金控類似準利害關係人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由吳承憲提供顯示邏</w:t>
                  </w:r>
                  <w:r>
                    <w:rPr>
                      <w:rFonts w:ascii="標楷體" w:hAnsi="標楷體" w:hint="eastAsia"/>
                    </w:rPr>
                    <w:t>輯</w:t>
                  </w:r>
                </w:p>
                <w:p w14:paraId="48EDFD57" w14:textId="6DCE98E9" w:rsidR="00E278B5" w:rsidRPr="005779D1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吳承憲提供</w:t>
                  </w:r>
                  <w:proofErr w:type="spellStart"/>
                  <w:r>
                    <w:rPr>
                      <w:rFonts w:ascii="標楷體" w:hAnsi="標楷體" w:hint="eastAsia"/>
                    </w:rPr>
                    <w:t>eLoan</w:t>
                  </w:r>
                  <w:proofErr w:type="spellEnd"/>
                  <w:r>
                    <w:rPr>
                      <w:rFonts w:ascii="標楷體" w:hAnsi="標楷體" w:hint="eastAsia"/>
                      <w:lang w:eastAsia="zh-HK"/>
                    </w:rPr>
                    <w:t>輸入控制供設計參考</w:t>
                  </w:r>
                </w:p>
              </w:tc>
              <w:tc>
                <w:tcPr>
                  <w:tcW w:w="1418" w:type="dxa"/>
                  <w:vAlign w:val="center"/>
                </w:tcPr>
                <w:p w14:paraId="1CA79E95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57B8B93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6D1CBD9B" w14:textId="4FA67140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E278B5" w:rsidRPr="005F7978" w14:paraId="1E09D5C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9357A7E" w14:textId="77777777" w:rsidR="00E278B5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3A91FAC" w14:textId="4DFD80D1" w:rsidR="00E278B5" w:rsidRDefault="00E278B5" w:rsidP="00E278B5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</w:p>
              </w:tc>
              <w:tc>
                <w:tcPr>
                  <w:tcW w:w="1418" w:type="dxa"/>
                  <w:vAlign w:val="center"/>
                </w:tcPr>
                <w:p w14:paraId="5A30D28A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</w:tc>
            </w:tr>
            <w:tr w:rsidR="00E278B5" w:rsidRPr="005F7978" w14:paraId="393A27A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B17103C" w14:textId="734B971B" w:rsidR="00E278B5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8573AF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L1103 顧客基本資料變更-自然人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E55BF4" w14:textId="77777777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員工代號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D05664C" w14:textId="77777777" w:rsidR="00E278B5" w:rsidRDefault="00E278B5" w:rsidP="00E278B5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當[客戶別]值為"01"(員工)時,必須輸入[員工代號],並檢查[員工檔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dEmp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]資料必須存在,且為在職員工</w:t>
                  </w:r>
                </w:p>
                <w:p w14:paraId="33325677" w14:textId="77777777" w:rsidR="00E278B5" w:rsidRPr="00DB25E4" w:rsidRDefault="00E278B5" w:rsidP="00E278B5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(2).其他[客戶別]值,隱藏欄位</w:t>
                  </w:r>
                </w:p>
                <w:p w14:paraId="5F1E6E6B" w14:textId="77777777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D7EEBD1" w14:textId="77777777" w:rsidR="00E278B5" w:rsidRDefault="00E278B5" w:rsidP="00E278B5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79298ECF" w14:textId="77777777" w:rsidR="00E278B5" w:rsidRDefault="00E278B5" w:rsidP="00E278B5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是否控制不可為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待與</w:t>
                  </w:r>
                  <w:r w:rsidRPr="007910A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328E3A07" w14:textId="67806EF7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[國籍]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改為不可修改欄位</w:t>
                  </w:r>
                </w:p>
                <w:p w14:paraId="452DF86F" w14:textId="7B6F1572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3EC003FF" w14:textId="77777777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676619B0" w14:textId="77777777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52F45CCA" w14:textId="5D2E3B43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1A45547" w14:textId="072DC42C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233F9BD" w14:textId="140EC654" w:rsidR="00E278B5" w:rsidRPr="00201730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039881C9" w14:textId="77777777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CB7ABAD" w14:textId="77777777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7D41D367" w14:textId="234E2BA1" w:rsidR="00E278B5" w:rsidRDefault="00E278B5" w:rsidP="00E278B5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754A5C04" w14:textId="77777777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3ED6D99D" w14:textId="2FE51A3C" w:rsidR="00E278B5" w:rsidRDefault="00E278B5" w:rsidP="00E278B5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6696FCE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05F30B3B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536733C6" w14:textId="58027E4B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E278B5" w:rsidRPr="005F7978" w14:paraId="0128E39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72361F4" w14:textId="1ABA1D32" w:rsidR="00E278B5" w:rsidRPr="008573AF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L1105 </w:t>
                  </w:r>
                  <w:r w:rsidRPr="00A4130F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顧客聯絡電話維護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4276BD" w14:textId="1D1E32A7" w:rsidR="00E278B5" w:rsidRDefault="00E278B5" w:rsidP="00E278B5">
                  <w:pPr>
                    <w:numPr>
                      <w:ilvl w:val="0"/>
                      <w:numId w:val="43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異動原因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代碼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請吳承憲提供</w:t>
                  </w:r>
                </w:p>
                <w:p w14:paraId="6371A8C0" w14:textId="5A753F56" w:rsidR="00E278B5" w:rsidRDefault="00E278B5" w:rsidP="00E278B5">
                  <w:pPr>
                    <w:numPr>
                      <w:ilvl w:val="0"/>
                      <w:numId w:val="43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新增聯絡電話時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啟用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B1FA16" w14:textId="77777777" w:rsidR="00E278B5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5FCB7EFB" w14:textId="7777777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1A63C929" w14:textId="1CD34245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E278B5" w:rsidRPr="005F7978" w14:paraId="6DF992D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E1FF7B2" w14:textId="4114746F" w:rsidR="00E278B5" w:rsidRDefault="00E278B5" w:rsidP="00E278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L2017</w:t>
                  </w:r>
                  <w:r w:rsidRPr="00FF26E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額度與擔保品關聯查詢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6E5DD4" w14:textId="4B8D2E0D" w:rsidR="00E278B5" w:rsidRDefault="00E278B5" w:rsidP="00E278B5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目前同一擔保品項下額度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均顯示該擔保品的最後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需改為顯示各額度於設定當時該擔保品的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轉換需同步調整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L2017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說明前處理完異</w:t>
                  </w:r>
                </w:p>
              </w:tc>
              <w:tc>
                <w:tcPr>
                  <w:tcW w:w="1418" w:type="dxa"/>
                  <w:vAlign w:val="center"/>
                </w:tcPr>
                <w:p w14:paraId="74F9C3D3" w14:textId="4359A7C7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241252A7" w14:textId="189EBCBB" w:rsidR="00E278B5" w:rsidRPr="008D55DA" w:rsidRDefault="00E278B5" w:rsidP="00E278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</w:tbl>
          <w:p w14:paraId="16D4FCA2" w14:textId="68A37DA3" w:rsidR="00E278B5" w:rsidRPr="005E6478" w:rsidRDefault="00E278B5" w:rsidP="00E278B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E278B5" w:rsidRPr="009871C7" w14:paraId="753DFA86" w14:textId="77777777" w:rsidTr="00E2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E278B5" w:rsidRPr="00905D58" w:rsidRDefault="00E278B5" w:rsidP="00E278B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E278B5" w:rsidRPr="00905D58" w:rsidRDefault="00E278B5" w:rsidP="00E278B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E278B5" w:rsidRPr="00905D58" w:rsidRDefault="00E278B5" w:rsidP="00E278B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E278B5" w:rsidRPr="00905D58" w:rsidRDefault="00E278B5" w:rsidP="00E278B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E278B5" w:rsidRPr="00905D58" w:rsidRDefault="00E278B5" w:rsidP="00E278B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E278B5" w:rsidRPr="009871C7" w14:paraId="64D32490" w14:textId="77777777" w:rsidTr="00E2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E278B5" w:rsidRDefault="00E278B5" w:rsidP="00E278B5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4B756704" w:rsidR="00E278B5" w:rsidRDefault="00E278B5" w:rsidP="00E278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是否控制不可為</w:t>
            </w:r>
            <w:r>
              <w:rPr>
                <w:rFonts w:ascii="標楷體" w:hAnsi="標楷體" w:hint="eastAsia"/>
                <w:kern w:val="2"/>
                <w:szCs w:val="22"/>
              </w:rPr>
              <w:t>"060000</w:t>
            </w:r>
            <w:r>
              <w:rPr>
                <w:rFonts w:ascii="標楷體" w:hAnsi="標楷體"/>
                <w:kern w:val="2"/>
                <w:szCs w:val="22"/>
              </w:rPr>
              <w:t>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個人</w:t>
            </w:r>
            <w:r>
              <w:rPr>
                <w:rFonts w:ascii="標楷體" w:hAnsi="標楷體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待與</w:t>
            </w:r>
            <w:r w:rsidRPr="007910A8">
              <w:rPr>
                <w:rFonts w:ascii="標楷體" w:hAnsi="標楷體" w:hint="eastAsia"/>
                <w:kern w:val="2"/>
                <w:szCs w:val="22"/>
                <w:lang w:eastAsia="zh-HK"/>
              </w:rPr>
              <w:t>陳俞辛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90F16B" w:rsidR="00E278B5" w:rsidRDefault="00E278B5" w:rsidP="00E278B5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DD4A7FA" w:rsidR="00E278B5" w:rsidRDefault="00E278B5" w:rsidP="00E278B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2021/7/26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E278B5" w:rsidRPr="009871C7" w:rsidRDefault="00E278B5" w:rsidP="00E278B5">
            <w:pPr>
              <w:rPr>
                <w:rFonts w:ascii="標楷體" w:hAnsi="標楷體"/>
                <w:color w:val="000000"/>
              </w:rPr>
            </w:pPr>
          </w:p>
        </w:tc>
      </w:tr>
      <w:tr w:rsidR="00E278B5" w:rsidRPr="009871C7" w14:paraId="3A7003F7" w14:textId="77777777" w:rsidTr="00E2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E1619BD" w14:textId="49BAE1F9" w:rsidR="00E278B5" w:rsidRDefault="00E278B5" w:rsidP="00E278B5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65043" w14:textId="4EFCC519" w:rsidR="00E278B5" w:rsidRDefault="00E278B5" w:rsidP="00E278B5">
            <w:pPr>
              <w:rPr>
                <w:rFonts w:ascii="標楷體" w:hAnsi="標楷體"/>
                <w:kern w:val="2"/>
                <w:szCs w:val="22"/>
              </w:rPr>
            </w:pPr>
            <w:r>
              <w:rPr>
                <w:rFonts w:ascii="標楷體" w:hAnsi="標楷體"/>
              </w:rPr>
              <w:t>L1101</w:t>
            </w:r>
            <w:r>
              <w:rPr>
                <w:rFonts w:ascii="標楷體" w:hAnsi="標楷體" w:hint="eastAsia"/>
                <w:lang w:eastAsia="zh-HK"/>
              </w:rPr>
              <w:t>增加</w:t>
            </w: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是否為金控類似準利害關係人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欄位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提供顯示邏</w:t>
            </w:r>
            <w:r>
              <w:rPr>
                <w:rFonts w:ascii="標楷體" w:hAnsi="標楷體" w:hint="eastAsia"/>
              </w:rPr>
              <w:t>輯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1E3B3" w14:textId="3CC5743D" w:rsidR="00E278B5" w:rsidRDefault="00E278B5" w:rsidP="00E278B5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8F6D5" w14:textId="0D9E2877" w:rsidR="00E278B5" w:rsidRDefault="00E278B5" w:rsidP="00E278B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23B0C" w14:textId="77777777" w:rsidR="00E278B5" w:rsidRPr="009871C7" w:rsidRDefault="00E278B5" w:rsidP="00E278B5">
            <w:pPr>
              <w:rPr>
                <w:rFonts w:ascii="標楷體" w:hAnsi="標楷體"/>
                <w:color w:val="000000"/>
              </w:rPr>
            </w:pPr>
          </w:p>
        </w:tc>
      </w:tr>
      <w:tr w:rsidR="00E278B5" w:rsidRPr="009871C7" w14:paraId="574A3A77" w14:textId="77777777" w:rsidTr="00E2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4952087" w14:textId="05BF83C5" w:rsidR="00E278B5" w:rsidRDefault="00E278B5" w:rsidP="00E278B5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DB4BB" w14:textId="6426FB74" w:rsidR="00E278B5" w:rsidRDefault="00E278B5" w:rsidP="00E278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</w:t>
            </w:r>
            <w:r>
              <w:rPr>
                <w:rFonts w:ascii="標楷體" w:hAnsi="標楷體" w:hint="eastAsia"/>
                <w:lang w:eastAsia="zh-HK"/>
              </w:rPr>
              <w:t>增加</w:t>
            </w:r>
            <w:r>
              <w:rPr>
                <w:rFonts w:ascii="標楷體" w:hAnsi="標楷體" w:hint="eastAsia"/>
              </w:rPr>
              <w:t>[</w:t>
            </w:r>
            <w:r w:rsidRPr="008573AF">
              <w:rPr>
                <w:rFonts w:ascii="標楷體" w:hAnsi="標楷體" w:hint="eastAsia"/>
              </w:rPr>
              <w:t>客戶交互運用維護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欄位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同【</w:t>
            </w:r>
            <w:r>
              <w:rPr>
                <w:rFonts w:ascii="標楷體" w:hAnsi="標楷體" w:hint="eastAsia"/>
              </w:rPr>
              <w:t>L1109</w:t>
            </w:r>
            <w:r>
              <w:rPr>
                <w:rFonts w:ascii="標楷體" w:hAnsi="標楷體" w:hint="eastAsia"/>
                <w:lang w:eastAsia="zh-HK"/>
              </w:rPr>
              <w:t>交互運用輸入】交易機制</w:t>
            </w:r>
            <w:r>
              <w:rPr>
                <w:rFonts w:ascii="標楷體" w:hAnsi="標楷體" w:hint="eastAsia"/>
              </w:rPr>
              <w:t>),</w:t>
            </w:r>
            <w:r>
              <w:rPr>
                <w:rFonts w:ascii="標楷體" w:hAnsi="標楷體" w:hint="eastAsia"/>
                <w:lang w:eastAsia="zh-HK"/>
              </w:rPr>
              <w:t>提供</w:t>
            </w:r>
            <w:proofErr w:type="spellStart"/>
            <w:r>
              <w:rPr>
                <w:rFonts w:ascii="標楷體" w:hAnsi="標楷體" w:hint="eastAsia"/>
              </w:rPr>
              <w:t>eLoan</w:t>
            </w:r>
            <w:proofErr w:type="spellEnd"/>
            <w:r>
              <w:rPr>
                <w:rFonts w:ascii="標楷體" w:hAnsi="標楷體" w:hint="eastAsia"/>
                <w:lang w:eastAsia="zh-HK"/>
              </w:rPr>
              <w:t>輸入控制供設計參考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B5408" w14:textId="0C3EEC1E" w:rsidR="00E278B5" w:rsidRDefault="00E278B5" w:rsidP="00E278B5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3988A" w14:textId="3044B6F7" w:rsidR="00E278B5" w:rsidRDefault="00E278B5" w:rsidP="00E278B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6FB39D" w14:textId="77777777" w:rsidR="00E278B5" w:rsidRPr="009871C7" w:rsidRDefault="00E278B5" w:rsidP="00E278B5">
            <w:pPr>
              <w:rPr>
                <w:rFonts w:ascii="標楷體" w:hAnsi="標楷體"/>
                <w:color w:val="000000"/>
              </w:rPr>
            </w:pPr>
          </w:p>
        </w:tc>
      </w:tr>
      <w:tr w:rsidR="00E278B5" w:rsidRPr="009871C7" w14:paraId="43C9ACA1" w14:textId="77777777" w:rsidTr="00E2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51BBB1" w14:textId="6EAA7A53" w:rsidR="00E278B5" w:rsidRDefault="00E278B5" w:rsidP="00E278B5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A57FB" w14:textId="5C1BDB6B" w:rsidR="00E278B5" w:rsidRDefault="00E278B5" w:rsidP="00E278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noProof/>
                <w:kern w:val="2"/>
                <w:szCs w:val="22"/>
              </w:rPr>
              <w:t>L1105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增加聯絡電話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異動原因</w:t>
            </w:r>
            <w:r>
              <w:rPr>
                <w:rFonts w:ascii="標楷體" w:hAnsi="標楷體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代碼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E1A7E" w14:textId="7A6E8B30" w:rsidR="00E278B5" w:rsidRDefault="00E278B5" w:rsidP="00E278B5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B133D" w14:textId="7DDEB728" w:rsidR="00E278B5" w:rsidRDefault="00E278B5" w:rsidP="00E278B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DDDF3A" w14:textId="77777777" w:rsidR="00E278B5" w:rsidRPr="009871C7" w:rsidRDefault="00E278B5" w:rsidP="00E278B5">
            <w:pPr>
              <w:rPr>
                <w:rFonts w:ascii="標楷體" w:hAnsi="標楷體"/>
                <w:color w:val="000000"/>
              </w:rPr>
            </w:pPr>
          </w:p>
        </w:tc>
      </w:tr>
      <w:tr w:rsidR="00E278B5" w:rsidRPr="009871C7" w14:paraId="5095A4B9" w14:textId="77777777" w:rsidTr="00E2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3524DAC3" w:rsidR="00E278B5" w:rsidRDefault="00E278B5" w:rsidP="00E278B5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71E563C8" w:rsidR="00E278B5" w:rsidRPr="00FF26E8" w:rsidRDefault="00E278B5" w:rsidP="00E278B5">
            <w:pPr>
              <w:rPr>
                <w:rFonts w:ascii="標楷體" w:hAnsi="標楷體"/>
                <w:noProof/>
                <w:kern w:val="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77777777" w:rsidR="00E278B5" w:rsidRDefault="00E278B5" w:rsidP="00E278B5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77777777" w:rsidR="00E278B5" w:rsidRDefault="00E278B5" w:rsidP="00E278B5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E278B5" w:rsidRPr="009871C7" w:rsidRDefault="00E278B5" w:rsidP="00E278B5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EFE2" w14:textId="77777777" w:rsidR="005064E4" w:rsidRDefault="005064E4">
      <w:r>
        <w:separator/>
      </w:r>
    </w:p>
  </w:endnote>
  <w:endnote w:type="continuationSeparator" w:id="0">
    <w:p w14:paraId="357CAB9B" w14:textId="77777777" w:rsidR="005064E4" w:rsidRDefault="0050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5064E4">
            <w:fldChar w:fldCharType="begin"/>
          </w:r>
          <w:r w:rsidR="005064E4">
            <w:instrText xml:space="preserve"> FILENAME </w:instrText>
          </w:r>
          <w:r w:rsidR="005064E4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5064E4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B879AB9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2E7029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2E7029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197C" w14:textId="77777777" w:rsidR="005064E4" w:rsidRDefault="005064E4">
      <w:r>
        <w:separator/>
      </w:r>
    </w:p>
  </w:footnote>
  <w:footnote w:type="continuationSeparator" w:id="0">
    <w:p w14:paraId="089B9051" w14:textId="77777777" w:rsidR="005064E4" w:rsidRDefault="0050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5064E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64E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5064E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4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5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5"/>
  </w:num>
  <w:num w:numId="5">
    <w:abstractNumId w:val="34"/>
  </w:num>
  <w:num w:numId="6">
    <w:abstractNumId w:val="2"/>
  </w:num>
  <w:num w:numId="7">
    <w:abstractNumId w:val="1"/>
  </w:num>
  <w:num w:numId="8">
    <w:abstractNumId w:val="0"/>
  </w:num>
  <w:num w:numId="9">
    <w:abstractNumId w:val="26"/>
  </w:num>
  <w:num w:numId="10">
    <w:abstractNumId w:val="26"/>
  </w:num>
  <w:num w:numId="11">
    <w:abstractNumId w:val="26"/>
  </w:num>
  <w:num w:numId="12">
    <w:abstractNumId w:val="26"/>
  </w:num>
  <w:num w:numId="13">
    <w:abstractNumId w:val="26"/>
  </w:num>
  <w:num w:numId="14">
    <w:abstractNumId w:val="26"/>
  </w:num>
  <w:num w:numId="15">
    <w:abstractNumId w:val="26"/>
  </w:num>
  <w:num w:numId="16">
    <w:abstractNumId w:val="26"/>
  </w:num>
  <w:num w:numId="17">
    <w:abstractNumId w:val="17"/>
  </w:num>
  <w:num w:numId="18">
    <w:abstractNumId w:val="11"/>
  </w:num>
  <w:num w:numId="19">
    <w:abstractNumId w:val="16"/>
  </w:num>
  <w:num w:numId="20">
    <w:abstractNumId w:val="9"/>
  </w:num>
  <w:num w:numId="21">
    <w:abstractNumId w:val="18"/>
  </w:num>
  <w:num w:numId="22">
    <w:abstractNumId w:val="7"/>
  </w:num>
  <w:num w:numId="23">
    <w:abstractNumId w:val="33"/>
  </w:num>
  <w:num w:numId="24">
    <w:abstractNumId w:val="29"/>
  </w:num>
  <w:num w:numId="25">
    <w:abstractNumId w:val="12"/>
  </w:num>
  <w:num w:numId="26">
    <w:abstractNumId w:val="20"/>
  </w:num>
  <w:num w:numId="27">
    <w:abstractNumId w:val="22"/>
  </w:num>
  <w:num w:numId="28">
    <w:abstractNumId w:val="36"/>
  </w:num>
  <w:num w:numId="29">
    <w:abstractNumId w:val="27"/>
  </w:num>
  <w:num w:numId="30">
    <w:abstractNumId w:val="5"/>
  </w:num>
  <w:num w:numId="31">
    <w:abstractNumId w:val="4"/>
  </w:num>
  <w:num w:numId="32">
    <w:abstractNumId w:val="31"/>
  </w:num>
  <w:num w:numId="33">
    <w:abstractNumId w:val="35"/>
  </w:num>
  <w:num w:numId="34">
    <w:abstractNumId w:val="14"/>
  </w:num>
  <w:num w:numId="35">
    <w:abstractNumId w:val="24"/>
  </w:num>
  <w:num w:numId="36">
    <w:abstractNumId w:val="21"/>
  </w:num>
  <w:num w:numId="37">
    <w:abstractNumId w:val="30"/>
  </w:num>
  <w:num w:numId="38">
    <w:abstractNumId w:val="8"/>
  </w:num>
  <w:num w:numId="39">
    <w:abstractNumId w:val="19"/>
  </w:num>
  <w:num w:numId="40">
    <w:abstractNumId w:val="28"/>
  </w:num>
  <w:num w:numId="41">
    <w:abstractNumId w:val="6"/>
  </w:num>
  <w:num w:numId="42">
    <w:abstractNumId w:val="25"/>
  </w:num>
  <w:num w:numId="43">
    <w:abstractNumId w:val="23"/>
  </w:num>
  <w:num w:numId="44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14C6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064E4"/>
    <w:rsid w:val="00510E9C"/>
    <w:rsid w:val="0051281D"/>
    <w:rsid w:val="005135A5"/>
    <w:rsid w:val="00513C99"/>
    <w:rsid w:val="00517117"/>
    <w:rsid w:val="00517C63"/>
    <w:rsid w:val="00526A3E"/>
    <w:rsid w:val="00527458"/>
    <w:rsid w:val="00527A2A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97E1E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B53A2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E5722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7DDC"/>
    <w:rsid w:val="00DD1FDF"/>
    <w:rsid w:val="00DD370C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4A2F"/>
    <w:rsid w:val="00E278B5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64BDB06-44CC-47B4-917C-2A9A9D2B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363</Words>
  <Characters>2075</Characters>
  <Application>Microsoft Office Word</Application>
  <DocSecurity>0</DocSecurity>
  <Lines>17</Lines>
  <Paragraphs>4</Paragraphs>
  <ScaleCrop>false</ScaleCrop>
  <Company>新光人壽保險股份有限公司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29</cp:revision>
  <cp:lastPrinted>2007-04-19T07:32:00Z</cp:lastPrinted>
  <dcterms:created xsi:type="dcterms:W3CDTF">2021-07-22T11:26:00Z</dcterms:created>
  <dcterms:modified xsi:type="dcterms:W3CDTF">2021-07-29T11:22:00Z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