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436391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105EA">
              <w:rPr>
                <w:rFonts w:ascii="標楷體" w:hAnsi="標楷體" w:cs="Arial" w:hint="eastAsia"/>
                <w:szCs w:val="24"/>
              </w:rPr>
              <w:t>29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06E1B" w:rsidRPr="009871C7" w14:paraId="0FFDFD60" w14:textId="77777777" w:rsidTr="00CC53CD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06E1B" w:rsidRPr="009871C7" w:rsidRDefault="00C06E1B" w:rsidP="00C06E1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06E1B" w:rsidRPr="009871C7" w:rsidRDefault="00C06E1B" w:rsidP="00C06E1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31A87D9D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7E7B173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64D9624A" w14:textId="77777777" w:rsidTr="00CC53C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7D5CB01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5C43BDCF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7E8F5234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5B519564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54E62D8A" w14:textId="77777777" w:rsidTr="00CC53C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0512059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48E324F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31F9DC27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739D3DF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081D599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BD894BB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5C4D360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FEC224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0EBD383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00DFA645" w14:textId="77777777" w:rsidTr="00464C3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AD1E422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2129B54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C6EEEE6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321E1AA3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47F0B515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0459380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66D0AD5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06E1B" w:rsidRDefault="00C06E1B" w:rsidP="00C06E1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06E1B" w:rsidRPr="009871C7" w:rsidRDefault="00C06E1B" w:rsidP="00C06E1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85FC69C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D5342AA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06E1B" w:rsidRDefault="00C06E1B" w:rsidP="00C06E1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6023A18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L4500 設定員工扣薪日程表</w:t>
            </w:r>
          </w:p>
          <w:p w14:paraId="0E7B71FB" w14:textId="263CC9D1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L4950 員工扣薪設定檢核表</w:t>
            </w:r>
          </w:p>
          <w:p w14:paraId="30D053B2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L4510 產出員工扣薪明細檔</w:t>
            </w:r>
          </w:p>
          <w:p w14:paraId="43279F44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L4951 員工扣薪媒體檔查詢</w:t>
            </w:r>
          </w:p>
          <w:p w14:paraId="6215D81B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L4512 員工扣薪媒體檔維護</w:t>
            </w:r>
          </w:p>
          <w:p w14:paraId="7B106CEE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L4511 產出員工扣薪媒體檔</w:t>
            </w:r>
          </w:p>
          <w:p w14:paraId="402FE098" w14:textId="5E8DA0C9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L4520 產生員工扣薪回傳報表</w:t>
            </w:r>
          </w:p>
          <w:p w14:paraId="07C8040F" w14:textId="693BD41C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L4200 入帳檔上傳作業</w:t>
            </w:r>
          </w:p>
          <w:p w14:paraId="5D2BC7AF" w14:textId="06604CCC" w:rsidR="00C06E1B" w:rsidRPr="00DA63E5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L4204 員工扣薪明細維護[L4920還款來源數字鍵]</w:t>
            </w:r>
          </w:p>
          <w:p w14:paraId="105E6D3F" w14:textId="029B0079" w:rsidR="00C06E1B" w:rsidRDefault="00C06E1B" w:rsidP="00C06E1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C06E1B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06E1B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FE3E07C" w:rsidR="00C06E1B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06614C5" w14:textId="77777777" w:rsidR="00C06E1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於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當天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應處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清單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1DE2E64B" w14:textId="77777777" w:rsidR="00C06E1B" w:rsidRDefault="00C06E1B" w:rsidP="00C06E1B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執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行[15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檔產出作</w:t>
                  </w:r>
                </w:p>
                <w:p w14:paraId="0C8811A0" w14:textId="63CBD623" w:rsidR="00C06E1B" w:rsidRPr="0056402B" w:rsidRDefault="00C06E1B" w:rsidP="00C06E1B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業：</w:t>
                  </w:r>
                </w:p>
                <w:p w14:paraId="5B18DA00" w14:textId="16F0840D" w:rsidR="00C06E1B" w:rsidRPr="008105EA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(1)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有扣薪媒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案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37018A6" w14:textId="4318FF6F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(2)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無扣薪媒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空檔。</w:t>
                  </w:r>
                </w:p>
                <w:p w14:paraId="0B2EF3A4" w14:textId="3454215C" w:rsidR="00C06E1B" w:rsidRPr="008105EA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2.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未於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之日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不產生資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檔。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0D6E0B52" w14:textId="5FD9D395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4296DC76" w14:textId="6036F1D8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4599AB" w14:textId="62BF2705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4A4E5FA6" w:rsidR="00C06E1B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L4200 入帳檔上傳作業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ED9373F" w14:textId="3CF049F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扣款回應檔上傳時檢核處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理：</w:t>
                  </w:r>
                </w:p>
                <w:p w14:paraId="25043710" w14:textId="77777777" w:rsidR="00CE503A" w:rsidRDefault="00C06E1B" w:rsidP="000454A2">
                  <w:pPr>
                    <w:rPr>
                      <w:rFonts w:ascii="標楷體" w:hAnsi="標楷體"/>
                      <w:color w:val="7030A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與提出檔之總金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及筆數檢核</w:t>
                  </w:r>
                  <w:r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不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符</w:t>
                  </w:r>
                  <w:r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時</w:t>
                  </w:r>
                  <w:r w:rsidR="00CE503A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：</w:t>
                  </w:r>
                </w:p>
                <w:p w14:paraId="54EE7F19" w14:textId="1560DD8D" w:rsidR="00CE503A" w:rsidRDefault="00CE503A" w:rsidP="00CE503A">
                  <w:pPr>
                    <w:ind w:firstLineChars="50" w:firstLine="120"/>
                    <w:rPr>
                      <w:rFonts w:ascii="標楷體" w:hAnsi="標楷體"/>
                      <w:color w:val="7030A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(1)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歸類為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[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不處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理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]</w:t>
                  </w:r>
                </w:p>
                <w:p w14:paraId="5E2927AE" w14:textId="37D37F20" w:rsidR="00C06E1B" w:rsidRPr="0056402B" w:rsidRDefault="00CE503A" w:rsidP="00CE503A">
                  <w:pPr>
                    <w:ind w:firstLineChars="50" w:firstLin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(2)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點選</w:t>
                  </w:r>
                  <w:r w:rsidRPr="00CE503A">
                    <w:rPr>
                      <w:rFonts w:ascii="標楷體" w:hAnsi="標楷體" w:hint="eastAsia"/>
                      <w:color w:val="7030A0"/>
                      <w:szCs w:val="24"/>
                    </w:rPr>
                    <w:t>[不處理]數字鍵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，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可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查</w:t>
                  </w:r>
                  <w:r>
                    <w:rPr>
                      <w:rFonts w:ascii="標楷體" w:hAnsi="標楷體" w:hint="eastAsia"/>
                      <w:color w:val="7030A0"/>
                      <w:szCs w:val="24"/>
                    </w:rPr>
                    <w:t>詢</w:t>
                  </w:r>
                  <w:r w:rsidRPr="00CE503A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不處理原因</w:t>
                  </w:r>
                  <w:bookmarkStart w:id="0" w:name="_GoBack"/>
                  <w:bookmarkEnd w:id="0"/>
                </w:p>
                <w:p w14:paraId="6BE41619" w14:textId="018DAFE9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歸類為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之條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件：</w:t>
                  </w:r>
                </w:p>
                <w:p w14:paraId="2830BFC2" w14:textId="1E92F20C" w:rsidR="00C06E1B" w:rsidRPr="0056402B" w:rsidRDefault="00C06E1B" w:rsidP="00C06E1B">
                  <w:pPr>
                    <w:ind w:firstLineChars="50" w:firstLin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(1)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與提出檔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資</w:t>
                  </w:r>
                  <w:r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不符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扣款失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、實扣金額為0</w:t>
                  </w:r>
                </w:p>
                <w:p w14:paraId="713946EC" w14:textId="05601559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 xml:space="preserve"> (2)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產出失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</w:p>
                <w:p w14:paraId="183381C3" w14:textId="77777777" w:rsidR="00C06E1B" w:rsidRDefault="00C06E1B" w:rsidP="00C06E1B">
                  <w:pPr>
                    <w:adjustRightInd/>
                    <w:ind w:firstLineChars="50" w:firstLine="12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(3)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後續處理：</w:t>
                  </w:r>
                  <w:r>
                    <w:rPr>
                      <w:rFonts w:ascii="標楷體" w:hAnsi="標楷體" w:hint="eastAsia"/>
                      <w:szCs w:val="24"/>
                    </w:rPr>
                    <w:t>若為[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與提出</w:t>
                  </w:r>
                  <w:proofErr w:type="gramStart"/>
                  <w:r w:rsidRPr="0056402B">
                    <w:rPr>
                      <w:rFonts w:ascii="標楷體" w:hAnsi="標楷體" w:hint="eastAsia"/>
                      <w:szCs w:val="24"/>
                    </w:rPr>
                    <w:t>檔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資料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不符</w:t>
                  </w:r>
                  <w:r>
                    <w:rPr>
                      <w:rFonts w:ascii="標楷體" w:hAnsi="標楷體" w:hint="eastAsia"/>
                      <w:szCs w:val="24"/>
                    </w:rPr>
                    <w:t>]之情況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，</w:t>
                  </w:r>
                </w:p>
                <w:p w14:paraId="3D62B695" w14:textId="39C6BC53" w:rsidR="00C06E1B" w:rsidRDefault="00C06E1B" w:rsidP="00C06E1B">
                  <w:pPr>
                    <w:adjustRightInd/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待查明原因後需要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時執行</w:t>
                  </w:r>
                </w:p>
                <w:p w14:paraId="66BA4F65" w14:textId="46FC0B5C" w:rsidR="00C06E1B" w:rsidRPr="006D5A30" w:rsidRDefault="00C06E1B" w:rsidP="00C06E1B">
                  <w:pPr>
                    <w:adjustRightInd/>
                    <w:ind w:leftChars="150" w:left="360"/>
                    <w:rPr>
                      <w:rFonts w:ascii="標楷體" w:hAnsi="標楷體"/>
                      <w:szCs w:val="24"/>
                    </w:rPr>
                  </w:pP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L4210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其他還款來源建檔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(</w:t>
                  </w: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L4921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[新增來源建檔]按鈕進入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)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-&gt;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L4002整批</w:t>
                  </w:r>
                  <w:proofErr w:type="gramStart"/>
                  <w:r w:rsidRPr="006D5A30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6D5A30">
                    <w:rPr>
                      <w:rFonts w:ascii="標楷體" w:hAnsi="標楷體" w:hint="eastAsia"/>
                      <w:szCs w:val="24"/>
                    </w:rPr>
                    <w:t>作業執行[</w:t>
                  </w:r>
                  <w:proofErr w:type="gramStart"/>
                  <w:r w:rsidRPr="006D5A30">
                    <w:rPr>
                      <w:rFonts w:ascii="標楷體" w:hAnsi="標楷體" w:hint="eastAsia"/>
                      <w:szCs w:val="24"/>
                    </w:rPr>
                    <w:t>轉暫收</w:t>
                  </w:r>
                  <w:proofErr w:type="gramEnd"/>
                  <w:r w:rsidRPr="006D5A30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7D069138" w14:textId="7035E290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  <w:r>
                    <w:rPr>
                      <w:rFonts w:ascii="標楷體" w:hAnsi="標楷體" w:cs="Arial"/>
                      <w:szCs w:val="24"/>
                    </w:rPr>
                    <w:br/>
                  </w: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297FF4E0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4F0AD2C9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0F4B0EE" w14:textId="3EC072C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7634859B" w14:textId="77777777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57F681EB" w14:textId="77777777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485E5B1" w14:textId="77777777" w:rsidR="00C06E1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6DF2BB98" wp14:editId="14139D19">
                        <wp:extent cx="1828800" cy="617728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D0C58D" w14:textId="217A548C" w:rsidR="00C06E1B" w:rsidRPr="00F16B55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E419663" w14:textId="77777777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D3794AD" w14:textId="4E28D7C2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1BC4EBED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L4511 產出員工扣薪媒體檔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DE09F9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1F31767E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479B7BDE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A90013D" w14:textId="3A345E20" w:rsidR="00C06E1B" w:rsidRPr="00F16B55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959DB8E" wp14:editId="2748832C">
                        <wp:extent cx="1828800" cy="617728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15333959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92BB597" w14:textId="20A84FDA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18C4785" w14:textId="56014BB7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2333480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L4520 產生員工扣薪回傳報表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F8F21F" w14:textId="48EA42DF" w:rsidR="00C06E1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180E6803" w14:textId="7F113E24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單改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為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另增加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份報表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7BB8E9EB" w14:textId="7D847355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扣薪總傳票明細表</w:t>
                  </w:r>
                </w:p>
                <w:p w14:paraId="7C2127A3" w14:textId="1C63D42B" w:rsidR="00C06E1B" w:rsidRPr="008105EA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火險費沖</w:t>
                  </w:r>
                  <w:r>
                    <w:rPr>
                      <w:rFonts w:ascii="標楷體" w:hAnsi="標楷體" w:hint="eastAsia"/>
                      <w:szCs w:val="24"/>
                    </w:rPr>
                    <w:t>銷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明細表</w:t>
                  </w:r>
                  <w:r>
                    <w:rPr>
                      <w:rFonts w:ascii="標楷體" w:hAnsi="標楷體" w:hint="eastAsia"/>
                      <w:szCs w:val="24"/>
                    </w:rPr>
                    <w:t>(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</w:t>
                  </w:r>
                  <w:r>
                    <w:rPr>
                      <w:rFonts w:ascii="標楷體" w:hAnsi="標楷體" w:hint="eastAsia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40C24B3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0E8E450" w14:textId="6EB38776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EFA97D2" w14:textId="3A243776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113AC987" w:rsidR="00C06E1B" w:rsidRPr="006D5A30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D5A30">
                    <w:rPr>
                      <w:rFonts w:ascii="標楷體" w:hAnsi="標楷體" w:hint="eastAsia"/>
                      <w:noProof/>
                      <w:lang w:eastAsia="zh-HK"/>
                    </w:rPr>
                    <w:t>L6905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D5A30">
                    <w:rPr>
                      <w:rFonts w:ascii="標楷體" w:hAnsi="標楷體"/>
                      <w:noProof/>
                      <w:lang w:eastAsia="zh-HK"/>
                    </w:rPr>
                    <w:t>日結明細查詢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6E4AAE" w14:textId="51E4DD52" w:rsidR="00C06E1B" w:rsidRPr="00157D89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銷帳編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48CFDA1C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8EF4E1E" w14:textId="4AD462B9" w:rsidR="00A03F94" w:rsidRDefault="00A03F94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A33CDB3" w14:textId="00B0B9F4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178D89FF" w:rsidR="00C06E1B" w:rsidRPr="00D807CF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案例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BBB9BE2" w14:textId="283BE164" w:rsidR="00C06E1B" w:rsidRPr="00571525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hAnsi="標楷體"/>
                      <w:color w:val="FF0000"/>
                    </w:rPr>
                    <w:t>1</w:t>
                  </w: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】</w:t>
                  </w:r>
                </w:p>
                <w:p w14:paraId="12765B5B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時併入員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工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扣薪作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業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請清河確認有關逾期處理及應扣金額計算方式(戶號0155299</w:t>
                  </w:r>
                  <w:r w:rsidRPr="0056402B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六月份案例) </w:t>
                  </w:r>
                </w:p>
                <w:p w14:paraId="2042B993" w14:textId="344511D6" w:rsidR="00C06E1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舉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例：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31"/>
                    <w:gridCol w:w="1930"/>
                  </w:tblGrid>
                  <w:tr w:rsidR="00C06E1B" w14:paraId="4D8F235A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2C311E49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媒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體</w:t>
                        </w: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日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73638FC3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5/31</w:t>
                        </w:r>
                      </w:p>
                    </w:tc>
                  </w:tr>
                  <w:tr w:rsidR="00C06E1B" w14:paraId="7524C22F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074C02C0" w14:textId="77777777" w:rsidR="00C06E1B" w:rsidRPr="0056402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入帳日期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A122511" w14:textId="77777777" w:rsidR="00C06E1B" w:rsidRPr="0056402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6/</w:t>
                        </w:r>
                        <w:r>
                          <w:rPr>
                            <w:rFonts w:ascii="標楷體" w:hAnsi="標楷體" w:hint="eastAsia"/>
                          </w:rPr>
                          <w:t>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8</w:t>
                        </w:r>
                      </w:p>
                    </w:tc>
                  </w:tr>
                  <w:tr w:rsidR="00C06E1B" w14:paraId="3B4D764F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1E3A6A14" w14:textId="77777777" w:rsidR="00C06E1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lang w:eastAsia="zh-HK"/>
                          </w:rPr>
                          <w:t>還款日期</w:t>
                        </w:r>
                      </w:p>
                    </w:tc>
                    <w:tc>
                      <w:tcPr>
                        <w:tcW w:w="1930" w:type="dxa"/>
                        <w:shd w:val="clear" w:color="auto" w:fill="F2F2F2" w:themeFill="background1" w:themeFillShade="F2"/>
                      </w:tcPr>
                      <w:p w14:paraId="42045569" w14:textId="77777777" w:rsidR="00C06E1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 w:rsidRPr="000160C9">
                          <w:rPr>
                            <w:rFonts w:ascii="標楷體" w:hAnsi="標楷體" w:hint="eastAsia"/>
                            <w:lang w:eastAsia="zh-HK"/>
                          </w:rPr>
                          <w:t>逾期金額</w:t>
                        </w:r>
                      </w:p>
                    </w:tc>
                  </w:tr>
                  <w:tr w:rsidR="00C06E1B" w14:paraId="47AA9CB2" w14:textId="77777777" w:rsidTr="001C0CD3">
                    <w:tc>
                      <w:tcPr>
                        <w:tcW w:w="1931" w:type="dxa"/>
                      </w:tcPr>
                      <w:p w14:paraId="25C09462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3/20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68094BB7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3441A58A" w14:textId="77777777" w:rsidTr="001C0CD3">
                    <w:tc>
                      <w:tcPr>
                        <w:tcW w:w="1931" w:type="dxa"/>
                      </w:tcPr>
                      <w:p w14:paraId="774A441C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4/20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7723D224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4643978A" w14:textId="77777777" w:rsidTr="001C0CD3">
                    <w:tc>
                      <w:tcPr>
                        <w:tcW w:w="1931" w:type="dxa"/>
                      </w:tcPr>
                      <w:p w14:paraId="55787FB7" w14:textId="77777777" w:rsidR="00C06E1B" w:rsidRDefault="00C06E1B" w:rsidP="00C06E1B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AC86E7E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5CEC551A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2A1952B7" w14:textId="77777777" w:rsidR="00C06E1B" w:rsidRDefault="00C06E1B" w:rsidP="00C06E1B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應扣金額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2886F832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 w:rsidRPr="009466B9">
                          <w:rPr>
                            <w:rFonts w:ascii="標楷體" w:hAnsi="標楷體" w:hint="eastAsia"/>
                            <w:color w:val="FF0000"/>
                            <w:szCs w:val="24"/>
                            <w:lang w:eastAsia="zh-HK"/>
                          </w:rPr>
                          <w:t>待確認</w:t>
                        </w:r>
                      </w:p>
                    </w:tc>
                  </w:tr>
                </w:tbl>
                <w:p w14:paraId="6E824948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2D0F7F28" w14:textId="2A378F37" w:rsidR="00C06E1B" w:rsidRPr="00571525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6DA6B8F" w14:textId="79841639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5B5570B5" w14:textId="4E27A6D3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林清河</w:t>
                  </w:r>
                </w:p>
                <w:p w14:paraId="468DDDB3" w14:textId="0E61F8B9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0089C6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D454CF" w14:textId="41EFB11A" w:rsidR="00C06E1B" w:rsidRPr="00D61C55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color w:val="0070C0"/>
                      <w:szCs w:val="24"/>
                      <w:lang w:eastAsia="zh-HK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lastRenderedPageBreak/>
                    <w:t>期款收回順序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99F935" w14:textId="64F0D953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期款收回順序</w:t>
                  </w:r>
                  <w:r w:rsidR="000454A2" w:rsidRPr="000454A2">
                    <w:rPr>
                      <w:rFonts w:ascii="標楷體" w:hAnsi="標楷體" w:cs="Arial" w:hint="eastAsia"/>
                      <w:color w:val="7030A0"/>
                    </w:rPr>
                    <w:t>(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</w:rPr>
                    <w:t>統一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  <w:lang w:eastAsia="zh-HK"/>
                    </w:rPr>
                    <w:t>原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</w:rPr>
                    <w:t>則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  <w:lang w:eastAsia="zh-HK"/>
                    </w:rPr>
                    <w:t>非針</w:t>
                  </w:r>
                  <w:r w:rsidR="000454A2" w:rsidRPr="000454A2">
                    <w:rPr>
                      <w:rFonts w:hint="eastAsia"/>
                      <w:bCs/>
                      <w:color w:val="7030A0"/>
                      <w:shd w:val="clear" w:color="auto" w:fill="FFFFFF"/>
                    </w:rPr>
                    <w:t>對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員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工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  <w:lang w:eastAsia="zh-HK"/>
                    </w:rPr>
                    <w:t>扣薪</w:t>
                  </w:r>
                  <w:r w:rsidR="000454A2" w:rsidRPr="000454A2">
                    <w:rPr>
                      <w:rFonts w:ascii="標楷體" w:hAnsi="標楷體" w:hint="eastAsia"/>
                      <w:color w:val="7030A0"/>
                      <w:szCs w:val="24"/>
                    </w:rPr>
                    <w:t>)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：</w:t>
                  </w:r>
                </w:p>
                <w:p w14:paraId="6DFA4FD3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1.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回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收費用。</w:t>
                  </w:r>
                </w:p>
                <w:p w14:paraId="36D54F3C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2.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依額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度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回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收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本息及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欠繳：</w:t>
                  </w:r>
                </w:p>
                <w:p w14:paraId="304D74C2" w14:textId="77777777" w:rsidR="00C06E1B" w:rsidRPr="00D61C55" w:rsidRDefault="00C06E1B" w:rsidP="00C06E1B">
                  <w:pPr>
                    <w:rPr>
                      <w:rFonts w:ascii="標楷體" w:hAnsi="標楷體"/>
                      <w:color w:val="0070C0"/>
                      <w:lang w:eastAsia="zh-HK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(1)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依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計息起迄日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先到先還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。</w:t>
                  </w:r>
                </w:p>
                <w:p w14:paraId="1CC679BE" w14:textId="2E202188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hint="eastAsia"/>
                      <w:color w:val="0070C0"/>
                    </w:rPr>
                    <w:t>(2)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相同計息起迄日時，按利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率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由高至低依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序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償還。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8F8E093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邵淑微</w:t>
                  </w:r>
                </w:p>
                <w:p w14:paraId="05394146" w14:textId="5ECC47E9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C06E1B" w:rsidRDefault="00C06E1B" w:rsidP="00C06E1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C06E1B" w:rsidRPr="005E6478" w:rsidRDefault="00C06E1B" w:rsidP="00C06E1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06E1B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06E1B" w:rsidRPr="00905D58" w:rsidRDefault="00C06E1B" w:rsidP="00C06E1B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06E1B" w:rsidRPr="00905D58" w:rsidRDefault="00C06E1B" w:rsidP="00C06E1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06E1B" w:rsidRPr="00905D58" w:rsidRDefault="00C06E1B" w:rsidP="00C06E1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06E1B" w:rsidRPr="00905D58" w:rsidRDefault="00C06E1B" w:rsidP="00C06E1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06E1B" w:rsidRPr="00905D58" w:rsidRDefault="00C06E1B" w:rsidP="00C06E1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06E1B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C06E1B" w:rsidRDefault="00C06E1B" w:rsidP="00C06E1B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56813C54" w:rsidR="00C06E1B" w:rsidRPr="00157D89" w:rsidRDefault="00C06E1B" w:rsidP="00C06E1B">
            <w:pPr>
              <w:rPr>
                <w:rFonts w:ascii="標楷體" w:hAnsi="標楷體"/>
                <w:lang w:eastAsia="zh-HK"/>
              </w:rPr>
            </w:pPr>
            <w:r w:rsidRPr="0056402B">
              <w:rPr>
                <w:rFonts w:ascii="標楷體" w:hAnsi="標楷體" w:hint="eastAsia"/>
                <w:szCs w:val="24"/>
                <w:lang w:eastAsia="zh-HK"/>
              </w:rPr>
              <w:t>逾</w:t>
            </w:r>
            <w:r w:rsidRPr="0056402B">
              <w:rPr>
                <w:rFonts w:ascii="標楷體" w:hAnsi="標楷體" w:hint="eastAsia"/>
                <w:szCs w:val="24"/>
              </w:rPr>
              <w:t>期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時併入員</w:t>
            </w:r>
            <w:r w:rsidRPr="0056402B">
              <w:rPr>
                <w:rFonts w:ascii="標楷體" w:hAnsi="標楷體" w:hint="eastAsia"/>
                <w:szCs w:val="24"/>
              </w:rPr>
              <w:t>工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扣薪作</w:t>
            </w:r>
            <w:r w:rsidRPr="0056402B">
              <w:rPr>
                <w:rFonts w:ascii="標楷體" w:hAnsi="標楷體" w:hint="eastAsia"/>
                <w:szCs w:val="24"/>
              </w:rPr>
              <w:t>業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處</w:t>
            </w:r>
            <w:r w:rsidRPr="0056402B">
              <w:rPr>
                <w:rFonts w:ascii="標楷體" w:hAnsi="標楷體" w:hint="eastAsia"/>
                <w:szCs w:val="24"/>
              </w:rPr>
              <w:t>理，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請清河確認有關逾期處理及應扣金額計算方式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44F16" w14:textId="77777777" w:rsidR="00C06E1B" w:rsidRDefault="00C06E1B" w:rsidP="00C06E1B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47336E4B" w14:textId="558AE066" w:rsidR="00C06E1B" w:rsidRPr="00605E66" w:rsidRDefault="00C06E1B" w:rsidP="00C06E1B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23C2DA22" w:rsidR="00C06E1B" w:rsidRDefault="00C06E1B" w:rsidP="00C06E1B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110/10/6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C06E1B" w:rsidRPr="009871C7" w:rsidRDefault="00C06E1B" w:rsidP="00C06E1B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8001E" w14:textId="77777777" w:rsidR="005C2AE2" w:rsidRDefault="005C2AE2">
      <w:r>
        <w:separator/>
      </w:r>
    </w:p>
  </w:endnote>
  <w:endnote w:type="continuationSeparator" w:id="0">
    <w:p w14:paraId="64E4524D" w14:textId="77777777" w:rsidR="005C2AE2" w:rsidRDefault="005C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D27227D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CE503A">
            <w:fldChar w:fldCharType="begin"/>
          </w:r>
          <w:r w:rsidR="00CE503A">
            <w:instrText xml:space="preserve"> FILENAME </w:instrText>
          </w:r>
          <w:r w:rsidR="00CE503A">
            <w:fldChar w:fldCharType="separate"/>
          </w:r>
          <w:r w:rsidR="008105EA">
            <w:rPr>
              <w:rFonts w:hint="eastAsia"/>
              <w:noProof/>
            </w:rPr>
            <w:t>PJ201800012_</w:t>
          </w:r>
          <w:r w:rsidR="008105EA">
            <w:rPr>
              <w:rFonts w:hint="eastAsia"/>
              <w:noProof/>
            </w:rPr>
            <w:t>會議記錄</w:t>
          </w:r>
          <w:r w:rsidR="008105EA">
            <w:rPr>
              <w:rFonts w:hint="eastAsia"/>
              <w:noProof/>
            </w:rPr>
            <w:t>_20210929v01.0.docx</w:t>
          </w:r>
          <w:r w:rsidR="00CE503A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603FE4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CE503A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CE503A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B1E5A" w14:textId="77777777" w:rsidR="005C2AE2" w:rsidRDefault="005C2AE2">
      <w:r>
        <w:separator/>
      </w:r>
    </w:p>
  </w:footnote>
  <w:footnote w:type="continuationSeparator" w:id="0">
    <w:p w14:paraId="45F3DDFF" w14:textId="77777777" w:rsidR="005C2AE2" w:rsidRDefault="005C2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CE503A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03A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CE503A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8"/>
  </w:num>
  <w:num w:numId="18">
    <w:abstractNumId w:val="11"/>
  </w:num>
  <w:num w:numId="19">
    <w:abstractNumId w:val="5"/>
  </w:num>
  <w:num w:numId="20">
    <w:abstractNumId w:val="32"/>
  </w:num>
  <w:num w:numId="21">
    <w:abstractNumId w:val="37"/>
  </w:num>
  <w:num w:numId="22">
    <w:abstractNumId w:val="30"/>
  </w:num>
  <w:num w:numId="23">
    <w:abstractNumId w:val="33"/>
  </w:num>
  <w:num w:numId="24">
    <w:abstractNumId w:val="15"/>
  </w:num>
  <w:num w:numId="25">
    <w:abstractNumId w:val="24"/>
  </w:num>
  <w:num w:numId="26">
    <w:abstractNumId w:val="26"/>
  </w:num>
  <w:num w:numId="27">
    <w:abstractNumId w:val="4"/>
  </w:num>
  <w:num w:numId="28">
    <w:abstractNumId w:val="20"/>
  </w:num>
  <w:num w:numId="29">
    <w:abstractNumId w:val="29"/>
  </w:num>
  <w:num w:numId="30">
    <w:abstractNumId w:val="34"/>
  </w:num>
  <w:num w:numId="31">
    <w:abstractNumId w:val="8"/>
  </w:num>
  <w:num w:numId="32">
    <w:abstractNumId w:val="38"/>
  </w:num>
  <w:num w:numId="33">
    <w:abstractNumId w:val="14"/>
  </w:num>
  <w:num w:numId="34">
    <w:abstractNumId w:val="31"/>
  </w:num>
  <w:num w:numId="35">
    <w:abstractNumId w:val="27"/>
  </w:num>
  <w:num w:numId="36">
    <w:abstractNumId w:val="19"/>
  </w:num>
  <w:num w:numId="37">
    <w:abstractNumId w:val="9"/>
  </w:num>
  <w:num w:numId="38">
    <w:abstractNumId w:val="25"/>
  </w:num>
  <w:num w:numId="39">
    <w:abstractNumId w:val="23"/>
  </w:num>
  <w:num w:numId="40">
    <w:abstractNumId w:val="6"/>
  </w:num>
  <w:num w:numId="41">
    <w:abstractNumId w:val="22"/>
  </w:num>
  <w:num w:numId="42">
    <w:abstractNumId w:val="35"/>
  </w:num>
  <w:num w:numId="43">
    <w:abstractNumId w:val="12"/>
  </w:num>
  <w:num w:numId="44">
    <w:abstractNumId w:val="10"/>
  </w:num>
  <w:num w:numId="45">
    <w:abstractNumId w:val="13"/>
  </w:num>
  <w:num w:numId="4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454A2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386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6E0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2AE2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3F94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06E1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E503A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1C55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3A03D1D-AA07-41D5-9310-7ACF9147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1065</Words>
  <Characters>491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6</cp:revision>
  <cp:lastPrinted>2007-04-19T07:32:00Z</cp:lastPrinted>
  <dcterms:created xsi:type="dcterms:W3CDTF">2021-10-04T08:40:00Z</dcterms:created>
  <dcterms:modified xsi:type="dcterms:W3CDTF">2021-10-05T11:20:00Z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