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ECF675E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086744">
              <w:rPr>
                <w:rFonts w:ascii="標楷體" w:hAnsi="標楷體" w:hint="eastAsia"/>
              </w:rPr>
              <w:t>9713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20FFEB0" w:rsidR="00086744" w:rsidRPr="00D56B13" w:rsidRDefault="00086744" w:rsidP="00A20FE3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應收票據之帳齡分析表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AFFCF4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086744">
              <w:rPr>
                <w:rFonts w:ascii="標楷體" w:hAnsi="標楷體" w:hint="eastAsia"/>
              </w:rPr>
              <w:t>9713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092E5C5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086744">
              <w:rPr>
                <w:rFonts w:ascii="標楷體" w:hAnsi="標楷體" w:hint="eastAsia"/>
              </w:rPr>
              <w:t>9713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086744">
              <w:rPr>
                <w:rFonts w:ascii="標楷體" w:hAnsi="標楷體" w:hint="eastAsia"/>
              </w:rPr>
              <w:t>9713</w:t>
            </w:r>
            <w:r w:rsidRPr="00D56B13">
              <w:rPr>
                <w:rFonts w:ascii="標楷體" w:hAnsi="標楷體"/>
              </w:rPr>
              <w:t>.tom , L</w:t>
            </w:r>
            <w:r w:rsidR="00086744">
              <w:rPr>
                <w:rFonts w:ascii="標楷體" w:hAnsi="標楷體" w:hint="eastAsia"/>
              </w:rPr>
              <w:t>9713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A043C25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086744">
              <w:rPr>
                <w:rFonts w:ascii="標楷體" w:hAnsi="標楷體" w:hint="eastAsia"/>
              </w:rPr>
              <w:t>9713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086744">
              <w:rPr>
                <w:rFonts w:ascii="標楷體" w:hAnsi="標楷體" w:hint="eastAsia"/>
              </w:rPr>
              <w:t>9713</w:t>
            </w:r>
            <w:r w:rsidRPr="00D56B13">
              <w:rPr>
                <w:rFonts w:ascii="標楷體" w:hAnsi="標楷體"/>
              </w:rPr>
              <w:t>Report.java , L</w:t>
            </w:r>
            <w:r w:rsidR="00086744">
              <w:rPr>
                <w:rFonts w:ascii="標楷體" w:hAnsi="標楷體" w:hint="eastAsia"/>
              </w:rPr>
              <w:t>9713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D5BD045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086744">
              <w:rPr>
                <w:rFonts w:ascii="標楷體" w:hAnsi="標楷體" w:hint="eastAsia"/>
              </w:rPr>
              <w:t>應收票據之帳齡分析表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B1BBD9B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086744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62060B74" w:rsidR="00703D65" w:rsidRPr="00D56B13" w:rsidRDefault="00980FE9" w:rsidP="0008674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086744">
              <w:rPr>
                <w:rFonts w:ascii="標楷體" w:hAnsi="標楷體" w:hint="eastAsia"/>
              </w:rPr>
              <w:t>713 應收票據之帳齡分析表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3F22E20" w:rsidR="00703D65" w:rsidRPr="00D56B13" w:rsidRDefault="0008674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088E3A68" w14:textId="04F7A582" w:rsidR="004D573A" w:rsidRPr="00086744" w:rsidRDefault="00086744" w:rsidP="00CA52C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086744">
        <w:rPr>
          <w:rFonts w:ascii="標楷體" w:hAnsi="標楷體" w:hint="eastAsia"/>
          <w:sz w:val="24"/>
        </w:rPr>
        <w:t>無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58ED40B1" w:rsidR="00062AC5" w:rsidRPr="00D56B13" w:rsidRDefault="003C201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2F0AFE26" w:rsidR="00062AC5" w:rsidRPr="00D56B13" w:rsidRDefault="003C2011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</w:t>
      </w:r>
      <w:r w:rsidR="00086744">
        <w:rPr>
          <w:rFonts w:ascii="標楷體" w:hAnsi="標楷體" w:hint="eastAsia"/>
          <w:sz w:val="24"/>
        </w:rPr>
        <w:t xml:space="preserve">: </w:t>
      </w:r>
      <w:r w:rsidR="00251705" w:rsidRPr="00D56B13">
        <w:rPr>
          <w:rFonts w:ascii="標楷體" w:hAnsi="標楷體" w:hint="eastAsia"/>
          <w:sz w:val="24"/>
        </w:rPr>
        <w:t>999</w:t>
      </w:r>
      <w:r w:rsidR="00086744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5E8448F1" w:rsidR="0030195D" w:rsidRDefault="0025170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D56B13">
        <w:rPr>
          <w:rFonts w:ascii="標楷體" w:hAnsi="標楷體" w:hint="eastAsia"/>
        </w:rPr>
        <w:t xml:space="preserve">特殊處理: </w:t>
      </w:r>
      <w:r w:rsidR="00086744">
        <w:rPr>
          <w:rFonts w:ascii="標楷體" w:hAnsi="標楷體" w:hint="eastAsia"/>
        </w:rPr>
        <w:t>合理日期且不得大於系統會計日期。</w:t>
      </w:r>
    </w:p>
    <w:p w14:paraId="23792E5D" w14:textId="0E7CA611" w:rsidR="00086744" w:rsidRPr="00D56B13" w:rsidRDefault="00086744" w:rsidP="00086744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上傳檔案</w:t>
      </w:r>
      <w:r w:rsidRPr="00D56B13">
        <w:rPr>
          <w:rFonts w:ascii="標楷體" w:hAnsi="標楷體" w:hint="eastAsia"/>
          <w:sz w:val="24"/>
        </w:rPr>
        <w:t>:</w:t>
      </w:r>
    </w:p>
    <w:p w14:paraId="13EF2AC8" w14:textId="2D8059E3" w:rsidR="00086744" w:rsidRPr="00086744" w:rsidRDefault="00086744" w:rsidP="00086744">
      <w:pPr>
        <w:pStyle w:val="50"/>
        <w:numPr>
          <w:ilvl w:val="0"/>
          <w:numId w:val="14"/>
        </w:numPr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上傳檔案</w:t>
      </w:r>
      <w:r w:rsidR="00E143AF">
        <w:rPr>
          <w:rFonts w:ascii="標楷體" w:hAnsi="標楷體" w:hint="eastAsia"/>
          <w:sz w:val="24"/>
        </w:rPr>
        <w:t>介面。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90D3730" w:rsidR="0030195D" w:rsidRDefault="00E143A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根據上傳檔案</w:t>
      </w:r>
      <w:r w:rsidR="00C2144B">
        <w:rPr>
          <w:rFonts w:ascii="標楷體" w:hAnsi="標楷體" w:hint="eastAsia"/>
        </w:rPr>
        <w:t>的支票日期與傳入參數的資料年月</w:t>
      </w:r>
      <w:r w:rsidR="000347E3">
        <w:rPr>
          <w:rFonts w:ascii="標楷體" w:hAnsi="標楷體" w:hint="eastAsia"/>
        </w:rPr>
        <w:t>比較</w:t>
      </w:r>
      <w:r>
        <w:rPr>
          <w:rFonts w:ascii="標楷體" w:hAnsi="標楷體" w:hint="eastAsia"/>
        </w:rPr>
        <w:t>統計應收票據帳齡</w:t>
      </w:r>
      <w:r w:rsidR="008A7449" w:rsidRPr="00D56B13">
        <w:rPr>
          <w:rFonts w:ascii="標楷體" w:hAnsi="標楷體" w:hint="eastAsia"/>
        </w:rPr>
        <w:t>。</w:t>
      </w:r>
    </w:p>
    <w:p w14:paraId="76699AA7" w14:textId="06AB762C" w:rsidR="003C2011" w:rsidRPr="00D56B13" w:rsidRDefault="003C2011" w:rsidP="003C201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特殊處理</w:t>
      </w:r>
      <w:r w:rsidRPr="00D56B13">
        <w:rPr>
          <w:rFonts w:ascii="標楷體" w:hAnsi="標楷體" w:hint="eastAsia"/>
          <w:sz w:val="24"/>
        </w:rPr>
        <w:t>】:</w:t>
      </w:r>
    </w:p>
    <w:p w14:paraId="3EC7EC3B" w14:textId="07A7BE26" w:rsidR="003C2011" w:rsidRPr="003C2011" w:rsidRDefault="003C2011" w:rsidP="003C2011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>
        <w:rPr>
          <w:rFonts w:ascii="標楷體" w:hAnsi="標楷體" w:hint="eastAsia"/>
        </w:rPr>
        <w:t>依輸入參數的資料年月，寫入Ac</w:t>
      </w:r>
      <w:r>
        <w:rPr>
          <w:rFonts w:ascii="標楷體" w:hAnsi="標楷體"/>
        </w:rPr>
        <w:t>Cheque</w:t>
      </w:r>
      <w:r>
        <w:rPr>
          <w:rFonts w:ascii="標楷體" w:hAnsi="標楷體" w:hint="eastAsia"/>
        </w:rPr>
        <w:t>應收票據資料檔，若該資料年月已存在，將原資料清除，以上傳檔案之內容寫入</w:t>
      </w:r>
      <w:r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4D4D0347" w:rsidR="001101FB" w:rsidRPr="00D56B13" w:rsidRDefault="00E143A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放款部應收票據之帳齡分析表－</w:t>
            </w:r>
            <w:r>
              <w:rPr>
                <w:rFonts w:ascii="標楷體" w:hAnsi="標楷體"/>
              </w:rPr>
              <w:t>yyy</w:t>
            </w:r>
            <w:r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/>
              </w:rPr>
              <w:t>mm</w:t>
            </w:r>
            <w:r>
              <w:rPr>
                <w:rFonts w:ascii="標楷體" w:hAnsi="標楷體" w:hint="eastAsia"/>
              </w:rPr>
              <w:t>月份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77EA41C1" w:rsidR="001101FB" w:rsidRPr="00D56B13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E633F9" w14:textId="77777777" w:rsidR="001101FB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FBF9B25" w14:textId="355F148C" w:rsidR="00E143AF" w:rsidRPr="00D56B13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6421AAF" w:rsidR="001101FB" w:rsidRPr="00D56B13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帳齡</w:t>
            </w:r>
          </w:p>
        </w:tc>
        <w:tc>
          <w:tcPr>
            <w:tcW w:w="3917" w:type="dxa"/>
          </w:tcPr>
          <w:p w14:paraId="2C7730BB" w14:textId="21067AA0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FA10FF" w14:textId="77777777" w:rsidR="001101FB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A9C90AC" w14:textId="77777777" w:rsidR="00E143AF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30日以下</w:t>
            </w:r>
          </w:p>
          <w:p w14:paraId="1B920DDE" w14:textId="150E0380" w:rsidR="00E143AF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30日~60日(y</w:t>
            </w:r>
            <w:r>
              <w:rPr>
                <w:rFonts w:ascii="標楷體" w:hAnsi="標楷體"/>
              </w:rPr>
              <w:t>yy/mm</w:t>
            </w:r>
            <w:r>
              <w:rPr>
                <w:rFonts w:ascii="標楷體" w:hAnsi="標楷體" w:hint="eastAsia"/>
              </w:rPr>
              <w:t>月)</w:t>
            </w:r>
          </w:p>
          <w:p w14:paraId="594B4DB7" w14:textId="1C5E22B0" w:rsidR="00E143AF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60日~90日(y</w:t>
            </w:r>
            <w:r>
              <w:rPr>
                <w:rFonts w:ascii="標楷體" w:hAnsi="標楷體"/>
              </w:rPr>
              <w:t>yy/mm</w:t>
            </w:r>
            <w:r>
              <w:rPr>
                <w:rFonts w:ascii="標楷體" w:hAnsi="標楷體" w:hint="eastAsia"/>
              </w:rPr>
              <w:t>月)</w:t>
            </w:r>
          </w:p>
          <w:p w14:paraId="58819E0E" w14:textId="5A3EE955" w:rsidR="00E143AF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4~6個月(y</w:t>
            </w:r>
            <w:r>
              <w:rPr>
                <w:rFonts w:ascii="標楷體" w:hAnsi="標楷體"/>
              </w:rPr>
              <w:t>yy/mm~yyy/mm</w:t>
            </w:r>
            <w:r>
              <w:rPr>
                <w:rFonts w:ascii="標楷體" w:hAnsi="標楷體" w:hint="eastAsia"/>
              </w:rPr>
              <w:t>月)</w:t>
            </w:r>
          </w:p>
          <w:p w14:paraId="149B8330" w14:textId="48D31305" w:rsidR="00E143AF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7~12個月(y</w:t>
            </w:r>
            <w:r>
              <w:rPr>
                <w:rFonts w:ascii="標楷體" w:hAnsi="標楷體"/>
              </w:rPr>
              <w:t>yy/mm</w:t>
            </w:r>
            <w:r>
              <w:rPr>
                <w:rFonts w:ascii="標楷體" w:hAnsi="標楷體" w:hint="eastAsia"/>
              </w:rPr>
              <w:t>~y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/m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月)</w:t>
            </w:r>
          </w:p>
          <w:p w14:paraId="73954A13" w14:textId="27976588" w:rsidR="00E143AF" w:rsidRPr="00D56B13" w:rsidRDefault="00E143AF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1年以上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7E89630" w:rsidR="001101FB" w:rsidRPr="00D56B13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4BFA6ACC" w14:textId="60D6B08A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DC75257" w:rsidR="001101FB" w:rsidRPr="00D56B13" w:rsidRDefault="00E143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比例</w:t>
            </w:r>
          </w:p>
        </w:tc>
        <w:tc>
          <w:tcPr>
            <w:tcW w:w="3917" w:type="dxa"/>
          </w:tcPr>
          <w:p w14:paraId="508BA2B6" w14:textId="12AEBE28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61F5FE7" w14:textId="0F1914EE" w:rsidR="00B714F2" w:rsidRPr="00D56B13" w:rsidRDefault="006F23D3" w:rsidP="00F06A1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47E3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674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1C9C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2011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97CA9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05E9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3D3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44B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3AF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A16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10404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255</cp:revision>
  <dcterms:created xsi:type="dcterms:W3CDTF">2015-11-06T01:06:00Z</dcterms:created>
  <dcterms:modified xsi:type="dcterms:W3CDTF">2021-05-05T09:35:00Z</dcterms:modified>
</cp:coreProperties>
</file>