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2E4B" w14:textId="54455433" w:rsidR="00302D47" w:rsidRDefault="21114BDD" w:rsidP="324C2D93">
      <w:pPr>
        <w:rPr>
          <w:rFonts w:ascii="Aptos" w:eastAsia="Aptos" w:hAnsi="Aptos" w:cs="Aptos"/>
          <w:color w:val="000000" w:themeColor="text1"/>
        </w:rPr>
      </w:pPr>
      <w:r w:rsidRPr="324C2D93">
        <w:rPr>
          <w:rFonts w:ascii="Aptos" w:eastAsia="Aptos" w:hAnsi="Aptos" w:cs="Aptos"/>
          <w:color w:val="000000" w:themeColor="text1"/>
        </w:rPr>
        <w:t>IE 466 – Group HSnP</w:t>
      </w:r>
    </w:p>
    <w:p w14:paraId="6496E888" w14:textId="3E1FB30F" w:rsidR="00302D47" w:rsidRDefault="21114BDD" w:rsidP="324C2D93">
      <w:pPr>
        <w:rPr>
          <w:rFonts w:ascii="Aptos" w:eastAsia="Aptos" w:hAnsi="Aptos" w:cs="Aptos"/>
          <w:color w:val="000000" w:themeColor="text1"/>
        </w:rPr>
      </w:pPr>
      <w:r w:rsidRPr="324C2D93">
        <w:rPr>
          <w:rFonts w:ascii="Aptos" w:eastAsia="Aptos" w:hAnsi="Aptos" w:cs="Aptos"/>
          <w:color w:val="000000" w:themeColor="text1"/>
        </w:rPr>
        <w:t>The Pennsylvania State University</w:t>
      </w:r>
    </w:p>
    <w:p w14:paraId="1B25C5F6" w14:textId="49E44DDD" w:rsidR="00302D47" w:rsidRDefault="21114BDD" w:rsidP="324C2D93">
      <w:pPr>
        <w:rPr>
          <w:rFonts w:ascii="Aptos" w:eastAsia="Aptos" w:hAnsi="Aptos" w:cs="Aptos"/>
          <w:color w:val="000000" w:themeColor="text1"/>
        </w:rPr>
      </w:pPr>
      <w:r w:rsidRPr="324C2D93">
        <w:rPr>
          <w:rFonts w:ascii="Aptos" w:eastAsia="Aptos" w:hAnsi="Aptos" w:cs="Aptos"/>
          <w:color w:val="000000" w:themeColor="text1"/>
        </w:rPr>
        <w:t>Fall 2025</w:t>
      </w:r>
    </w:p>
    <w:p w14:paraId="5B21C41B" w14:textId="668C3030" w:rsidR="00302D47" w:rsidRDefault="21114BDD" w:rsidP="324C2D93">
      <w:pPr>
        <w:rPr>
          <w:rFonts w:ascii="Aptos" w:eastAsia="Aptos" w:hAnsi="Aptos" w:cs="Aptos"/>
          <w:color w:val="000000" w:themeColor="text1"/>
        </w:rPr>
      </w:pPr>
      <w:r w:rsidRPr="324C2D93">
        <w:rPr>
          <w:rFonts w:ascii="Aptos" w:eastAsia="Aptos" w:hAnsi="Aptos" w:cs="Aptos"/>
          <w:color w:val="000000" w:themeColor="text1"/>
        </w:rPr>
        <w:t>Due Date: Dec 1, 2025</w:t>
      </w:r>
    </w:p>
    <w:p w14:paraId="2AAF2562" w14:textId="7DC93F51" w:rsidR="144F5CCF" w:rsidRDefault="144F5CCF" w:rsidP="207183DE">
      <w:pPr>
        <w:jc w:val="center"/>
        <w:rPr>
          <w:rFonts w:ascii="Aptos" w:eastAsia="Aptos" w:hAnsi="Aptos" w:cs="Aptos"/>
          <w:color w:val="000000" w:themeColor="text1"/>
          <w:u w:val="single"/>
        </w:rPr>
      </w:pPr>
      <w:r w:rsidRPr="207183DE">
        <w:rPr>
          <w:rFonts w:ascii="Aptos" w:eastAsia="Aptos" w:hAnsi="Aptos" w:cs="Aptos"/>
          <w:color w:val="000000" w:themeColor="text1"/>
          <w:u w:val="single"/>
        </w:rPr>
        <w:t>Team HW#5 – Prototype, Feedback, and Redesign Recommendations</w:t>
      </w:r>
    </w:p>
    <w:p w14:paraId="51F6484C" w14:textId="507D5169" w:rsidR="5DE58973" w:rsidRDefault="144F5CCF" w:rsidP="5DE58973">
      <w:r>
        <w:rPr>
          <w:noProof/>
        </w:rPr>
        <w:drawing>
          <wp:inline distT="0" distB="0" distL="0" distR="0" wp14:anchorId="16CAD36F" wp14:editId="0023F58B">
            <wp:extent cx="5943600" cy="3829050"/>
            <wp:effectExtent l="0" t="0" r="0" b="0"/>
            <wp:docPr id="1134026579" name="drawing">
              <a:extLst xmlns:a="http://schemas.openxmlformats.org/drawingml/2006/main">
                <a:ext uri="{FF2B5EF4-FFF2-40B4-BE49-F238E27FC236}">
                  <a16:creationId xmlns:a16="http://schemas.microsoft.com/office/drawing/2014/main" id="{DA54C272-C3B9-45C9-81B7-85B42E64C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26579" name="Picture 1134026579"/>
                    <pic:cNvPicPr/>
                  </pic:nvPicPr>
                  <pic:blipFill>
                    <a:blip r:embed="rId4">
                      <a:extLst>
                        <a:ext uri="{28A0092B-C50C-407E-A947-70E740481C1C}">
                          <a14:useLocalDpi xmlns:a14="http://schemas.microsoft.com/office/drawing/2010/main"/>
                        </a:ext>
                      </a:extLst>
                    </a:blip>
                    <a:stretch>
                      <a:fillRect/>
                    </a:stretch>
                  </pic:blipFill>
                  <pic:spPr>
                    <a:xfrm>
                      <a:off x="0" y="0"/>
                      <a:ext cx="5943600" cy="3829050"/>
                    </a:xfrm>
                    <a:prstGeom prst="rect">
                      <a:avLst/>
                    </a:prstGeom>
                  </pic:spPr>
                </pic:pic>
              </a:graphicData>
            </a:graphic>
          </wp:inline>
        </w:drawing>
      </w:r>
    </w:p>
    <w:p w14:paraId="3B75D934" w14:textId="03F57C39" w:rsidR="144F5CCF" w:rsidRDefault="144F5CCF" w:rsidP="0F79C8B2">
      <w:r>
        <w:rPr>
          <w:noProof/>
        </w:rPr>
        <w:drawing>
          <wp:inline distT="0" distB="0" distL="0" distR="0" wp14:anchorId="4C6F7B33" wp14:editId="0FD4E1ED">
            <wp:extent cx="5943600" cy="3419475"/>
            <wp:effectExtent l="0" t="0" r="0" b="0"/>
            <wp:docPr id="1854201511" name="drawing">
              <a:extLst xmlns:a="http://schemas.openxmlformats.org/drawingml/2006/main">
                <a:ext uri="{FF2B5EF4-FFF2-40B4-BE49-F238E27FC236}">
                  <a16:creationId xmlns:a16="http://schemas.microsoft.com/office/drawing/2014/main" id="{B23AFAE7-AC61-4F41-A752-5487B1597F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1511" name="Picture 1854201511"/>
                    <pic:cNvPicPr/>
                  </pic:nvPicPr>
                  <pic:blipFill>
                    <a:blip r:embed="rId5">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14:paraId="3E5642FD" w14:textId="1B02B5E8" w:rsidR="157982DC" w:rsidRDefault="157982DC" w:rsidP="5DE58973">
      <w:r>
        <w:rPr>
          <w:noProof/>
        </w:rPr>
        <w:drawing>
          <wp:inline distT="0" distB="0" distL="0" distR="0" wp14:anchorId="3123DDE1" wp14:editId="015E2A77">
            <wp:extent cx="5943600" cy="3571875"/>
            <wp:effectExtent l="0" t="0" r="0" b="0"/>
            <wp:docPr id="521208954" name="drawing">
              <a:extLst xmlns:a="http://schemas.openxmlformats.org/drawingml/2006/main">
                <a:ext uri="{FF2B5EF4-FFF2-40B4-BE49-F238E27FC236}">
                  <a16:creationId xmlns:a16="http://schemas.microsoft.com/office/drawing/2014/main" id="{CA433DBD-E4F8-4AF3-80DE-CE94E77998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8954" name="Picture 521208954"/>
                    <pic:cNvPicPr/>
                  </pic:nvPicPr>
                  <pic:blipFill>
                    <a:blip r:embed="rId6">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14:paraId="7211A2AC" w14:textId="01A97899" w:rsidR="00302D47" w:rsidRDefault="21114BDD" w:rsidP="324C2D93">
      <w:pPr>
        <w:rPr>
          <w:rFonts w:ascii="Times New Roman" w:eastAsia="Times New Roman" w:hAnsi="Times New Roman" w:cs="Times New Roman"/>
          <w:color w:val="000000" w:themeColor="text1"/>
        </w:rPr>
      </w:pPr>
      <w:r w:rsidRPr="324C2D93">
        <w:rPr>
          <w:rFonts w:ascii="Times New Roman" w:eastAsia="Times New Roman" w:hAnsi="Times New Roman" w:cs="Times New Roman"/>
          <w:color w:val="000000" w:themeColor="text1"/>
        </w:rPr>
        <w:t>During user testing, we reached out to four classmates outside our team to evaluate our prototype. We looked at three main things while conducting user testing</w:t>
      </w:r>
      <w:r w:rsidR="7A1536D0" w:rsidRPr="324C2D93">
        <w:rPr>
          <w:rFonts w:ascii="Times New Roman" w:eastAsia="Times New Roman" w:hAnsi="Times New Roman" w:cs="Times New Roman"/>
          <w:color w:val="000000" w:themeColor="text1"/>
        </w:rPr>
        <w:t>,</w:t>
      </w:r>
      <w:r w:rsidRPr="324C2D93">
        <w:rPr>
          <w:rFonts w:ascii="Times New Roman" w:eastAsia="Times New Roman" w:hAnsi="Times New Roman" w:cs="Times New Roman"/>
          <w:color w:val="000000" w:themeColor="text1"/>
        </w:rPr>
        <w:t xml:space="preserve"> which were practicality, </w:t>
      </w:r>
      <w:r w:rsidR="320329C0" w:rsidRPr="324C2D93">
        <w:rPr>
          <w:rFonts w:ascii="Times New Roman" w:eastAsia="Times New Roman" w:hAnsi="Times New Roman" w:cs="Times New Roman"/>
          <w:color w:val="000000" w:themeColor="text1"/>
        </w:rPr>
        <w:t xml:space="preserve">usability, and the </w:t>
      </w:r>
      <w:r w:rsidR="324C2D93" w:rsidRPr="324C2D93">
        <w:rPr>
          <w:rFonts w:ascii="Times New Roman" w:eastAsia="Times New Roman" w:hAnsi="Times New Roman" w:cs="Times New Roman"/>
          <w:color w:val="000000" w:themeColor="text1"/>
        </w:rPr>
        <w:t>o</w:t>
      </w:r>
      <w:r w:rsidR="320329C0" w:rsidRPr="324C2D93">
        <w:rPr>
          <w:rFonts w:ascii="Times New Roman" w:eastAsia="Times New Roman" w:hAnsi="Times New Roman" w:cs="Times New Roman"/>
          <w:color w:val="000000" w:themeColor="text1"/>
        </w:rPr>
        <w:t>verall value of our phone lockbox. T</w:t>
      </w:r>
      <w:r w:rsidR="7A2C5975" w:rsidRPr="324C2D93">
        <w:rPr>
          <w:rFonts w:ascii="Times New Roman" w:eastAsia="Times New Roman" w:hAnsi="Times New Roman" w:cs="Times New Roman"/>
          <w:color w:val="000000" w:themeColor="text1"/>
        </w:rPr>
        <w:t>esters liked the idea and said that the device could genuinely help with studying, self-care routines, and reducing screen</w:t>
      </w:r>
      <w:r w:rsidR="1152B676" w:rsidRPr="324C2D93">
        <w:rPr>
          <w:rFonts w:ascii="Times New Roman" w:eastAsia="Times New Roman" w:hAnsi="Times New Roman" w:cs="Times New Roman"/>
          <w:color w:val="000000" w:themeColor="text1"/>
        </w:rPr>
        <w:t xml:space="preserve"> </w:t>
      </w:r>
      <w:r w:rsidR="7A2C5975" w:rsidRPr="324C2D93">
        <w:rPr>
          <w:rFonts w:ascii="Times New Roman" w:eastAsia="Times New Roman" w:hAnsi="Times New Roman" w:cs="Times New Roman"/>
          <w:color w:val="000000" w:themeColor="text1"/>
        </w:rPr>
        <w:t xml:space="preserve">time. </w:t>
      </w:r>
      <w:r w:rsidR="3187E2E8" w:rsidRPr="324C2D93">
        <w:rPr>
          <w:rFonts w:ascii="Times New Roman" w:eastAsia="Times New Roman" w:hAnsi="Times New Roman" w:cs="Times New Roman"/>
          <w:color w:val="000000" w:themeColor="text1"/>
        </w:rPr>
        <w:t xml:space="preserve">The first piece of feedback we received was that our design felt too broad, and that trying to support different use cases </w:t>
      </w:r>
      <w:r w:rsidR="5C8DDF83" w:rsidRPr="324C2D93">
        <w:rPr>
          <w:rFonts w:ascii="Times New Roman" w:eastAsia="Times New Roman" w:hAnsi="Times New Roman" w:cs="Times New Roman"/>
          <w:color w:val="000000" w:themeColor="text1"/>
        </w:rPr>
        <w:t xml:space="preserve">made our product harder to understand. Second, testers noted that having four separate </w:t>
      </w:r>
      <w:r w:rsidR="522A7544" w:rsidRPr="324C2D93">
        <w:rPr>
          <w:rFonts w:ascii="Times New Roman" w:eastAsia="Times New Roman" w:hAnsi="Times New Roman" w:cs="Times New Roman"/>
          <w:color w:val="000000" w:themeColor="text1"/>
        </w:rPr>
        <w:t xml:space="preserve">parts made the lockbox feel more complicated to assemble, and the locking mechanism was complicated. Finally, users suggested that we define our target market to </w:t>
      </w:r>
      <w:r w:rsidR="0084ACF9" w:rsidRPr="324C2D93">
        <w:rPr>
          <w:rFonts w:ascii="Times New Roman" w:eastAsia="Times New Roman" w:hAnsi="Times New Roman" w:cs="Times New Roman"/>
          <w:color w:val="000000" w:themeColor="text1"/>
        </w:rPr>
        <w:t>focus on</w:t>
      </w:r>
      <w:r w:rsidR="522A7544" w:rsidRPr="324C2D93">
        <w:rPr>
          <w:rFonts w:ascii="Times New Roman" w:eastAsia="Times New Roman" w:hAnsi="Times New Roman" w:cs="Times New Roman"/>
          <w:color w:val="000000" w:themeColor="text1"/>
        </w:rPr>
        <w:t xml:space="preserve"> design features more effectively. </w:t>
      </w:r>
    </w:p>
    <w:p w14:paraId="1F3F2CF5" w14:textId="7CFF8A89" w:rsidR="00302D47" w:rsidRDefault="60A0CCCD" w:rsidP="324C2D93">
      <w:pPr>
        <w:rPr>
          <w:rFonts w:ascii="Times New Roman" w:eastAsia="Times New Roman" w:hAnsi="Times New Roman" w:cs="Times New Roman"/>
          <w:color w:val="000000" w:themeColor="text1"/>
        </w:rPr>
      </w:pPr>
      <w:r w:rsidRPr="324C2D93">
        <w:rPr>
          <w:rFonts w:ascii="Times New Roman" w:eastAsia="Times New Roman" w:hAnsi="Times New Roman" w:cs="Times New Roman"/>
          <w:color w:val="000000" w:themeColor="text1"/>
        </w:rPr>
        <w:t>If we had more time to work on the project, we would have done deeper market research to define our primary users and shape the product around their needs. Based on this, we w</w:t>
      </w:r>
      <w:r w:rsidR="75375A45" w:rsidRPr="324C2D93">
        <w:rPr>
          <w:rFonts w:ascii="Times New Roman" w:eastAsia="Times New Roman" w:hAnsi="Times New Roman" w:cs="Times New Roman"/>
          <w:color w:val="000000" w:themeColor="text1"/>
        </w:rPr>
        <w:t xml:space="preserve">ould redesign the lockbox to reduce the number of components from four to two. This would make it easier to manufacture, more intuitive to use, and durable. This improved design would build a strong product image and make it feel </w:t>
      </w:r>
      <w:r w:rsidR="301DF806" w:rsidRPr="324C2D93">
        <w:rPr>
          <w:rFonts w:ascii="Times New Roman" w:eastAsia="Times New Roman" w:hAnsi="Times New Roman" w:cs="Times New Roman"/>
          <w:color w:val="000000" w:themeColor="text1"/>
        </w:rPr>
        <w:t xml:space="preserve">built for purpose rather than being general. </w:t>
      </w:r>
    </w:p>
    <w:p w14:paraId="2C078E63" w14:textId="00E2E2C0" w:rsidR="00302D47" w:rsidRDefault="00302D47"/>
    <w:sectPr w:rsidR="00302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545EDA"/>
    <w:rsid w:val="00302D47"/>
    <w:rsid w:val="00311962"/>
    <w:rsid w:val="003D57FC"/>
    <w:rsid w:val="00410ECA"/>
    <w:rsid w:val="00561C6A"/>
    <w:rsid w:val="00580B66"/>
    <w:rsid w:val="007737CF"/>
    <w:rsid w:val="0084ACF9"/>
    <w:rsid w:val="00863B47"/>
    <w:rsid w:val="00893439"/>
    <w:rsid w:val="00902DC7"/>
    <w:rsid w:val="00CD1E32"/>
    <w:rsid w:val="00DD0CA5"/>
    <w:rsid w:val="06F29AB7"/>
    <w:rsid w:val="091A154F"/>
    <w:rsid w:val="0F79C8B2"/>
    <w:rsid w:val="1152B676"/>
    <w:rsid w:val="144F5CCF"/>
    <w:rsid w:val="157982DC"/>
    <w:rsid w:val="207183DE"/>
    <w:rsid w:val="21114BDD"/>
    <w:rsid w:val="23545EDA"/>
    <w:rsid w:val="2A7F2E53"/>
    <w:rsid w:val="301DF806"/>
    <w:rsid w:val="3187E2E8"/>
    <w:rsid w:val="320329C0"/>
    <w:rsid w:val="324C2D93"/>
    <w:rsid w:val="32BB7D8A"/>
    <w:rsid w:val="34E65197"/>
    <w:rsid w:val="37C3491B"/>
    <w:rsid w:val="3A5CF27F"/>
    <w:rsid w:val="3F4556C0"/>
    <w:rsid w:val="4E7066AE"/>
    <w:rsid w:val="522A7544"/>
    <w:rsid w:val="5C8DDF83"/>
    <w:rsid w:val="5CA7A327"/>
    <w:rsid w:val="5CA9865B"/>
    <w:rsid w:val="5DE58973"/>
    <w:rsid w:val="60A0CCCD"/>
    <w:rsid w:val="6FB2B7D7"/>
    <w:rsid w:val="71565C0F"/>
    <w:rsid w:val="7410EEE8"/>
    <w:rsid w:val="75375A45"/>
    <w:rsid w:val="753A9761"/>
    <w:rsid w:val="7A1536D0"/>
    <w:rsid w:val="7A2C5975"/>
    <w:rsid w:val="7B810053"/>
    <w:rsid w:val="7BC86B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3545EDA"/>
  <w15:chartTrackingRefBased/>
  <w15:docId w15:val="{E6A8FA5B-0760-4A71-A376-58CEF2C3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Pachade, Hemanth Ryan</dc:creator>
  <cp:keywords/>
  <dc:description/>
  <cp:lastModifiedBy>Pachade, Hemanth Ryan</cp:lastModifiedBy>
  <cp:revision>1</cp:revision>
  <dcterms:created xsi:type="dcterms:W3CDTF">2025-12-07T19:10:00Z</dcterms:created>
  <dcterms:modified xsi:type="dcterms:W3CDTF">2025-12-08T20:09:00Z</dcterms:modified>
</cp:coreProperties>
</file>