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Agent Systems 研究型进阶专题 A</w:t>
      </w:r>
    </w:p>
    <w:p>
      <w:pPr>
        <w:jc w:val="center"/>
      </w:pPr>
      <w:r>
        <w:rPr>
          <w:b/>
          <w:sz w:val="40"/>
        </w:rPr>
        <w:t>第20讲：第一篇论文正式实验设计书</w:t>
      </w:r>
    </w:p>
    <w:p>
      <w:pPr>
        <w:jc w:val="center"/>
      </w:pPr>
      <w:r>
        <w:rPr>
          <w:color w:val="666666"/>
          <w:sz w:val="20"/>
        </w:rPr>
        <w:t>Frozen Design · Falsification · Resource Guard</w:t>
      </w:r>
    </w:p>
    <w:p>
      <w:pPr>
        <w:jc w:val="center"/>
      </w:pPr>
      <w:r>
        <w:rPr>
          <w:b/>
          <w:color w:val="548235"/>
          <w:sz w:val="21"/>
        </w:rPr>
        <w:t>用途：真实实验前签字式冻结，不是事后解释结果的文档</w:t>
      </w:r>
    </w:p>
    <w:p/>
    <w:p>
      <w:pPr>
        <w:pStyle w:val="Heading1"/>
      </w:pPr>
      <w:r>
        <w:t>1. Working Title</w:t>
      </w:r>
    </w:p>
    <w:p>
      <w:r>
        <w:t>Experience Divergence Induces Functional Heterogeneity and Error Decorrelation in Persistent LLM Agent Teams</w:t>
      </w:r>
    </w:p>
    <w:p>
      <w:pPr>
        <w:pStyle w:val="Heading1"/>
      </w:pPr>
      <w:r>
        <w:t>2. Primary Research Question</w:t>
      </w:r>
    </w:p>
    <w:p>
      <w:r>
        <w:t>在基础模型、system prompt、role、tools、memory capacity 和 retrieval budget 相同的条件下，不同长期 experience streams 是否会塑造功能性异质性，并通过降低错误相关在固定多数聚合下带来集体收益？</w:t>
      </w:r>
    </w:p>
    <w:p>
      <w:pPr>
        <w:pStyle w:val="Heading1"/>
      </w:pPr>
      <w:r>
        <w:t>3. Hypotheses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r>
              <w:rPr>
                <w:b/>
                <w:sz w:val="16"/>
              </w:rPr>
              <w:t>Hypothesis</w:t>
            </w:r>
          </w:p>
        </w:tc>
        <w:tc>
          <w:tcPr>
            <w:tcW w:type="dxa" w:w="5083"/>
            <w:shd w:fill="D9EAF7"/>
            <w:vAlign w:val="center"/>
          </w:tcPr>
          <w:p>
            <w:r>
              <w:rPr>
                <w:b/>
                <w:sz w:val="16"/>
              </w:rPr>
              <w:t>可证伪预测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6"/>
              </w:rPr>
              <w:t>H1 Experience use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6"/>
              </w:rPr>
              <w:t>C2 retrieval/usage 可观测；C3 关闭 memory 后相关行为回退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6"/>
              </w:rPr>
              <w:t>H2 Heterogeneity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6"/>
              </w:rPr>
              <w:t>C2 Agent×Family specialization &gt; C1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6"/>
              </w:rPr>
              <w:t>H3 Decorrelation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6"/>
              </w:rPr>
              <w:t>C2 pairwise φ / double-fault &lt; C1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6"/>
              </w:rPr>
              <w:t>H4 Collective gain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6"/>
              </w:rPr>
              <w:t>C2 majority error &lt; C1，且 gain &gt; 0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6"/>
              </w:rPr>
              <w:t>H5 Bank causality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6"/>
              </w:rPr>
              <w:t>C4 Memory-Swap 后 specialty 跟随 bank 而非 Agent ID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6"/>
              </w:rPr>
              <w:t>Boundary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6"/>
              </w:rPr>
              <w:t>C5 Full-Share 使 specialization 下降或 error recoupling 上升</w:t>
            </w:r>
          </w:p>
        </w:tc>
      </w:tr>
    </w:tbl>
    <w:p>
      <w:pPr>
        <w:pStyle w:val="Heading1"/>
      </w:pPr>
      <w:r>
        <w:t>4. Fixed Variables</w:t>
      </w:r>
    </w:p>
    <w:p>
      <w:pPr>
        <w:pStyle w:val="ListBullet"/>
      </w:pPr>
      <w:r>
        <w:t>Benchmark / domain / task split；</w:t>
      </w:r>
    </w:p>
    <w:p>
      <w:pPr>
        <w:pStyle w:val="ListBullet"/>
      </w:pPr>
      <w:r>
        <w:t>Base model 与 provider；</w:t>
      </w:r>
    </w:p>
    <w:p>
      <w:pPr>
        <w:pStyle w:val="ListBullet"/>
      </w:pPr>
      <w:r>
        <w:t>System prompt / role / tools；</w:t>
      </w:r>
    </w:p>
    <w:p>
      <w:pPr>
        <w:pStyle w:val="ListBullet"/>
      </w:pPr>
      <w:r>
        <w:t>Temperature / reasoning settings；</w:t>
      </w:r>
    </w:p>
    <w:p>
      <w:pPr>
        <w:pStyle w:val="ListBullet"/>
      </w:pPr>
      <w:r>
        <w:t>Memory capacity / retrieval top-k；</w:t>
      </w:r>
    </w:p>
    <w:p>
      <w:pPr>
        <w:pStyle w:val="ListBullet"/>
      </w:pPr>
      <w:r>
        <w:t>Aggregation rule；</w:t>
      </w:r>
    </w:p>
    <w:p>
      <w:pPr>
        <w:pStyle w:val="ListBullet"/>
      </w:pPr>
      <w:r>
        <w:t>Task IDs / trials / seed policy；</w:t>
      </w:r>
    </w:p>
    <w:p>
      <w:pPr>
        <w:pStyle w:val="ListBullet"/>
      </w:pPr>
      <w:r>
        <w:t>Primary metrics / analysis scripts。</w:t>
      </w:r>
    </w:p>
    <w:p>
      <w:pPr>
        <w:pStyle w:val="Heading1"/>
      </w:pPr>
      <w:r>
        <w:t>5. Core Conditions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3389"/>
            <w:shd w:fill="D9EAF7"/>
            <w:vAlign w:val="center"/>
          </w:tcPr>
          <w:p>
            <w:r>
              <w:rPr>
                <w:b/>
                <w:sz w:val="16"/>
              </w:rPr>
              <w:t>Condition</w:t>
            </w:r>
          </w:p>
        </w:tc>
        <w:tc>
          <w:tcPr>
            <w:tcW w:type="dxa" w:w="3389"/>
            <w:shd w:fill="D9EAF7"/>
            <w:vAlign w:val="center"/>
          </w:tcPr>
          <w:p>
            <w:r>
              <w:rPr>
                <w:b/>
                <w:sz w:val="16"/>
              </w:rPr>
              <w:t>Memory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C0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No Memory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C1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Shared Experience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same bank for all agents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C2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Divergent Experience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family-divergent banks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C3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Memory-Off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same C2 history, retrieval disabled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C4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Memory-Swap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C2 banks permuted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C5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Full-Share Boundary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C2 banks merged/shared</w:t>
            </w:r>
          </w:p>
        </w:tc>
      </w:tr>
    </w:tbl>
    <w:p>
      <w:pPr>
        <w:pStyle w:val="Heading1"/>
      </w:pPr>
      <w:r>
        <w:t>6. Primary / Secondary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r>
              <w:rPr>
                <w:b/>
                <w:sz w:val="16"/>
              </w:rPr>
              <w:t>Primary</w:t>
            </w:r>
          </w:p>
        </w:tc>
        <w:tc>
          <w:tcPr>
            <w:tcW w:type="dxa" w:w="5083"/>
            <w:shd w:fill="D9EAF7"/>
            <w:vAlign w:val="center"/>
          </w:tcPr>
          <w:p>
            <w:r>
              <w:rPr>
                <w:b/>
                <w:sz w:val="16"/>
              </w:rPr>
              <w:t>Secondary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6"/>
              </w:rPr>
              <w:t>Specialization Index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6"/>
              </w:rPr>
              <w:t>retrieval hit / memory usage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6"/>
              </w:rPr>
              <w:t>pairwise error φ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6"/>
              </w:rPr>
              <w:t>cost / latency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6"/>
              </w:rPr>
              <w:t>double-fault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6"/>
              </w:rPr>
              <w:t>failure family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6"/>
              </w:rPr>
              <w:t>majority error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6"/>
              </w:rPr>
              <w:t>oracle coverage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6"/>
              </w:rPr>
              <w:t>collective gain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6"/>
              </w:rPr>
              <w:t>trace-level First Bad Span</w:t>
            </w:r>
          </w:p>
        </w:tc>
      </w:tr>
    </w:tbl>
    <w:p>
      <w:pPr>
        <w:pStyle w:val="Heading1"/>
      </w:pPr>
      <w:r>
        <w:t>7. Sample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shd w:fill="D9EAF7"/>
            <w:vAlign w:val="center"/>
          </w:tcPr>
          <w:p>
            <w:r>
              <w:rPr>
                <w:b/>
                <w:sz w:val="16"/>
              </w:rPr>
              <w:t>Stage</w:t>
            </w:r>
          </w:p>
        </w:tc>
        <w:tc>
          <w:tcPr>
            <w:tcW w:type="dxa" w:w="1694"/>
            <w:shd w:fill="D9EAF7"/>
            <w:vAlign w:val="center"/>
          </w:tcPr>
          <w:p>
            <w:r>
              <w:rPr>
                <w:b/>
                <w:sz w:val="16"/>
              </w:rPr>
              <w:t>Tasks</w:t>
            </w:r>
          </w:p>
        </w:tc>
        <w:tc>
          <w:tcPr>
            <w:tcW w:type="dxa" w:w="1694"/>
            <w:shd w:fill="D9EAF7"/>
            <w:vAlign w:val="center"/>
          </w:tcPr>
          <w:p>
            <w:r>
              <w:rPr>
                <w:b/>
                <w:sz w:val="16"/>
              </w:rPr>
              <w:t>Trials</w:t>
            </w:r>
          </w:p>
        </w:tc>
        <w:tc>
          <w:tcPr>
            <w:tcW w:type="dxa" w:w="1694"/>
            <w:shd w:fill="D9EAF7"/>
            <w:vAlign w:val="center"/>
          </w:tcPr>
          <w:p>
            <w:r>
              <w:rPr>
                <w:b/>
                <w:sz w:val="16"/>
              </w:rPr>
              <w:t>Conditions</w:t>
            </w:r>
          </w:p>
        </w:tc>
        <w:tc>
          <w:tcPr>
            <w:tcW w:type="dxa" w:w="1694"/>
            <w:shd w:fill="D9EAF7"/>
            <w:vAlign w:val="center"/>
          </w:tcPr>
          <w:p>
            <w:r>
              <w:rPr>
                <w:b/>
                <w:sz w:val="16"/>
              </w:rPr>
              <w:t>Agents</w:t>
            </w:r>
          </w:p>
        </w:tc>
        <w:tc>
          <w:tcPr>
            <w:tcW w:type="dxa" w:w="1694"/>
            <w:shd w:fill="D9EAF7"/>
            <w:vAlign w:val="center"/>
          </w:tcPr>
          <w:p>
            <w:r>
              <w:rPr>
                <w:b/>
                <w:sz w:val="16"/>
              </w:rPr>
              <w:t>Approx. trajectories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6"/>
              </w:rPr>
              <w:t>Smoke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6"/>
              </w:rPr>
              <w:t>6-10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6"/>
              </w:rPr>
              <w:t>90-150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6"/>
              </w:rPr>
              <w:t>Pilot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6"/>
              </w:rPr>
              <w:t>300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6"/>
              </w:rPr>
              <w:t>Confirmatory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6"/>
              </w:rPr>
              <w:t>900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6"/>
              </w:rPr>
              <w:t>Boundary C5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6"/>
              </w:rPr>
              <w:t>按 Gate 后决定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6"/>
              </w:rPr>
              <w:t>1-2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6"/>
              </w:rPr>
              <w:t>单独预算</w:t>
            </w:r>
          </w:p>
        </w:tc>
      </w:tr>
    </w:tbl>
    <w:p>
      <w:pPr>
        <w:pStyle w:val="Heading1"/>
      </w:pPr>
      <w:r>
        <w:t>8. Decision Rules</w:t>
      </w:r>
    </w:p>
    <w:p>
      <w:pPr>
        <w:pStyle w:val="ListBullet"/>
      </w:pPr>
      <w:r>
        <w:t>Implementation / schema / leakage failure → 修复后重跑，不视为理论否定。</w:t>
      </w:r>
    </w:p>
    <w:p>
      <w:pPr>
        <w:pStyle w:val="ListBullet"/>
      </w:pPr>
      <w:r>
        <w:t>C2 无稳定 specialization → 否定/重做 experience manipulation；不直接扩样本。</w:t>
      </w:r>
    </w:p>
    <w:p>
      <w:pPr>
        <w:pStyle w:val="ListBullet"/>
      </w:pPr>
      <w:r>
        <w:t>有 specialization 但 φ 不降 → 原“异质性→互补错误”链断裂，停止主故事。</w:t>
      </w:r>
    </w:p>
    <w:p>
      <w:pPr>
        <w:pStyle w:val="ListBullet"/>
      </w:pPr>
      <w:r>
        <w:t>φ 降但 collective gain 不出现 → 转向 aggregation bottleneck，而不是声称原论文成功。</w:t>
      </w:r>
    </w:p>
    <w:p>
      <w:pPr>
        <w:pStyle w:val="ListBullet"/>
      </w:pPr>
      <w:r>
        <w:t>Memory-Off 不回退或 Memory-Swap 不跟 bank → 优先怀疑隐藏 confound。</w:t>
      </w:r>
    </w:p>
    <w:p>
      <w:pPr>
        <w:pStyle w:val="ListBullet"/>
      </w:pPr>
      <w:r>
        <w:t>只有核心 Gate 全部方向成立，才进入 Confirmatory。</w:t>
      </w:r>
    </w:p>
    <w:p>
      <w:pPr>
        <w:pStyle w:val="Heading1"/>
      </w:pPr>
      <w:r>
        <w:t>9. Statistical Plan</w:t>
      </w:r>
    </w:p>
    <w:p>
      <w:pPr>
        <w:pStyle w:val="ListBullet"/>
      </w:pPr>
      <w:r>
        <w:t>所有条件共享同一批 case，优先 paired analysis。</w:t>
      </w:r>
    </w:p>
    <w:p>
      <w:pPr>
        <w:pStyle w:val="ListBullet"/>
      </w:pPr>
      <w:r>
        <w:t>Primary contrast：C2 vs C1；C2 vs C3/C4 为机制检查。</w:t>
      </w:r>
    </w:p>
    <w:p>
      <w:pPr>
        <w:pStyle w:val="ListBullet"/>
      </w:pPr>
      <w:r>
        <w:t>对 majority error / specialization / φ 报告效应量和 bootstrap 95% CI。</w:t>
      </w:r>
    </w:p>
    <w:p>
      <w:pPr>
        <w:pStyle w:val="ListBullet"/>
      </w:pPr>
      <w:r>
        <w:t>Failure trace 用于解释边界，不替代总体统计。</w:t>
      </w:r>
    </w:p>
    <w:p>
      <w:pPr>
        <w:pStyle w:val="ListBullet"/>
      </w:pPr>
      <w:r>
        <w:t>Confirmatory 阶段不按结果新增 primary metric。</w:t>
      </w:r>
    </w:p>
    <w:p>
      <w:pPr>
        <w:pStyle w:val="Heading1"/>
      </w:pPr>
      <w:r>
        <w:t>10. Deadline</w:t>
      </w:r>
    </w:p>
    <w:p>
      <w:r>
        <w:t>项目启动：2026-10-01。第一版完整实验与论文草稿目标：2026-12-31。每周必须留下机器可检查产物，而不是只留下“学了什么”。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Borders>
              <w:top w:val="single" w:sz="8" w:color="548235"/>
              <w:bottom w:val="single" w:sz="8" w:color="548235"/>
              <w:left w:val="single" w:sz="8" w:color="548235"/>
              <w:right w:val="single" w:sz="8" w:color="548235"/>
            </w:tcBorders>
          </w:tcPr>
          <w:p>
            <w:pPr>
              <w:spacing w:after="40"/>
            </w:pPr>
            <w:r>
              <w:rPr>
                <w:b/>
                <w:color w:val="548235"/>
                <w:sz w:val="20"/>
              </w:rPr>
              <w:t>签字式规则：如果真实 Pilot 否定主链，就接受否定。真正的科研闭环包括“否决一个不成立的故事”，而不是只有发表成功。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Agent Systems 研究型进阶专题 A · 第20讲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66666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