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center"/>
      </w:pPr>
      <w:r>
        <w:rPr>
          <w:rFonts w:ascii="Noto Sans CJK SC" w:hAnsi="Noto Sans CJK SC" w:eastAsia="Noto Sans CJK SC"/>
          <w:b/>
          <w:color w:val="1F4E79"/>
          <w:sz w:val="40"/>
        </w:rPr>
        <w:t>Agent Systems 研究型进阶专题 A · 第 9 讲</w:t>
      </w:r>
    </w:p>
    <w:p>
      <w:pPr>
        <w:spacing w:after="180"/>
        <w:jc w:val="center"/>
      </w:pPr>
      <w:r>
        <w:rPr>
          <w:rFonts w:ascii="Noto Sans CJK SC" w:hAnsi="Noto Sans CJK SC" w:eastAsia="Noto Sans CJK SC"/>
          <w:b/>
          <w:color w:val="C0504D"/>
          <w:sz w:val="33"/>
        </w:rPr>
        <w:t>实验设计书：Optimal Communication Depth / Early Stopping</w:t>
      </w:r>
    </w:p>
    <w:p>
      <w:pPr>
        <w:pStyle w:val="Heading1"/>
        <w:spacing w:after="80"/>
      </w:pPr>
      <w:r>
        <w:rPr>
          <w:rFonts w:ascii="Noto Sans CJK SC" w:hAnsi="Noto Sans CJK SC" w:eastAsia="Noto Sans CJK SC"/>
          <w:b w:val="0"/>
        </w:rPr>
        <w:t>研究问题（RQ）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  <w:sz w:val="20"/>
        </w:rPr>
        <w:t>RQ1：随着通信轮次增加，majority error 是否单调下降，还是出现饱和/反转？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  <w:sz w:val="20"/>
        </w:rPr>
        <w:t>RQ2：helpful flip 与 harmful flip 的边际比值怎样随 round 变化？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  <w:sz w:val="20"/>
        </w:rPr>
        <w:t>RQ3：error correlation 是否在性能已经饱和后仍继续增长？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  <w:sz w:val="20"/>
        </w:rPr>
        <w:t>RQ4：不使用 ground truth 的 stopping rule 能否以更少调用接近某个固定深度的系统表现？</w:t>
      </w:r>
    </w:p>
    <w:p>
      <w:pPr>
        <w:pStyle w:val="Heading1"/>
        <w:spacing w:after="80"/>
      </w:pPr>
      <w:r>
        <w:rPr>
          <w:rFonts w:ascii="Noto Sans CJK SC" w:hAnsi="Noto Sans CJK SC" w:eastAsia="Noto Sans CJK SC"/>
          <w:b w:val="0"/>
        </w:rPr>
        <w:t>实验结构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2016"/>
            <w:shd w:fill="4472C4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元素</w:t>
            </w:r>
          </w:p>
        </w:tc>
        <w:tc>
          <w:tcPr>
            <w:tcW w:type="dxa" w:w="1728"/>
            <w:shd w:fill="4472C4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固定/变化</w:t>
            </w:r>
          </w:p>
        </w:tc>
        <w:tc>
          <w:tcPr>
            <w:tcW w:type="dxa" w:w="6192"/>
            <w:shd w:fill="4472C4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说明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Proposal set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固定</w:t>
            </w:r>
          </w:p>
        </w:tc>
        <w:tc>
          <w:tcPr>
            <w:tcW w:type="dxa" w:w="6192"/>
            <w:vAlign w:val="center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所有轮次同一批 WRITE proposals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Round-0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固定</w:t>
            </w:r>
          </w:p>
        </w:tc>
        <w:tc>
          <w:tcPr>
            <w:tcW w:type="dxa" w:w="6192"/>
            <w:vAlign w:val="center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同一份独立初始判断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Communication protocol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固定</w:t>
            </w:r>
          </w:p>
        </w:tc>
        <w:tc>
          <w:tcPr>
            <w:tcW w:type="dxa" w:w="6192"/>
            <w:vAlign w:val="center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本讲默认 evidence-first + dissent guard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Depth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变化</w:t>
            </w:r>
          </w:p>
        </w:tc>
        <w:tc>
          <w:tcPr>
            <w:tcW w:type="dxa" w:w="6192"/>
            <w:vAlign w:val="center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R1-R4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Stopping policy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变化</w:t>
            </w:r>
          </w:p>
        </w:tc>
        <w:tc>
          <w:tcPr>
            <w:tcW w:type="dxa" w:w="6192"/>
            <w:vAlign w:val="center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Fixed-1/2/3/4 vs EASS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Ground truth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仅评估使用</w:t>
            </w:r>
          </w:p>
        </w:tc>
        <w:tc>
          <w:tcPr>
            <w:tcW w:type="dxa" w:w="6192"/>
            <w:vAlign w:val="center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绝不用于 runtime stop</w:t>
            </w:r>
          </w:p>
        </w:tc>
      </w:tr>
    </w:tbl>
    <w:p/>
    <w:p>
      <w:pPr>
        <w:pStyle w:val="Heading1"/>
        <w:spacing w:after="80"/>
      </w:pPr>
      <w:r>
        <w:rPr>
          <w:rFonts w:ascii="Noto Sans CJK SC" w:hAnsi="Noto Sans CJK SC" w:eastAsia="Noto Sans CJK SC"/>
          <w:b w:val="0"/>
        </w:rPr>
        <w:t>主要指标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  <w:sz w:val="20"/>
        </w:rPr>
        <w:t>Outcome：majority error、dangerous miss、false block、wrong consensus。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  <w:sz w:val="20"/>
        </w:rPr>
        <w:t>Dynamics：helpful flips、harmful flips、net correction、evidence novelty。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  <w:sz w:val="20"/>
        </w:rPr>
        <w:t>Structure：pairwise disagreement、pairwise error φ。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  <w:sz w:val="20"/>
        </w:rPr>
        <w:t>Efficiency：平均 rounds、reviewer calls、cumulative token/cost/latency。</w:t>
      </w:r>
    </w:p>
    <w:p>
      <w:pPr>
        <w:pStyle w:val="Heading1"/>
        <w:spacing w:after="80"/>
      </w:pPr>
      <w:r>
        <w:rPr>
          <w:rFonts w:ascii="Noto Sans CJK SC" w:hAnsi="Noto Sans CJK SC" w:eastAsia="Noto Sans CJK SC"/>
          <w:b w:val="0"/>
        </w:rPr>
        <w:t>EASS 的预注册规则</w:t>
      </w:r>
    </w:p>
    <w:p>
      <w:pPr>
        <w:spacing w:after="80"/>
      </w:pPr>
      <w:r>
        <w:rPr>
          <w:rFonts w:ascii="Noto Sans CJK SC" w:hAnsi="Noto Sans CJK SC" w:eastAsia="Noto Sans CJK SC"/>
          <w:b/>
        </w:rPr>
        <w:t>从 Round 2 开始，若 majority 与上一轮相同、当前轮最多 1/3 成员改判、且没有新增 evidence key，则停止；否则继续，最多 Round 4。任何看到结果后再改阈值的版本都必须标为 post-hoc exploratory。</w:t>
      </w:r>
    </w:p>
    <w:p>
      <w:pPr>
        <w:pStyle w:val="Heading1"/>
        <w:spacing w:after="80"/>
      </w:pPr>
      <w:r>
        <w:rPr>
          <w:rFonts w:ascii="Noto Sans CJK SC" w:hAnsi="Noto Sans CJK SC" w:eastAsia="Noto Sans CJK SC"/>
          <w:b w:val="0"/>
        </w:rPr>
        <w:t>主要混杂与风险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  <w:sz w:val="20"/>
        </w:rPr>
        <w:t>Evidence key 是模型生成的短标签，可能存在同义改写；正式研究应加入规范化或人工复核。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  <w:sz w:val="20"/>
        </w:rPr>
        <w:t>固定模型可能随服务端版本更新；必须记录 exact model ID、日期、provider。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  <w:sz w:val="20"/>
        </w:rPr>
        <w:t>同一 hard case 可能同时导致 disagreement、低置信度和新 evidence，不能把相关性误当因果。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  <w:sz w:val="20"/>
        </w:rPr>
        <w:t>EASS 若在 wrong consensus 上早停，说明“稳定”不是“正确”；应单独报告这类失败。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  <w:sz w:val="20"/>
        </w:rPr>
        <w:t>Rmax=4 是 Pilot 设计，不是理论最优；后续可以扩到更深轮次或引入 sequential test。</w:t>
      </w:r>
    </w:p>
    <w:p>
      <w:pPr>
        <w:pStyle w:val="Heading1"/>
        <w:spacing w:after="80"/>
      </w:pPr>
      <w:r>
        <w:rPr>
          <w:rFonts w:ascii="Noto Sans CJK SC" w:hAnsi="Noto Sans CJK SC" w:eastAsia="Noto Sans CJK SC"/>
          <w:b w:val="0"/>
        </w:rPr>
        <w:t>什么时候值得升级成论文？</w:t>
      </w:r>
    </w:p>
    <w:p>
      <w:pPr>
        <w:spacing w:after="80"/>
      </w:pPr>
      <w:r>
        <w:rPr>
          <w:rFonts w:ascii="Noto Sans CJK SC" w:hAnsi="Noto Sans CJK SC" w:eastAsia="Noto Sans CJK SC"/>
          <w:b w:val="0"/>
        </w:rPr>
        <w:t>至少要复现“早期纠错收益饱和 + 后期相关/成本继续变化”的动力学，并证明一个预注册 stopping rule 在跨 task / seed / model panel 上保持可解释的 cost-reliability trade-off。只在一批样本上调出一个最好看的阈值，不够。</w:t>
      </w:r>
    </w:p>
    <w:sectPr w:rsidR="00FC693F" w:rsidRPr="0006063C" w:rsidSect="00034616">
      <w:footerReference w:type="default" r:id="rId9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color w:val="787878"/>
        <w:sz w:val="17"/>
      </w:rPr>
      <w:t>Agent Systems 研究型进阶专题 A · 第 9 讲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8" w:lineRule="auto" w:after="90"/>
    </w:pPr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F5597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111111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