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第10讲：什么时候值得通信？</w:t>
      </w:r>
    </w:p>
    <w:p>
      <w:pPr>
        <w:jc w:val="center"/>
      </w:pPr>
      <w:r>
        <w:rPr>
          <w:b/>
          <w:color w:val="0F6B78"/>
          <w:sz w:val="26"/>
        </w:rPr>
        <w:t>Selective Deliberation / Adaptive Communication：把多 Agent 讨论留给真正需要它的样本</w:t>
      </w:r>
    </w:p>
    <w:p>
      <w:pPr>
        <w:jc w:val="center"/>
      </w:pPr>
      <w:r>
        <w:rPr>
          <w:i/>
          <w:color w:val="646464"/>
          <w:sz w:val="19"/>
        </w:rPr>
        <w:t>实验指导书：离线 Selective Deliberation Routing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2F0D9"/>
            <w:vAlign w:val="center"/>
          </w:tcPr>
          <w:p>
            <w:r>
              <w:rPr>
                <w:b/>
                <w:color w:val="2F6B3C"/>
                <w:sz w:val="21"/>
              </w:rPr>
              <w:t>本讲实验目标</w:t>
              <w:br/>
            </w:r>
            <w:r>
              <w:rPr>
                <w:sz w:val="19"/>
              </w:rPr>
              <w:t>不增加 API 调用，复用第9讲日志，比较“永不讨论 / 全部讨论 / 置信度路由 / 风险感知路由 / 预算路由”。</w:t>
            </w:r>
          </w:p>
        </w:tc>
      </w:tr>
    </w:tbl>
    <w:p>
      <w:pPr>
        <w:pStyle w:val="Heading1"/>
      </w:pPr>
      <w:r>
        <w:t>A. 输入文件</w:t>
      </w:r>
    </w:p>
    <w:p>
      <w:pPr>
        <w:pStyle w:val="ListBullet"/>
        <w:spacing w:after="40"/>
      </w:pPr>
      <w:r>
        <w:t>第9讲真实 `multiround.jsonl`：包含 R0–R4 或至少 R0–EASS 所需日志。</w:t>
      </w:r>
    </w:p>
    <w:p>
      <w:pPr>
        <w:pStyle w:val="ListBullet"/>
        <w:spacing w:after="40"/>
      </w:pPr>
      <w:r>
        <w:t>第9讲对应的 frozen Round-0 proposal input（仅用于生成风险标注模板时查看 candidate_tool）。</w:t>
      </w:r>
    </w:p>
    <w:p>
      <w:pPr>
        <w:pStyle w:val="ListBullet"/>
        <w:spacing w:after="40"/>
      </w:pPr>
      <w:r>
        <w:t>本讲 `risk_labels.csv`：人工填 LOW/MEDIUM/HIGH；严禁参考 human_label。</w:t>
      </w:r>
    </w:p>
    <w:p>
      <w:pPr>
        <w:pStyle w:val="Heading1"/>
      </w:pPr>
      <w:r>
        <w:t>B. 第1步：环境自检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7F7"/>
          </w:tcPr>
          <w:p>
            <w:r>
              <w:rPr>
                <w:rFonts w:ascii="DejaVu Sans Mono" w:hAnsi="DejaVu Sans Mono"/>
                <w:sz w:val="16"/>
              </w:rPr>
              <w:t>python src/00_dependency_check.py</w:t>
              <w:br/>
            </w:r>
          </w:p>
        </w:tc>
      </w:tr>
    </w:tbl>
    <w:p>
      <w:r>
        <w:t>本讲核心分析只用 Python 标准库，不需要 LiteLLM，也不需要再次调用商业 API。</w:t>
      </w:r>
    </w:p>
    <w:p>
      <w:pPr>
        <w:pStyle w:val="Heading1"/>
      </w:pPr>
      <w:r>
        <w:t>C. 第2步：生成风险标注模板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7F7"/>
          </w:tcPr>
          <w:p>
            <w:r>
              <w:rPr>
                <w:rFonts w:ascii="DejaVu Sans Mono" w:hAnsi="DejaVu Sans Mono"/>
                <w:sz w:val="16"/>
              </w:rPr>
              <w:t>python src/02_make_risk_template.py \</w:t>
              <w:br/>
            </w:r>
            <w:r>
              <w:rPr>
                <w:rFonts w:ascii="DejaVu Sans Mono" w:hAnsi="DejaVu Sans Mono"/>
                <w:sz w:val="16"/>
              </w:rPr>
              <w:t xml:space="preserve">  --round0-input ../A09/data/your_round0_inputs.jsonl \</w:t>
              <w:br/>
            </w:r>
            <w:r>
              <w:rPr>
                <w:rFonts w:ascii="DejaVu Sans Mono" w:hAnsi="DejaVu Sans Mono"/>
                <w:sz w:val="16"/>
              </w:rPr>
              <w:t xml:space="preserve">  --out data/risk_labels.csv</w:t>
              <w:br/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2CC"/>
            <w:vAlign w:val="center"/>
          </w:tcPr>
          <w:p>
            <w:r>
              <w:rPr>
                <w:b/>
                <w:color w:val="C55A11"/>
                <w:sz w:val="21"/>
              </w:rPr>
              <w:t>风险标注规则</w:t>
              <w:br/>
            </w:r>
            <w:r>
              <w:rPr>
                <w:sz w:val="19"/>
              </w:rPr>
              <w:t>LOW：易逆转、影响小；MEDIUM：有明显状态变化但可补救；HIGH：金额大、删除/取消/退款/账户状态等高影响 WRITE。风险标注的是“潜在后果”，不是“这次动作对不对”。</w:t>
            </w:r>
          </w:p>
        </w:tc>
      </w:tr>
    </w:tbl>
    <w:p>
      <w:pPr>
        <w:pStyle w:val="Heading1"/>
      </w:pPr>
      <w:r>
        <w:t>D. 第3步：构建 Solo / Deliberated 双分支数据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7F7"/>
          </w:tcPr>
          <w:p>
            <w:r>
              <w:rPr>
                <w:rFonts w:ascii="DejaVu Sans Mono" w:hAnsi="DejaVu Sans Mono"/>
                <w:sz w:val="16"/>
              </w:rPr>
              <w:t>python src/01_prepare_selective_dataset.py \</w:t>
              <w:br/>
            </w:r>
            <w:r>
              <w:rPr>
                <w:rFonts w:ascii="DejaVu Sans Mono" w:hAnsi="DejaVu Sans Mono"/>
                <w:sz w:val="16"/>
              </w:rPr>
              <w:t xml:space="preserve">  --multiround ../A09/data/your_multiround.jsonl \</w:t>
              <w:br/>
            </w:r>
            <w:r>
              <w:rPr>
                <w:rFonts w:ascii="DejaVu Sans Mono" w:hAnsi="DejaVu Sans Mono"/>
                <w:sz w:val="16"/>
              </w:rPr>
              <w:t xml:space="preserve">  --risk-csv data/risk_labels.csv \</w:t>
              <w:br/>
            </w:r>
            <w:r>
              <w:rPr>
                <w:rFonts w:ascii="DejaVu Sans Mono" w:hAnsi="DejaVu Sans Mono"/>
                <w:sz w:val="16"/>
              </w:rPr>
              <w:t xml:space="preserve">  --primary-member A \</w:t>
              <w:br/>
            </w:r>
            <w:r>
              <w:rPr>
                <w:rFonts w:ascii="DejaVu Sans Mono" w:hAnsi="DejaVu Sans Mono"/>
                <w:sz w:val="16"/>
              </w:rPr>
              <w:t xml:space="preserve">  --out data/selective_dataset.csv</w:t>
              <w:br/>
            </w:r>
          </w:p>
        </w:tc>
      </w:tr>
    </w:tbl>
    <w:p>
      <w:r>
        <w:t>Solo = Round-0 member A；Deliberated = 按第9讲 EASS 重建出的最终 majority。</w:t>
      </w:r>
    </w:p>
    <w:p>
      <w:pPr>
        <w:pStyle w:val="Heading1"/>
      </w:pPr>
      <w:r>
        <w:t>E. 第4步：比较 Router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7F7"/>
          </w:tcPr>
          <w:p>
            <w:r>
              <w:rPr>
                <w:rFonts w:ascii="DejaVu Sans Mono" w:hAnsi="DejaVu Sans Mono"/>
                <w:sz w:val="16"/>
              </w:rPr>
              <w:t>python src/03_analyze_selective_routing.py \</w:t>
              <w:br/>
            </w:r>
            <w:r>
              <w:rPr>
                <w:rFonts w:ascii="DejaVu Sans Mono" w:hAnsi="DejaVu Sans Mono"/>
                <w:sz w:val="16"/>
              </w:rPr>
              <w:t xml:space="preserve">  --input data/selective_dataset.csv \</w:t>
              <w:br/>
            </w:r>
            <w:r>
              <w:rPr>
                <w:rFonts w:ascii="DejaVu Sans Mono" w:hAnsi="DejaVu Sans Mono"/>
                <w:sz w:val="16"/>
              </w:rPr>
              <w:t xml:space="preserve">  --outdir outputs/real \</w:t>
              <w:br/>
            </w:r>
            <w:r>
              <w:rPr>
                <w:rFonts w:ascii="DejaVu Sans Mono" w:hAnsi="DejaVu Sans Mono"/>
                <w:sz w:val="16"/>
              </w:rPr>
              <w:t xml:space="preserve">  --confidence-threshold 0.65 \</w:t>
              <w:br/>
            </w:r>
            <w:r>
              <w:rPr>
                <w:rFonts w:ascii="DejaVu Sans Mono" w:hAnsi="DejaVu Sans Mono"/>
                <w:sz w:val="16"/>
              </w:rPr>
              <w:t xml:space="preserve">  --raur-threshold 0.45 \</w:t>
              <w:br/>
            </w:r>
            <w:r>
              <w:rPr>
                <w:rFonts w:ascii="DejaVu Sans Mono" w:hAnsi="DejaVu Sans Mono"/>
                <w:sz w:val="16"/>
              </w:rPr>
              <w:t xml:space="preserve">  --alpha 0.60 \</w:t>
              <w:br/>
            </w:r>
            <w:r>
              <w:rPr>
                <w:rFonts w:ascii="DejaVu Sans Mono" w:hAnsi="DejaVu Sans Mono"/>
                <w:sz w:val="16"/>
              </w:rPr>
              <w:t xml:space="preserve">  --budget-frac 0.30</w:t>
              <w:br/>
            </w:r>
          </w:p>
        </w:tc>
      </w:tr>
    </w:tbl>
    <w:p>
      <w:pPr>
        <w:pStyle w:val="Heading1"/>
      </w:pPr>
      <w:r>
        <w:t>F. 先复现 Teaching Mock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7F7"/>
          </w:tcPr>
          <w:p>
            <w:r>
              <w:rPr>
                <w:rFonts w:ascii="DejaVu Sans Mono" w:hAnsi="DejaVu Sans Mono"/>
                <w:sz w:val="16"/>
              </w:rPr>
              <w:t>python src/04_generate_teaching_mock.py --out data/recheck_mock.csv</w:t>
              <w:br/>
            </w:r>
            <w:r>
              <w:rPr>
                <w:rFonts w:ascii="DejaVu Sans Mono" w:hAnsi="DejaVu Sans Mono"/>
                <w:sz w:val="16"/>
              </w:rPr>
              <w:t>python src/03_analyze_selective_routing.py --input data/recheck_mock.csv --outdir outputs/recheck</w:t>
              <w:br/>
            </w:r>
          </w:p>
        </w:tc>
      </w:tr>
    </w:tbl>
    <w:p>
      <w:pPr>
        <w:pStyle w:val="Heading1"/>
      </w:pPr>
      <w:r>
        <w:t>G. 你要重点打开的输出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213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policy_summary.csv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总比较：升级率、错误率、风险加权错误、高风险漏放、成本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raur_threshold_sweep.csv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看阈值变化形成的 reliability-cost 曲线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case_audit.csv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逐样本检查 confidence-only 与 RAUR 为什么做出不同路由</w:t>
            </w:r>
          </w:p>
        </w:tc>
      </w:tr>
    </w:tbl>
    <w:p>
      <w:pPr>
        <w:pStyle w:val="Heading1"/>
      </w:pPr>
      <w:r>
        <w:t>H. 真实实验最小规模</w:t>
      </w:r>
    </w:p>
    <w:p>
      <w:pPr>
        <w:pStyle w:val="ListBullet"/>
        <w:spacing w:after="40"/>
      </w:pPr>
      <w:r>
        <w:t>先用 20–30 proposals 做 smoke analysis。</w:t>
      </w:r>
    </w:p>
    <w:p>
      <w:pPr>
        <w:pStyle w:val="ListBullet"/>
        <w:spacing w:after="40"/>
      </w:pPr>
      <w:r>
        <w:t>确认风险标签没有偷看答案。</w:t>
      </w:r>
    </w:p>
    <w:p>
      <w:pPr>
        <w:pStyle w:val="ListBullet"/>
        <w:spacing w:after="40"/>
      </w:pPr>
      <w:r>
        <w:t>确认 primary member 固定。</w:t>
      </w:r>
    </w:p>
    <w:p>
      <w:pPr>
        <w:pStyle w:val="ListBullet"/>
        <w:spacing w:after="40"/>
      </w:pPr>
      <w:r>
        <w:t>确认 EASS 重建与第9讲结果一致。</w:t>
      </w:r>
    </w:p>
    <w:p>
      <w:pPr>
        <w:pStyle w:val="ListBullet"/>
        <w:spacing w:after="40"/>
      </w:pPr>
      <w:r>
        <w:t>再扩到完整 proposal 集。</w:t>
      </w:r>
    </w:p>
    <w:p>
      <w:pPr>
        <w:pStyle w:val="Heading1"/>
      </w:pPr>
      <w:r>
        <w:t>I. 成功标准</w:t>
      </w:r>
    </w:p>
    <w:p>
      <w:pPr>
        <w:pStyle w:val="ListBullet"/>
        <w:spacing w:after="40"/>
      </w:pPr>
      <w:r>
        <w:t>至少有一种 selective policy 在显著低于 100% escalation 时，保留大部分 Deliberate-All 的风险收益。</w:t>
      </w:r>
    </w:p>
    <w:p>
      <w:pPr>
        <w:pStyle w:val="ListBullet"/>
        <w:spacing w:after="40"/>
      </w:pPr>
      <w:r>
        <w:t>能明确找到 confidence-only 漏掉的 confidently-wrong high-risk 案例。</w:t>
      </w:r>
    </w:p>
    <w:p>
      <w:pPr>
        <w:pStyle w:val="ListBullet"/>
        <w:spacing w:after="40"/>
      </w:pPr>
      <w:r>
        <w:t>Panel harm rate 被显式报告，而不是只报告修复数。</w:t>
      </w:r>
    </w:p>
    <w:p>
      <w:pPr>
        <w:pStyle w:val="ListBullet"/>
        <w:spacing w:after="40"/>
      </w:pPr>
      <w:r>
        <w:t>阈值选择过程与 test 结果隔离。</w:t>
      </w:r>
    </w:p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Systems 研究型进阶专题 A · 第10讲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