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第10讲：什么时候值得通信？</w:t>
      </w:r>
    </w:p>
    <w:p>
      <w:pPr>
        <w:jc w:val="center"/>
      </w:pPr>
      <w:r>
        <w:rPr>
          <w:b/>
          <w:color w:val="0F6B78"/>
          <w:sz w:val="26"/>
        </w:rPr>
        <w:t>Selective Deliberation / Adaptive Communication：把多 Agent 讨论留给真正需要它的样本</w:t>
      </w:r>
    </w:p>
    <w:p>
      <w:pPr>
        <w:jc w:val="center"/>
      </w:pPr>
      <w:r>
        <w:rPr>
          <w:i/>
          <w:color w:val="646464"/>
          <w:sz w:val="19"/>
        </w:rPr>
        <w:t>实验设计书：Risk-Aware Selective Deliberation</w:t>
      </w:r>
    </w:p>
    <w:p>
      <w:pPr>
        <w:pStyle w:val="Heading1"/>
      </w:pPr>
      <w:r>
        <w:t>1. Research Question</w:t>
      </w:r>
    </w:p>
    <w:p>
      <w:r>
        <w:t>在固定 Agent、固定 proposal、固定 deliberation protocol 的条件下，能否使用运行时可观察的 uncertainty 与 action risk，只对部分样本启动多 Agent deliberation，从而在可靠性与通信成本之间获得更好的 Pareto trade-off？</w:t>
      </w:r>
    </w:p>
    <w:p>
      <w:pPr>
        <w:pStyle w:val="Heading1"/>
      </w:pPr>
      <w:r>
        <w:t>2. 核心假设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ID</w:t>
            </w:r>
          </w:p>
        </w:tc>
        <w:tc>
          <w:tcPr>
            <w:tcW w:type="dxa" w:w="521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可证伪假设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H1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Deliberate-All 的平均可靠性高于 Solo-All，但成本显著更高。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H2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Confidence-only 能覆盖一部分 solo error，但会系统性漏掉高置信错误。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H3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Risk-aware routing 能以有限额外升级率降低高风险危险漏放。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H4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存在阈值区间，使 selective routing 在风险加权错误与通信量之间优于两个极端策略。</w:t>
            </w:r>
          </w:p>
        </w:tc>
      </w:tr>
    </w:tbl>
    <w:p>
      <w:pPr>
        <w:pStyle w:val="Heading1"/>
      </w:pPr>
      <w:r>
        <w:t>3. 控制变量</w:t>
      </w:r>
    </w:p>
    <w:p>
      <w:pPr>
        <w:pStyle w:val="ListBullet"/>
        <w:spacing w:after="40"/>
      </w:pPr>
      <w:r>
        <w:t>proposal 集固定</w:t>
      </w:r>
    </w:p>
    <w:p>
      <w:pPr>
        <w:pStyle w:val="ListBullet"/>
        <w:spacing w:after="40"/>
      </w:pPr>
      <w:r>
        <w:t>primary member 固定</w:t>
      </w:r>
    </w:p>
    <w:p>
      <w:pPr>
        <w:pStyle w:val="ListBullet"/>
        <w:spacing w:after="40"/>
      </w:pPr>
      <w:r>
        <w:t>deliberated branch 固定为第9讲 EASS</w:t>
      </w:r>
    </w:p>
    <w:p>
      <w:pPr>
        <w:pStyle w:val="ListBullet"/>
        <w:spacing w:after="40"/>
      </w:pPr>
      <w:r>
        <w:t>risk taxonomy 预先定义</w:t>
      </w:r>
    </w:p>
    <w:p>
      <w:pPr>
        <w:pStyle w:val="ListBullet"/>
        <w:spacing w:after="40"/>
      </w:pPr>
      <w:r>
        <w:t>测试阶段不修改 α 与阈值</w:t>
      </w:r>
    </w:p>
    <w:p>
      <w:pPr>
        <w:pStyle w:val="Heading1"/>
      </w:pPr>
      <w:r>
        <w:t>4. 实验条件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3475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3475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C0 Solo-All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永不升级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下界/低成本基线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C1 Deliberate-All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全部升级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高成本参考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C2 Confidence-only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confidence &lt; τc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测试单一不确定性信号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C3 RAUR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α(1-conf)+(1-α)risk ≥ τ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测试风险补充是否有用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C4 BudgetTop-B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RAUR score 只升级预算内最高的一批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现实预算约束</w:t>
            </w:r>
          </w:p>
        </w:tc>
      </w:tr>
      <w:tr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C5 Oracle-Gain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只升级 panel 真能修好的样本</w:t>
            </w:r>
          </w:p>
        </w:tc>
        <w:tc>
          <w:tcPr>
            <w:tcW w:type="dxa" w:w="3475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不可部署，仅诊断上界</w:t>
            </w:r>
          </w:p>
        </w:tc>
      </w:tr>
    </w:tbl>
    <w:p>
      <w:pPr>
        <w:pStyle w:val="Heading1"/>
      </w:pPr>
      <w:r>
        <w:t>5. 主要指标</w:t>
      </w:r>
    </w:p>
    <w:p>
      <w:pPr>
        <w:pStyle w:val="ListBullet"/>
        <w:spacing w:after="40"/>
      </w:pPr>
      <w:r>
        <w:t>Escalation rate</w:t>
      </w:r>
    </w:p>
    <w:p>
      <w:pPr>
        <w:pStyle w:val="ListBullet"/>
        <w:spacing w:after="40"/>
      </w:pPr>
      <w:r>
        <w:t>Risk-weighted error</w:t>
      </w:r>
    </w:p>
    <w:p>
      <w:pPr>
        <w:pStyle w:val="ListBullet"/>
        <w:spacing w:after="40"/>
      </w:pPr>
      <w:r>
        <w:t>Critical high-risk miss</w:t>
      </w:r>
    </w:p>
    <w:p>
      <w:pPr>
        <w:pStyle w:val="ListBullet"/>
        <w:spacing w:after="40"/>
      </w:pPr>
      <w:r>
        <w:t>Solo error coverage</w:t>
      </w:r>
    </w:p>
    <w:p>
      <w:pPr>
        <w:pStyle w:val="ListBullet"/>
        <w:spacing w:after="40"/>
      </w:pPr>
      <w:r>
        <w:t>Benefit precision</w:t>
      </w:r>
    </w:p>
    <w:p>
      <w:pPr>
        <w:pStyle w:val="ListBullet"/>
        <w:spacing w:after="40"/>
      </w:pPr>
      <w:r>
        <w:t>Panel harm rate</w:t>
      </w:r>
    </w:p>
    <w:p>
      <w:pPr>
        <w:pStyle w:val="ListBullet"/>
        <w:spacing w:after="40"/>
      </w:pPr>
      <w:r>
        <w:t>Extra reviewer calls / cost / latency</w:t>
      </w:r>
    </w:p>
    <w:p>
      <w:pPr>
        <w:pStyle w:val="Heading1"/>
      </w:pPr>
      <w:r>
        <w:t>6. 数据泄漏防线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CE4D6"/>
            <w:vAlign w:val="center"/>
          </w:tcPr>
          <w:p>
            <w:r>
              <w:rPr>
                <w:b/>
                <w:color w:val="A61C00"/>
                <w:sz w:val="21"/>
              </w:rPr>
              <w:t>必须提前冻结</w:t>
              <w:br/>
            </w:r>
            <w:r>
              <w:rPr>
                <w:sz w:val="19"/>
              </w:rPr>
              <w:t>Risk 标注、α、阈值、budget fraction 必须在 test 前冻结。Oracle-Gain 不得作为方法结果，只作为“如果路由完美会怎样”的上限。</w:t>
            </w:r>
          </w:p>
        </w:tc>
      </w:tr>
    </w:tbl>
    <w:p>
      <w:pPr>
        <w:pStyle w:val="Heading1"/>
      </w:pPr>
      <w:r>
        <w:t>7. 结果解释树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现象</w:t>
            </w:r>
          </w:p>
        </w:tc>
        <w:tc>
          <w:tcPr>
            <w:tcW w:type="dxa" w:w="5213"/>
            <w:shd w:fill="1F4E79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RAUR 比 confidence-only 更少高风险 miss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风险信号提供了 confidence 之外的信息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RAUR 升级率很高但收益很小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风险定义过宽，或 Panel 对这些样本无边际价值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Deliberate-All 反而更差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Panel harm / error propagation 不能忽略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 selective policy 都不如 Solo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deliberation 对这批任务没有稳定边际收益</w:t>
            </w:r>
          </w:p>
        </w:tc>
      </w:tr>
      <w:tr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Oracle-Gain 很高而 RAUR 很差</w:t>
            </w:r>
          </w:p>
        </w:tc>
        <w:tc>
          <w:tcPr>
            <w:tcW w:type="dxa" w:w="5213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问题主要在 Router，不一定在 Panel</w:t>
            </w:r>
          </w:p>
        </w:tc>
      </w:tr>
    </w:tbl>
    <w:p>
      <w:pPr>
        <w:pStyle w:val="Heading1"/>
      </w:pPr>
      <w:r>
        <w:t>8. 论文级扩展</w:t>
      </w:r>
    </w:p>
    <w:p>
      <w:pPr>
        <w:pStyle w:val="ListBullet"/>
        <w:spacing w:after="40"/>
      </w:pPr>
      <w:r>
        <w:t>将风险从人工等级升级为可学习但可解释的 runtime risk estimator。</w:t>
      </w:r>
    </w:p>
    <w:p>
      <w:pPr>
        <w:pStyle w:val="ListBullet"/>
        <w:spacing w:after="40"/>
      </w:pPr>
      <w:r>
        <w:t>用 development/test split 做阈值泛化。</w:t>
      </w:r>
    </w:p>
    <w:p>
      <w:pPr>
        <w:pStyle w:val="ListBullet"/>
        <w:spacing w:after="40"/>
      </w:pPr>
      <w:r>
        <w:t>跨模型、跨 domain 检验 routing signal 是否稳定。</w:t>
      </w:r>
    </w:p>
    <w:p>
      <w:pPr>
        <w:pStyle w:val="ListBullet"/>
        <w:spacing w:after="40"/>
      </w:pPr>
      <w:r>
        <w:t>研究 router calibration drift。</w:t>
      </w:r>
    </w:p>
    <w:p>
      <w:pPr>
        <w:pStyle w:val="ListBullet"/>
        <w:spacing w:after="40"/>
      </w:pPr>
      <w:r>
        <w:t>加入真实美元成本和 latency，构建多目标 Pareto frontier。</w:t>
      </w:r>
    </w:p>
    <w:sectPr w:rsidR="00FC693F" w:rsidRPr="0006063C" w:rsidSect="00034616">
      <w:footerReference w:type="default" r:id="rId9"/>
      <w:pgSz w:w="12240" w:h="15840"/>
      <w:pgMar w:top="822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Agent Systems 研究型进阶专题 A · 第10讲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C55A1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