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实验设计书</w:t>
      </w:r>
    </w:p>
    <w:p>
      <w:pPr>
        <w:jc w:val="center"/>
      </w:pPr>
      <w:r>
        <w:rPr>
          <w:color w:val="5A5A5A"/>
          <w:sz w:val="22"/>
        </w:rPr>
        <w:t>从“重复运行”到“Failure Stability 证据”</w:t>
      </w:r>
    </w:p>
    <w:p>
      <w:pPr>
        <w:jc w:val="center"/>
      </w:pPr>
      <w:r>
        <w:rPr>
          <w:color w:val="5A5A5A"/>
          <w:sz w:val="18"/>
        </w:rPr>
        <w:t>更新时间：2026-09-29</w:t>
      </w:r>
    </w:p>
    <w:p>
      <w:pPr>
        <w:pStyle w:val="Heading1"/>
      </w:pPr>
      <w:r>
        <w:t>1. Research Question（本讲级别）</w:t>
      </w:r>
    </w:p>
    <w:p>
      <w:r>
        <w:t>在固定 benchmark、model、harness、prompt 和 task 的条件下，同一 Agent 的失败是否在重复 trials 中呈现稳定结构？如果不稳定，分叉发生在哪个最早节点？</w:t>
      </w:r>
    </w:p>
    <w:p>
      <w:pPr>
        <w:pStyle w:val="Heading1"/>
      </w:pPr>
      <w:r>
        <w:t>2. 控制变量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3269"/>
            <w:shd w:fill="D9EAF7"/>
            <w:vAlign w:val="center"/>
          </w:tcPr>
          <w:p>
            <w:r>
              <w:rPr>
                <w:b/>
                <w:sz w:val="17"/>
              </w:rPr>
              <w:t>固定</w:t>
            </w:r>
          </w:p>
        </w:tc>
        <w:tc>
          <w:tcPr>
            <w:tcW w:type="dxa" w:w="3269"/>
            <w:shd w:fill="D9EAF7"/>
            <w:vAlign w:val="center"/>
          </w:tcPr>
          <w:p>
            <w:r>
              <w:rPr>
                <w:b/>
                <w:sz w:val="17"/>
              </w:rPr>
              <w:t>记录</w:t>
            </w:r>
          </w:p>
        </w:tc>
        <w:tc>
          <w:tcPr>
            <w:tcW w:type="dxa" w:w="3269"/>
            <w:shd w:fill="D9EAF7"/>
            <w:vAlign w:val="center"/>
          </w:tcPr>
          <w:p>
            <w:r>
              <w:rPr>
                <w:b/>
                <w:sz w:val="17"/>
              </w:rPr>
              <w:t>暂不变化</w:t>
            </w:r>
          </w:p>
        </w:tc>
      </w:tr>
      <w:tr>
        <w:tc>
          <w:tcPr>
            <w:tcW w:type="dxa" w:w="3269"/>
            <w:vAlign w:val="top"/>
          </w:tcPr>
          <w:p>
            <w:r>
              <w:rPr>
                <w:sz w:val="17"/>
              </w:rPr>
              <w:t>benchmark tag/commit、domain、task set、model/provider、user simulator、prompt/harness、base seed、timeout</w:t>
            </w:r>
          </w:p>
        </w:tc>
        <w:tc>
          <w:tcPr>
            <w:tcW w:type="dxa" w:w="3269"/>
            <w:vAlign w:val="top"/>
          </w:tcPr>
          <w:p>
            <w:r>
              <w:rPr>
                <w:sz w:val="17"/>
              </w:rPr>
              <w:t>trial seed、reward、trace、cost、token、duration、retry/termination</w:t>
            </w:r>
          </w:p>
        </w:tc>
        <w:tc>
          <w:tcPr>
            <w:tcW w:type="dxa" w:w="3269"/>
            <w:vAlign w:val="top"/>
          </w:tcPr>
          <w:p>
            <w:r>
              <w:rPr>
                <w:sz w:val="17"/>
              </w:rPr>
              <w:t>第二模型、多 Agent、Reflection、Memory、Tool schema 改造</w:t>
            </w:r>
          </w:p>
        </w:tc>
      </w:tr>
    </w:tbl>
    <w:p/>
    <w:p>
      <w:pPr>
        <w:pStyle w:val="Heading1"/>
      </w:pPr>
      <w:r>
        <w:t>3. 分析层级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3269"/>
            <w:shd w:fill="D9EAF7"/>
            <w:vAlign w:val="center"/>
          </w:tcPr>
          <w:p>
            <w:r>
              <w:rPr>
                <w:b/>
                <w:sz w:val="17"/>
              </w:rPr>
              <w:t>层级</w:t>
            </w:r>
          </w:p>
        </w:tc>
        <w:tc>
          <w:tcPr>
            <w:tcW w:type="dxa" w:w="3269"/>
            <w:shd w:fill="D9EAF7"/>
            <w:vAlign w:val="center"/>
          </w:tcPr>
          <w:p>
            <w:r>
              <w:rPr>
                <w:b/>
                <w:sz w:val="17"/>
              </w:rPr>
              <w:t>问题</w:t>
            </w:r>
          </w:p>
        </w:tc>
        <w:tc>
          <w:tcPr>
            <w:tcW w:type="dxa" w:w="3269"/>
            <w:shd w:fill="D9EAF7"/>
            <w:vAlign w:val="center"/>
          </w:tcPr>
          <w:p>
            <w:r>
              <w:rPr>
                <w:b/>
                <w:sz w:val="17"/>
              </w:rPr>
              <w:t>输出</w:t>
            </w:r>
          </w:p>
        </w:tc>
      </w:tr>
      <w:tr>
        <w:tc>
          <w:tcPr>
            <w:tcW w:type="dxa" w:w="3269"/>
            <w:vAlign w:val="top"/>
          </w:tcPr>
          <w:p>
            <w:r>
              <w:rPr>
                <w:sz w:val="17"/>
              </w:rPr>
              <w:t>Episode</w:t>
            </w:r>
          </w:p>
        </w:tc>
        <w:tc>
          <w:tcPr>
            <w:tcW w:type="dxa" w:w="3269"/>
            <w:vAlign w:val="top"/>
          </w:tcPr>
          <w:p>
            <w:r>
              <w:rPr>
                <w:sz w:val="17"/>
              </w:rPr>
              <w:t>这一条怎么结束？</w:t>
            </w:r>
          </w:p>
        </w:tc>
        <w:tc>
          <w:tcPr>
            <w:tcW w:type="dxa" w:w="3269"/>
            <w:vAlign w:val="top"/>
          </w:tcPr>
          <w:p>
            <w:r>
              <w:rPr>
                <w:sz w:val="17"/>
              </w:rPr>
              <w:t>reward / termination / cost / trace</w:t>
            </w:r>
          </w:p>
        </w:tc>
      </w:tr>
      <w:tr>
        <w:tc>
          <w:tcPr>
            <w:tcW w:type="dxa" w:w="3269"/>
            <w:vAlign w:val="top"/>
          </w:tcPr>
          <w:p>
            <w:r>
              <w:rPr>
                <w:sz w:val="17"/>
              </w:rPr>
              <w:t>Task</w:t>
            </w:r>
          </w:p>
        </w:tc>
        <w:tc>
          <w:tcPr>
            <w:tcW w:type="dxa" w:w="3269"/>
            <w:vAlign w:val="top"/>
          </w:tcPr>
          <w:p>
            <w:r>
              <w:rPr>
                <w:sz w:val="17"/>
              </w:rPr>
              <w:t>四次是否稳定？</w:t>
            </w:r>
          </w:p>
        </w:tc>
        <w:tc>
          <w:tcPr>
            <w:tcW w:type="dxa" w:w="3269"/>
            <w:vAlign w:val="top"/>
          </w:tcPr>
          <w:p>
            <w:r>
              <w:rPr>
                <w:sz w:val="17"/>
              </w:rPr>
              <w:t>success_count / pass^k / class</w:t>
            </w:r>
          </w:p>
        </w:tc>
      </w:tr>
      <w:tr>
        <w:tc>
          <w:tcPr>
            <w:tcW w:type="dxa" w:w="3269"/>
            <w:vAlign w:val="top"/>
          </w:tcPr>
          <w:p>
            <w:r>
              <w:rPr>
                <w:sz w:val="17"/>
              </w:rPr>
              <w:t>Trace</w:t>
            </w:r>
          </w:p>
        </w:tc>
        <w:tc>
          <w:tcPr>
            <w:tcW w:type="dxa" w:w="3269"/>
            <w:vAlign w:val="top"/>
          </w:tcPr>
          <w:p>
            <w:r>
              <w:rPr>
                <w:sz w:val="17"/>
              </w:rPr>
              <w:t>哪里开始分叉？</w:t>
            </w:r>
          </w:p>
        </w:tc>
        <w:tc>
          <w:tcPr>
            <w:tcW w:type="dxa" w:w="3269"/>
            <w:vAlign w:val="top"/>
          </w:tcPr>
          <w:p>
            <w:r>
              <w:rPr>
                <w:sz w:val="17"/>
              </w:rPr>
              <w:t>First Bad Span / failure class</w:t>
            </w:r>
          </w:p>
        </w:tc>
      </w:tr>
      <w:tr>
        <w:tc>
          <w:tcPr>
            <w:tcW w:type="dxa" w:w="3269"/>
            <w:vAlign w:val="top"/>
          </w:tcPr>
          <w:p>
            <w:r>
              <w:rPr>
                <w:sz w:val="17"/>
              </w:rPr>
              <w:t>Observation</w:t>
            </w:r>
          </w:p>
        </w:tc>
        <w:tc>
          <w:tcPr>
            <w:tcW w:type="dxa" w:w="3269"/>
            <w:vAlign w:val="top"/>
          </w:tcPr>
          <w:p>
            <w:r>
              <w:rPr>
                <w:sz w:val="17"/>
              </w:rPr>
              <w:t>模式是否重复？</w:t>
            </w:r>
          </w:p>
        </w:tc>
        <w:tc>
          <w:tcPr>
            <w:tcW w:type="dxa" w:w="3269"/>
            <w:vAlign w:val="top"/>
          </w:tcPr>
          <w:p>
            <w:r>
              <w:rPr>
                <w:sz w:val="17"/>
              </w:rPr>
              <w:t>可证伪的现象描述</w:t>
            </w:r>
          </w:p>
        </w:tc>
      </w:tr>
    </w:tbl>
    <w:p/>
    <w:p>
      <w:pPr>
        <w:pStyle w:val="Heading1"/>
      </w:pPr>
      <w:r>
        <w:t>4. 不把随机性误写成机制</w:t>
      </w:r>
    </w:p>
    <w:p>
      <w:pPr>
        <w:pStyle w:val="ListBullet"/>
      </w:pPr>
      <w:r>
        <w:t>失败只出现 1/4 次：先视为低稳定性现象。</w:t>
      </w:r>
    </w:p>
    <w:p>
      <w:pPr>
        <w:pStyle w:val="ListBullet"/>
      </w:pPr>
      <w:r>
        <w:t>同一 First Bad Span 出现 3/4 或 4/4：更值得后续验证，但仍不是因果证明。</w:t>
      </w:r>
    </w:p>
    <w:p>
      <w:pPr>
        <w:pStyle w:val="ListBullet"/>
      </w:pPr>
      <w:r>
        <w:t>跨 task 出现相同 failure class：提升普遍性候选。</w:t>
      </w:r>
    </w:p>
    <w:p>
      <w:pPr>
        <w:pStyle w:val="ListBullet"/>
      </w:pPr>
      <w:r>
        <w:t>换 seed / 换模型后是否仍出现，是后续边界实验。</w:t>
      </w:r>
    </w:p>
    <w:p>
      <w:pPr>
        <w:pStyle w:val="Heading1"/>
      </w:pPr>
      <w:r>
        <w:t>5. 一个完整例子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  <w:shd w:fill="D9EAF7"/>
            <w:vAlign w:val="center"/>
          </w:tcPr>
          <w:p>
            <w:r>
              <w:rPr>
                <w:b/>
                <w:sz w:val="17"/>
              </w:rPr>
              <w:t>步骤</w:t>
            </w:r>
          </w:p>
        </w:tc>
        <w:tc>
          <w:tcPr>
            <w:tcW w:type="dxa" w:w="4904"/>
            <w:shd w:fill="D9EAF7"/>
            <w:vAlign w:val="center"/>
          </w:tcPr>
          <w:p>
            <w:r>
              <w:rPr>
                <w:b/>
                <w:sz w:val="17"/>
              </w:rPr>
              <w:t>例子</w:t>
            </w:r>
          </w:p>
        </w:tc>
      </w:tr>
      <w:tr>
        <w:tc>
          <w:tcPr>
            <w:tcW w:type="dxa" w:w="4904"/>
            <w:vAlign w:val="top"/>
          </w:tcPr>
          <w:p>
            <w:r>
              <w:rPr>
                <w:sz w:val="17"/>
              </w:rPr>
              <w:t>Observation</w:t>
            </w:r>
          </w:p>
        </w:tc>
        <w:tc>
          <w:tcPr>
            <w:tcW w:type="dxa" w:w="4904"/>
            <w:vAlign w:val="top"/>
          </w:tcPr>
          <w:p>
            <w:r>
              <w:rPr>
                <w:sz w:val="17"/>
              </w:rPr>
              <w:t>Task A 4 次中失败 3 次；3 次均在读取退款规则后错误忽略“每月上限”。</w:t>
            </w:r>
          </w:p>
        </w:tc>
      </w:tr>
      <w:tr>
        <w:tc>
          <w:tcPr>
            <w:tcW w:type="dxa" w:w="4904"/>
            <w:vAlign w:val="top"/>
          </w:tcPr>
          <w:p>
            <w:r>
              <w:rPr>
                <w:sz w:val="17"/>
              </w:rPr>
              <w:t>Hypothesis</w:t>
            </w:r>
          </w:p>
        </w:tc>
        <w:tc>
          <w:tcPr>
            <w:tcW w:type="dxa" w:w="4904"/>
            <w:vAlign w:val="top"/>
          </w:tcPr>
          <w:p>
            <w:r>
              <w:rPr>
                <w:sz w:val="17"/>
              </w:rPr>
              <w:t>长 policy 条件与当前订单状态的绑定不稳定，导致约束遗漏。</w:t>
            </w:r>
          </w:p>
        </w:tc>
      </w:tr>
      <w:tr>
        <w:tc>
          <w:tcPr>
            <w:tcW w:type="dxa" w:w="4904"/>
            <w:vAlign w:val="top"/>
          </w:tcPr>
          <w:p>
            <w:r>
              <w:rPr>
                <w:sz w:val="17"/>
              </w:rPr>
              <w:t>Falsifier</w:t>
            </w:r>
          </w:p>
        </w:tc>
        <w:tc>
          <w:tcPr>
            <w:tcW w:type="dxa" w:w="4904"/>
            <w:vAlign w:val="top"/>
          </w:tcPr>
          <w:p>
            <w:r>
              <w:rPr>
                <w:sz w:val="17"/>
              </w:rPr>
              <w:t>把同一 policy 条件结构化后仍无改善；或失败 First Bad Span 移到无关节点。</w:t>
            </w:r>
          </w:p>
        </w:tc>
      </w:tr>
      <w:tr>
        <w:tc>
          <w:tcPr>
            <w:tcW w:type="dxa" w:w="4904"/>
            <w:vAlign w:val="top"/>
          </w:tcPr>
          <w:p>
            <w:r>
              <w:rPr>
                <w:sz w:val="17"/>
              </w:rPr>
              <w:t>Intervention</w:t>
            </w:r>
          </w:p>
        </w:tc>
        <w:tc>
          <w:tcPr>
            <w:tcW w:type="dxa" w:w="4904"/>
            <w:vAlign w:val="top"/>
          </w:tcPr>
          <w:p>
            <w:r>
              <w:rPr>
                <w:sz w:val="17"/>
              </w:rPr>
              <w:t>只改变 policy 表达形式，其他变量完全固定。</w:t>
            </w:r>
          </w:p>
        </w:tc>
      </w:tr>
      <w:tr>
        <w:tc>
          <w:tcPr>
            <w:tcW w:type="dxa" w:w="4904"/>
            <w:vAlign w:val="top"/>
          </w:tcPr>
          <w:p>
            <w:r>
              <w:rPr>
                <w:sz w:val="17"/>
              </w:rPr>
              <w:t>Outcome</w:t>
            </w:r>
          </w:p>
        </w:tc>
        <w:tc>
          <w:tcPr>
            <w:tcW w:type="dxa" w:w="4904"/>
            <w:vAlign w:val="top"/>
          </w:tcPr>
          <w:p>
            <w:r>
              <w:rPr>
                <w:sz w:val="17"/>
              </w:rPr>
              <w:t>task success、pass^4、约束遗漏率、token/cost、First Bad Span。</w:t>
            </w:r>
          </w:p>
        </w:tc>
      </w:tr>
      <w:tr>
        <w:tc>
          <w:tcPr>
            <w:tcW w:type="dxa" w:w="4904"/>
            <w:vAlign w:val="top"/>
          </w:tcPr>
          <w:p>
            <w:r>
              <w:rPr>
                <w:sz w:val="17"/>
              </w:rPr>
              <w:t>Boundary</w:t>
            </w:r>
          </w:p>
        </w:tc>
        <w:tc>
          <w:tcPr>
            <w:tcW w:type="dxa" w:w="4904"/>
            <w:vAlign w:val="top"/>
          </w:tcPr>
          <w:p>
            <w:r>
              <w:rPr>
                <w:sz w:val="17"/>
              </w:rPr>
              <w:t>可能只对长 policy / 多条件任务成立。</w:t>
            </w:r>
          </w:p>
        </w:tc>
      </w:tr>
    </w:tbl>
    <w:p/>
    <w:p>
      <w:pPr>
        <w:pStyle w:val="Heading1"/>
      </w:pPr>
      <w:r>
        <w:t>6. 何时值得进入论文级实验</w:t>
      </w:r>
    </w:p>
    <w:p>
      <w:pPr>
        <w:pStyle w:val="ListBullet"/>
      </w:pPr>
      <w:r>
        <w:t>现象在重复 trials 中出现。</w:t>
      </w:r>
    </w:p>
    <w:p>
      <w:pPr>
        <w:pStyle w:val="ListBullet"/>
      </w:pPr>
      <w:r>
        <w:t>有至少一个可操作的 First Bad Span 定义。</w:t>
      </w:r>
    </w:p>
    <w:p>
      <w:pPr>
        <w:pStyle w:val="ListBullet"/>
      </w:pPr>
      <w:r>
        <w:t>存在清楚的控制干预，不必大规模训练模型。</w:t>
      </w:r>
    </w:p>
    <w:p>
      <w:pPr>
        <w:pStyle w:val="ListBullet"/>
      </w:pPr>
      <w:r>
        <w:t>可以给出 falsifier。</w:t>
      </w:r>
    </w:p>
    <w:p>
      <w:pPr>
        <w:pStyle w:val="ListBullet"/>
      </w:pPr>
      <w:r>
        <w:t>成本在你的月预算内。</w:t>
      </w:r>
    </w:p>
    <w:p>
      <w:pPr>
        <w:pStyle w:val="ListBullet"/>
      </w:pPr>
      <w:r>
        <w:t>现象不是 evaluator bug / infrastructure artifact。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7F7F7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C00000"/>
              </w:rPr>
              <w:t>🔴 课程推进原则：</w:t>
            </w:r>
            <w:r>
              <w:t>如果上述条件不满足，就否决这个现象，回到 Trace 继续观察。不要因为已经花了 API 钱，就强行把它包装成论文题目。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6" w:h="16838"/>
      <w:pgMar w:top="935" w:right="1049" w:bottom="879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Agent Systems 研究型进阶专题 A · 第2讲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8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030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482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00"/>
      <w:ind w:left="198" w:right="85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