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00" w:after="60" w:line="240" w:lineRule="auto"/>
      </w:pPr>
      <w:r>
        <w:rPr>
          <w:rFonts w:ascii="Arial" w:hAnsi="Arial" w:eastAsia="Microsoft YaHei"/>
          <w:b/>
          <w:color w:val="B28A36"/>
          <w:sz w:val="20"/>
        </w:rPr>
        <w:t>产品审计与路线图</w:t>
      </w:r>
    </w:p>
    <w:p>
      <w:pPr>
        <w:widowControl/>
        <w:spacing w:before="0" w:after="80" w:line="252" w:lineRule="auto"/>
      </w:pPr>
      <w:r>
        <w:rPr>
          <w:rFonts w:ascii="Arial" w:hAnsi="Arial" w:eastAsia="Microsoft YaHei"/>
          <w:b/>
          <w:color w:val="0B2545"/>
          <w:sz w:val="56"/>
        </w:rPr>
        <w:t>财富人生</w:t>
      </w:r>
    </w:p>
    <w:p>
      <w:pPr>
        <w:widowControl/>
        <w:spacing w:before="0" w:after="280" w:line="252" w:lineRule="auto"/>
      </w:pPr>
      <w:r>
        <w:rPr>
          <w:rFonts w:ascii="Arial" w:hAnsi="Arial" w:eastAsia="Microsoft YaHei"/>
          <w:b/>
          <w:color w:val="154F42"/>
          <w:sz w:val="34"/>
        </w:rPr>
        <w:t>产品缺口分析与建设路线图 v2.0</w:t>
      </w:r>
    </w:p>
    <w:p>
      <w:pPr>
        <w:widowControl/>
        <w:spacing w:before="0" w:after="40" w:line="254" w:lineRule="auto"/>
      </w:pPr>
      <w:r>
        <w:rPr>
          <w:rFonts w:ascii="Arial" w:hAnsi="Arial" w:eastAsia="Microsoft YaHei"/>
          <w:b/>
          <w:color w:val="0B2545"/>
          <w:sz w:val="21"/>
        </w:rPr>
        <w:t>分析依据：</w:t>
      </w:r>
      <w:r>
        <w:rPr>
          <w:rFonts w:ascii="Arial" w:hAnsi="Arial" w:eastAsia="Microsoft YaHei"/>
          <w:color w:val="17212B"/>
          <w:sz w:val="21"/>
        </w:rPr>
        <w:t>《财富人生_AI开放式人生财商模拟游戏_完整产品规格书_v1.0》与当前可运行实现</w:t>
      </w:r>
    </w:p>
    <w:p>
      <w:pPr>
        <w:widowControl/>
        <w:spacing w:before="0" w:after="40" w:line="254" w:lineRule="auto"/>
      </w:pPr>
      <w:r>
        <w:rPr>
          <w:rFonts w:ascii="Arial" w:hAnsi="Arial" w:eastAsia="Microsoft YaHei"/>
          <w:b/>
          <w:color w:val="0B2545"/>
          <w:sz w:val="21"/>
        </w:rPr>
        <w:t>文档目的：</w:t>
      </w:r>
      <w:r>
        <w:rPr>
          <w:rFonts w:ascii="Arial" w:hAnsi="Arial" w:eastAsia="Microsoft YaHei"/>
          <w:color w:val="17212B"/>
          <w:sz w:val="21"/>
        </w:rPr>
        <w:t>明确仍缺失的系统、内容与玩法，并确定后续建设优先级</w:t>
      </w:r>
    </w:p>
    <w:p>
      <w:pPr>
        <w:widowControl/>
        <w:spacing w:before="0" w:after="40" w:line="254" w:lineRule="auto"/>
      </w:pPr>
      <w:r>
        <w:rPr>
          <w:rFonts w:ascii="Arial" w:hAnsi="Arial" w:eastAsia="Microsoft YaHei"/>
          <w:b/>
          <w:color w:val="0B2545"/>
          <w:sz w:val="21"/>
        </w:rPr>
        <w:t>审计日期：</w:t>
      </w:r>
      <w:r>
        <w:rPr>
          <w:rFonts w:ascii="Arial" w:hAnsi="Arial" w:eastAsia="Microsoft YaHei"/>
          <w:color w:val="17212B"/>
          <w:sz w:val="21"/>
        </w:rPr>
        <w:t>2026年8月1日</w:t>
      </w:r>
    </w:p>
    <w:p>
      <w:pPr>
        <w:widowControl/>
        <w:spacing w:before="0" w:after="40" w:line="254" w:lineRule="auto"/>
      </w:pPr>
      <w:r>
        <w:rPr>
          <w:rFonts w:ascii="Arial" w:hAnsi="Arial" w:eastAsia="Microsoft YaHei"/>
          <w:b/>
          <w:color w:val="0B2545"/>
          <w:sz w:val="21"/>
        </w:rPr>
        <w:t>当前判断：</w:t>
      </w:r>
      <w:r>
        <w:rPr>
          <w:rFonts w:ascii="Arial" w:hAnsi="Arial" w:eastAsia="Microsoft YaHei"/>
          <w:color w:val="17212B"/>
          <w:sz w:val="21"/>
        </w:rPr>
        <w:t>工程骨架已形成，但玩法深度和社会生态仍处于原型阶段</w:t>
      </w:r>
    </w:p>
    <w:p>
      <w:pPr>
        <w:widowControl/>
        <w:spacing w:before="120" w:after="280" w:line="240" w:lineRule="auto"/>
        <w:pBdr>
          <w:bottom w:val="single" w:sz="16" w:space="4" w:color="B28A36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0D8"/>
          <w:left w:val="single" w:sz="6" w:space="0" w:color="C8D0D8"/>
          <w:bottom w:val="single" w:sz="6" w:space="0" w:color="C8D0D8"/>
          <w:right w:val="single" w:sz="6" w:space="0" w:color="C8D0D8"/>
          <w:insideH w:val="single" w:sz="6" w:space="0" w:color="C8D0D8"/>
          <w:insideV w:val="single" w:sz="6" w:space="0" w:color="C8D0D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E8"/>
          </w:tcPr>
          <w:p>
            <w:pPr>
              <w:widowControl/>
              <w:spacing w:before="40" w:after="40" w:line="269" w:lineRule="auto"/>
            </w:pPr>
            <w:r>
              <w:rPr>
                <w:rFonts w:ascii="Arial" w:hAnsi="Arial" w:eastAsia="Microsoft YaHei"/>
                <w:b/>
                <w:color w:val="9B1C1C"/>
              </w:rPr>
              <w:t xml:space="preserve">核心结论　</w:t>
            </w:r>
            <w:r>
              <w:rPr>
                <w:rFonts w:ascii="Arial" w:hAnsi="Arial" w:eastAsia="Microsoft YaHei"/>
                <w:color w:val="17212B"/>
              </w:rPr>
              <w:t>当前版本不是只差一些卡牌或页面，而是缺少真正的模拟层。大多数系统仍被压缩为“选择卡牌—概率判定—数值变化—结果文本”，所以即使页面阶段增多，玩家仍会感觉每回合在重复同一种玩法。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1. 审计结论</w:t>
      </w:r>
    </w:p>
    <w:p>
      <w:pPr>
        <w:widowControl/>
        <w:spacing w:before="0" w:after="120" w:line="264" w:lineRule="auto"/>
      </w:pPr>
      <w:r>
        <w:rPr>
          <w:rFonts w:ascii="Arial" w:hAnsi="Arial" w:eastAsia="Microsoft YaHei"/>
          <w:i w:val="0"/>
          <w:color w:val="17212B"/>
        </w:rPr>
        <w:t>当前版本已经具备公开部署、七阶段回合、现金流控制台、主题、存档、基础规则引擎和多人房间，证明技术路径可行。但它仍更接近“可运行的规则原型”，尚未达到规格书要求的中等偏上完整度。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8"/>
          <w:left w:val="single" w:sz="6" w:space="0" w:color="C8D0D8"/>
          <w:bottom w:val="single" w:sz="6" w:space="0" w:color="C8D0D8"/>
          <w:right w:val="single" w:sz="6" w:space="0" w:color="C8D0D8"/>
          <w:insideH w:val="single" w:sz="6" w:space="0" w:color="C8D0D8"/>
          <w:insideV w:val="single" w:sz="6" w:space="0" w:color="C8D0D8"/>
        </w:tblBorders>
      </w:tblPr>
      <w:tblGrid>
        <w:gridCol w:w="2100"/>
        <w:gridCol w:w="1500"/>
        <w:gridCol w:w="1500"/>
        <w:gridCol w:w="4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估算完成度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判断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工程与发布基础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70%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稳定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已完成构建、部署、持久化房间与基础测试。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界面骨架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65%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基本形成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棋盘、控制台和卡牌台已存在，但棋盘尚非真实路线图。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规则框架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45%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仍需重构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有概率快照和资源约束，但实体与长期后果模型不完整。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玩法深度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30%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明显不足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职业、家庭、投资、企业等多数仍共用少量通用操作。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事件与社会生态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20%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原型阶段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事件链、AI角色、合同与多人社会行为数量和深度不足。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规格整体完成度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35%–40%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未达目标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框架完成度显著高于内容与模拟深度。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2. 为什么仍然像在重复同一套玩法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棋盘是状态展示：三条路线随回合点亮，玩家没有真正选择和改变路线图。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行动解析过度统一：职业、学习、副业、关系和投资最终都落入相似的概率判定和数值加减。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内容没有形成实体：副业没有客户与订单，家庭没有独立角色，资产没有交易和持有过程，合同没有约束力。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事件缺少导演和连续链：事件池较小，绝大多数事件一次发生、一次结束，玩家很难感到历史正在累积。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多人模式是独立简化小游戏：没有复用单人职业、技能、资产、家庭和事件系统。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0D8"/>
          <w:left w:val="single" w:sz="6" w:space="0" w:color="C8D0D8"/>
          <w:bottom w:val="single" w:sz="6" w:space="0" w:color="C8D0D8"/>
          <w:right w:val="single" w:sz="6" w:space="0" w:color="C8D0D8"/>
          <w:insideH w:val="single" w:sz="6" w:space="0" w:color="C8D0D8"/>
          <w:insideV w:val="single" w:sz="6" w:space="0" w:color="C8D0D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widowControl/>
              <w:spacing w:before="40" w:after="40" w:line="269" w:lineRule="auto"/>
            </w:pPr>
            <w:r>
              <w:rPr>
                <w:rFonts w:ascii="Arial" w:hAnsi="Arial" w:eastAsia="Microsoft YaHei"/>
                <w:b/>
                <w:color w:val="2E74B5"/>
              </w:rPr>
              <w:t xml:space="preserve">根因　</w:t>
            </w:r>
            <w:r>
              <w:rPr>
                <w:rFonts w:ascii="Arial" w:hAnsi="Arial" w:eastAsia="Microsoft YaHei"/>
                <w:color w:val="17212B"/>
              </w:rPr>
              <w:t>页面结构已经变化，但玩家能够使用的决策动词没有增加；真正需要扩充的是状态、实体、关系、合同和长期后果，而不是继续增加页面壳。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3. 关键缺口清单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3.1 真实人生路线图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当前棋盘进度主要由回合数驱动，不是由职业、技能、资产、家庭和历史行为生成。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缺少节点前置、隐藏路线、锁定路线、失败路线、回退路线和分岔选择。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自由机会格只是入口按钮，没有成为路线图中的特殊机会节点。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需要建立 RouteGraph：节点、边、条件、暴露、历史和失效状态都成为规则实体。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3.2 普通行动与资源冲突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职业行动缺少休假、辞职、考证、晋升、内部调岗、降低工时、迁城等独立决策。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主业当前是强制基础行动，玩家不能真正承担离职、空窗或降低工作投入的后果。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副业、家庭、关系和个人行动种类较少，仍依赖通用成功/失败模板。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资源除时间和现金外，信用、人情、健康、合同能力和机会次数尚未成为普遍可消耗资源。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3.3 职业、技能和天赋生态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30个职业和48项技能达到了数量门槛，但职业没有等级、晋升、作品履历、资格和独立成长路线。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技能主要是单一熟练度；组合标签尚未真正解锁跨境内容、量化研究、企业服务等路线。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天赋揭示主要按尝试次数推进，缺少相对表现、跨环境稳定性、兴趣和持续交付证据。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需要增加技能应用记录、组合配方、时代适配、衰减和可迁移能力。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3.4 世界与事件导演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当前世界主要是周期、利率、通胀、房产热度和行业倍率，仍像全局天气修正。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缺少城市产业结构、平台兴衰、技术替代、行业传导、恢复期和供需变化。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个人事件在普通行动前预抽取，本回合行为只能改变处理结果，不能充分改变事件是否发生。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需要按世界暴露、玩家历史、未结承诺和事件链状态动态选择事件。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3.5 事件数量与连续因果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当前约36个通用事件、4张周期宏观牌和1条三阶段裁员链，远低于完整内容生态。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事件模板缺少标准化延迟后果、关联事件、合规标签和链路状态。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幸运与倒霉事件缺少二次管理问题，例如暴富后的税务、骗局、关系请求和消费升级。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事件扩充必须按故事包和事件链建设，不能直接堆放互不关联的卡牌。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3.6 投资、房产和企业经营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投资主要是买入最低金额并在结算时随机涨跌；缺少卖出、调仓、费用、税费、相关性和集中风险。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股票没有基本面、估值、情绪、停牌、退市、熔断、杠杆和被迫卖出。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房产没有区域、空置、租客、维修、过户成本和租赁合同。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企业主要是营收、成本和员工数线性变化，缺少客户、订单、定价、治理、股权、供应链和退出。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3.7 家庭、关系和合规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快速和标准模式中的家庭大多被压缩为单一关系数值。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深度模式配偶只是布尔状态，子女主要是年龄与教育金，父母主要是照护等级。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缺少配偶独立职业、收入、资产、风险偏好、消费观、健康和财务合并策略。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缺少法律记录、监管关注、职业限制、合同纠纷、账户冻结、追偿和职业差异化处罚。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3.8 AI同桌与学习层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真实AI目前主要用于将自然语言转换为自由机会卡。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AI同桌只有3个角色，目标和底线多数停留在展示文本，行动仍以规则随机为主。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AI不会主动发起交易、竞争、合作、欺骗，也不会与其他AI形成关系。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尚未建立玩家偏好学习、新想法聚类、人工审核和内容候选入库流程。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3.9 多人模式统一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多人房间只有现金、收入、支出、信任、8种行动和现金转账，不是单人模式的网络化版本。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缺少职业、技能、资产、家庭、健康、自由机会和完整事件系统。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借款、担保、资产交易、联合投资、合伙创业、竞争和信息分享尚无可执行合同。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需要让单人、AI和真人玩家共享同一套 Action、Event、Asset、Relationship 和 Contract 模型。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3.10 模式节奏、复盘与内容工具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三种模式主要差在回合数和预算，事件密度、系统开关和解释深度差异不足。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深度模式给出12次自由机会，偏离规格书的1/2/3次设计；240季度完整七阶段也会产生严重点击疲劳。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复盘的运气、准备和决策比例仍是启发式估算，缺少可验证的因果链和反事实对照。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内容、规则和叙事耦合，缺少Schema校验、事件链编辑、可达性检查和大规模平衡模拟。</w:t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4. 内容数量差距</w:t>
      </w:r>
    </w:p>
    <w:p>
      <w:pPr>
        <w:widowControl/>
        <w:spacing w:before="0" w:after="120" w:line="264" w:lineRule="auto"/>
      </w:pPr>
      <w:r>
        <w:rPr>
          <w:rFonts w:ascii="Arial" w:hAnsi="Arial" w:eastAsia="Microsoft YaHei"/>
          <w:i w:val="0"/>
          <w:color w:val="17212B"/>
        </w:rPr>
        <w:t>数量达标不等于系统完成，但当前最明显的内容缺口仍集中在事件和AI角色。以下为规格建议与当前实际的对照。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8"/>
          <w:left w:val="single" w:sz="6" w:space="0" w:color="C8D0D8"/>
          <w:bottom w:val="single" w:sz="6" w:space="0" w:color="C8D0D8"/>
          <w:right w:val="single" w:sz="6" w:space="0" w:color="C8D0D8"/>
          <w:insideH w:val="single" w:sz="6" w:space="0" w:color="C8D0D8"/>
          <w:insideV w:val="single" w:sz="6" w:space="0" w:color="C8D0D8"/>
        </w:tblBorders>
      </w:tblPr>
      <w:tblGrid>
        <w:gridCol w:w="2450"/>
        <w:gridCol w:w="1550"/>
        <w:gridCol w:w="2500"/>
        <w:gridCol w:w="286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规格建议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当前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判断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职业/收入方向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24–36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30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数量达标，深度不足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技能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40–60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48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数量达标，组合未落地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个人与关系事件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100–160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约27个非宏观/行业模板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严重不足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宏观/行业事件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20–30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约9个模板＋4张周期牌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不足且重复度高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投资资产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20–30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24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数量达标，交易机制不足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AI角色原型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12–20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3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严重不足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学习知识模型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20–30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24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数量达标，触发解释较浅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主题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4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达标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0D8"/>
          <w:left w:val="single" w:sz="6" w:space="0" w:color="C8D0D8"/>
          <w:bottom w:val="single" w:sz="6" w:space="0" w:color="C8D0D8"/>
          <w:right w:val="single" w:sz="6" w:space="0" w:color="C8D0D8"/>
          <w:insideH w:val="single" w:sz="6" w:space="0" w:color="C8D0D8"/>
          <w:insideV w:val="single" w:sz="6" w:space="0" w:color="C8D0D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F"/>
          </w:tcPr>
          <w:p>
            <w:pPr>
              <w:widowControl/>
              <w:spacing w:before="40" w:after="40" w:line="269" w:lineRule="auto"/>
            </w:pPr>
            <w:r>
              <w:rPr>
                <w:rFonts w:ascii="Arial" w:hAnsi="Arial" w:eastAsia="Microsoft YaHei"/>
                <w:b/>
                <w:color w:val="154F42"/>
              </w:rPr>
              <w:t xml:space="preserve">建设原则　</w:t>
            </w:r>
            <w:r>
              <w:rPr>
                <w:rFonts w:ascii="Arial" w:hAnsi="Arial" w:eastAsia="Microsoft YaHei"/>
                <w:color w:val="17212B"/>
              </w:rPr>
              <w:t>先建设可组合的内容原子、事件链和故事包，再扩数量。否则160张事件只会形成更大的随机卡池，而不会形成更丰富的人生。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5. 建设路线图</w:t>
      </w:r>
    </w:p>
    <w:p>
      <w:pPr>
        <w:widowControl/>
        <w:spacing w:before="0" w:after="120" w:line="264" w:lineRule="auto"/>
      </w:pPr>
      <w:r>
        <w:rPr>
          <w:rFonts w:ascii="Arial" w:hAnsi="Arial" w:eastAsia="Microsoft YaHei"/>
          <w:i w:val="0"/>
          <w:color w:val="17212B"/>
        </w:rPr>
        <w:t>后续不再按页面数量推进，而是按可独立验收的完整系统切片推进。每个里程碑都必须同时包含数据模型、规则、界面、内容、测试和复盘证据。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8"/>
          <w:left w:val="single" w:sz="6" w:space="0" w:color="C8D0D8"/>
          <w:bottom w:val="single" w:sz="6" w:space="0" w:color="C8D0D8"/>
          <w:right w:val="single" w:sz="6" w:space="0" w:color="C8D0D8"/>
          <w:insideH w:val="single" w:sz="6" w:space="0" w:color="C8D0D8"/>
          <w:insideV w:val="single" w:sz="6" w:space="0" w:color="C8D0D8"/>
        </w:tblBorders>
      </w:tblPr>
      <w:tblGrid>
        <w:gridCol w:w="800"/>
        <w:gridCol w:w="1700"/>
        <w:gridCol w:w="3430"/>
        <w:gridCol w:w="343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里程碑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核心交付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完成标志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M0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规格追踪与统一模型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建立需求追踪矩阵；统一玩家、世界、路线、行动、事件、关系、合同和审计结构。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任何功能都能对应规格条目；单人、AI与多人不再使用不同领域模型。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M1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真实路线图与行动导演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实现RouteGraph、节点条件、上下文行动、资源冲突和行动后事件抽取。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转行、技能、家庭和资产选择能真实改变棋盘结构及随后事件。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M2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六条高质量人生故事包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按职业、自由职业、创业、家庭、投资、关系与合规建设连续事件链。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快速模式每局至少出现3次可感知的过去行为改变未来。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M3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职业、技能、投资和企业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建立职业层级、技能组合、作品证据、买卖调仓、房产和企业经营子系统。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不同职业与资产拥有不同操作方式，不再只替换名称和收益率。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M4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家庭、AI社会与合同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实体化配偶、子女、父母、客户、合伙人和竞争者；加入合同与违约。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AI能够主动提议、拒绝、竞争、帮助和改变策略；关系影响可追踪。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M5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统一多人模式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让网络房间直接复用完整领域引擎，加入借款、担保、交易、联合投资与合伙经营。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同一局内真人和AI执行相同规则，离线接管不会切换为简化玩法。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M6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复盘、内容工具和平衡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建立因果日志、反事实复盘、内容Schema、事件链检查和Monte Carlo模拟。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不存在明显单一必胜路线；内容重复、不可达节点和失衡策略可自动发现。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6. 六条内容丰富化主线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0D8"/>
          <w:left w:val="single" w:sz="6" w:space="0" w:color="C8D0D8"/>
          <w:bottom w:val="single" w:sz="6" w:space="0" w:color="C8D0D8"/>
          <w:right w:val="single" w:sz="6" w:space="0" w:color="C8D0D8"/>
          <w:insideH w:val="single" w:sz="6" w:space="0" w:color="C8D0D8"/>
          <w:insideV w:val="single" w:sz="6" w:space="0" w:color="C8D0D8"/>
        </w:tblBorders>
      </w:tblPr>
      <w:tblGrid>
        <w:gridCol w:w="1900"/>
        <w:gridCol w:w="3500"/>
        <w:gridCol w:w="2600"/>
        <w:gridCol w:w="1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内容包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核心玩法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学习模型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最低链路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稳定职业与裁员转型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晋升、内部调岗、裁员信号、空窗期、再训练、迁城、职业资格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职业韧性、应急金、人力资本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3–5条事件链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自由职业与内容创作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客户、报价、交付、作品、平台规则、版权、账号风险、复购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低成本试错、内容复利、平台风险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3–5条事件链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小企业与合伙经营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订单、库存、员工、现金流、股权、治理、供应链、退出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经营杠杆、合同、现金流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4–6条事件链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恋爱、婚姻与住房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消费观、财务合并、买房、迁居、生育、照护、教育和冲突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家庭责任、风险缓冲、机会成本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4–6条事件链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投资周期与市场危机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估值、情绪、分红、流动性、再平衡、杠杆、熔断和被迫卖出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资产配置、期限错配、能力圈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3–5条事件链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关系、合同与合规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借款、担保、合作、骗局、资金来源、尽调、违约、追偿和职业后果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信用、尽调、合规、关系复利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Arial" w:hAnsi="Arial" w:eastAsia="Microsoft YaHei"/>
                <w:b w:val="0"/>
                <w:color w:val="17212B"/>
                <w:sz w:val="17"/>
              </w:rPr>
              <w:t>4–6条事件链</w:t>
            </w:r>
          </w:p>
        </w:tc>
      </w:tr>
    </w:tbl>
    <w:p>
      <w:pPr>
        <w:spacing w:after="40"/>
      </w:pPr>
    </w:p>
    <w:p>
      <w:pPr>
        <w:widowControl/>
        <w:spacing w:before="0" w:after="120" w:line="264" w:lineRule="auto"/>
      </w:pPr>
      <w:r>
        <w:rPr>
          <w:rFonts w:ascii="Arial" w:hAnsi="Arial" w:eastAsia="Microsoft YaHei"/>
          <w:i w:val="0"/>
          <w:color w:val="17212B"/>
        </w:rPr>
        <w:t>每个内容包应包含4–6条可走路线、15–25个事件、2–3个AI角色、对应职业/技能/资产以及独立复盘内容。六个内容包完成后，才能自然达到100–160个个人与关系事件，而不是靠散乱复制填充数量。</w:t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7. 模式重构方案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7.1 快速模式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8–12个关键年份；1次自由机会；聚焦一条主线和一次主要转折。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压缩日常结算，只展开真正影响路线的关键事件。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7.2 标准模式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20–30个年份；2次自由机会；允许职业、家庭、投资和关系多线交叉。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至少经历两条连续事件链和一次宏观周期切换。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7.3 深度模式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40–60年人生；恢复为3次自由机会；季度用于计算，年度用于重要决策。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提供自动结算、行动托管和年度摘要，避免240个季度逐一完成七阶段。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税务、保障、养老金、家庭、企业和传承按照人生阶段渐进解锁。</w:t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8. 新的完成定义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新增页面不算完成：必须新增一种可感知的决策、状态或长期后果。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新增职业不算完成：必须拥有前置、成长、风险、收入模式和至少两个转型出口。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新增事件不算完成：必须有触发条件、暴露对象、选择、即时结果、延迟后果和复盘标签。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新增AI角色不算完成：必须拥有目标、资源、风险偏好、底线、记忆和可验证决策规则。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新增多人功能不算完成：必须复用单人规则，并能处理合同、违约和统一结算。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测试能通关不算完成：还必须测试策略分布、事件重复、路线可达性和长期平衡。</w:t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9. 建议立即启动的第一里程碑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0D8"/>
          <w:left w:val="single" w:sz="6" w:space="0" w:color="C8D0D8"/>
          <w:bottom w:val="single" w:sz="6" w:space="0" w:color="C8D0D8"/>
          <w:right w:val="single" w:sz="6" w:space="0" w:color="C8D0D8"/>
          <w:insideH w:val="single" w:sz="6" w:space="0" w:color="C8D0D8"/>
          <w:insideV w:val="single" w:sz="6" w:space="0" w:color="C8D0D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5E8"/>
          </w:tcPr>
          <w:p>
            <w:pPr>
              <w:widowControl/>
              <w:spacing w:before="40" w:after="40" w:line="269" w:lineRule="auto"/>
            </w:pPr>
            <w:r>
              <w:rPr>
                <w:rFonts w:ascii="Arial" w:hAnsi="Arial" w:eastAsia="Microsoft YaHei"/>
                <w:b/>
                <w:color w:val="9B1C1C"/>
              </w:rPr>
              <w:t xml:space="preserve">优先工作　</w:t>
            </w:r>
            <w:r>
              <w:rPr>
                <w:rFonts w:ascii="Arial" w:hAnsi="Arial" w:eastAsia="Microsoft YaHei"/>
                <w:color w:val="17212B"/>
              </w:rPr>
              <w:t>统一领域模型＋真实路线图＋行动后事件导演＋第一条完整职业转型故事包。</w:t>
            </w:r>
          </w:p>
        </w:tc>
      </w:tr>
    </w:tbl>
    <w:p>
      <w:pPr>
        <w:spacing w:after="40"/>
      </w:pPr>
    </w:p>
    <w:p>
      <w:pPr>
        <w:widowControl/>
        <w:spacing w:before="0" w:after="120" w:line="264" w:lineRule="auto"/>
      </w:pPr>
      <w:r>
        <w:rPr>
          <w:rFonts w:ascii="Arial" w:hAnsi="Arial" w:eastAsia="Microsoft YaHei"/>
          <w:i w:val="0"/>
          <w:color w:val="17212B"/>
        </w:rPr>
        <w:t>这一步不追求继续扩大页面数量，而是把一条职业人生做深：玩家能够继续工作、降低工时、休假、争取晋升、内部调岗、补技能、建立作品证据、辞职和转行；这些选择会改变棋盘节点、关系支持、现金流和后续事件。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9.1 第一里程碑验收条件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玩家行为而不是回合数决定路线节点是否出现和解锁。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同一职业至少有继续深耕、管理晋升、横向转型和离开四类出口。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本回合普通行动能够改变本回合及未来事件的候选集合。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至少20个互相关联的职业和关系事件，包含不少于3条分支事件链。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至少4个AI角色会根据目标和底线主动回应玩家。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复盘能够引用真实职业选择、准备证据、运气落点和延迟后果。</w:t>
      </w:r>
    </w:p>
    <w:p>
      <w:pPr>
        <w:widowControl/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单元测试、属性测试和完整快速模式E2E共同通过。</w:t>
      </w: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10. 不再重复的开发方式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不再把达到内容数量当成系统完成。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不再把按年份点亮的节点称为动态棋盘。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不再为联机维护一套与单机脱节的简化玩法。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不再只修改页面标题，却保留完全相同的决策动作。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不再直接堆放互不关联的事件卡。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不再把几个数值字段称为完整家庭、企业或投资系统。</w:t>
      </w:r>
    </w:p>
    <w:p>
      <w:pPr>
        <w:widowControl/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Microsoft YaHei"/>
          <w:color w:val="17212B"/>
        </w:rPr>
        <w:t>不再只验证游戏能够跑完，而忽略重复度、平衡和路线可达性。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0D8"/>
          <w:left w:val="single" w:sz="6" w:space="0" w:color="C8D0D8"/>
          <w:bottom w:val="single" w:sz="6" w:space="0" w:color="C8D0D8"/>
          <w:right w:val="single" w:sz="6" w:space="0" w:color="C8D0D8"/>
          <w:insideH w:val="single" w:sz="6" w:space="0" w:color="C8D0D8"/>
          <w:insideV w:val="single" w:sz="6" w:space="0" w:color="C8D0D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F"/>
          </w:tcPr>
          <w:p>
            <w:pPr>
              <w:widowControl/>
              <w:spacing w:before="40" w:after="40" w:line="269" w:lineRule="auto"/>
            </w:pPr>
            <w:r>
              <w:rPr>
                <w:rFonts w:ascii="Arial" w:hAnsi="Arial" w:eastAsia="Microsoft YaHei"/>
                <w:b/>
                <w:color w:val="154F42"/>
              </w:rPr>
              <w:t xml:space="preserve">最终方向　</w:t>
            </w:r>
            <w:r>
              <w:rPr>
                <w:rFonts w:ascii="Arial" w:hAnsi="Arial" w:eastAsia="Microsoft YaHei"/>
                <w:color w:val="17212B"/>
              </w:rPr>
              <w:t>先让玩家的选择真实改变世界、关系和路线，再扩大内容数量。只有当每一套内容都能产生独立策略、连续事件和可复盘因果时，《财富人生》才会从卡牌式原型变成规格书中的开放人生模拟器。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Microsoft YaHei"/>
          <w:b/>
          <w:color w:val="2E74B5"/>
          <w:sz w:val="32"/>
        </w:rPr>
        <w:t>附录：分析依据与边界</w:t>
      </w:r>
    </w:p>
    <w:p>
      <w:pPr>
        <w:widowControl/>
        <w:spacing w:before="0" w:after="120" w:line="264" w:lineRule="auto"/>
      </w:pPr>
      <w:r>
        <w:rPr>
          <w:rFonts w:ascii="Arial" w:hAnsi="Arial" w:eastAsia="Microsoft YaHei"/>
          <w:i w:val="0"/>
          <w:color w:val="17212B"/>
        </w:rPr>
        <w:t>主要依据为《财富人生_AI开放式人生财商模拟游戏_完整产品规格书_v1.0》，重点核对回合骨架、玩家模型、职业技能、自由机会、概率引擎、事件世界、投资、家庭、多人、AI裁判、复盘、UI方向、首版范围和验收标准。</w:t>
      </w:r>
    </w:p>
    <w:p>
      <w:pPr>
        <w:widowControl/>
        <w:spacing w:before="0" w:after="120" w:line="264" w:lineRule="auto"/>
      </w:pPr>
      <w:r>
        <w:rPr>
          <w:rFonts w:ascii="Arial" w:hAnsi="Arial" w:eastAsia="Microsoft YaHei"/>
          <w:i w:val="0"/>
          <w:color w:val="17212B"/>
        </w:rPr>
        <w:t>本文档是产品建设路线图，不是按旧实现继续补丁式扩展的任务列表。后续每个里程碑应拆分为可独立验证的小版本，并保持游戏始终可以完成一局。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center"/>
    </w:pPr>
    <w:r>
      <w:rPr>
        <w:rFonts w:ascii="Arial" w:hAnsi="Arial" w:eastAsia="Microsoft YaHei"/>
        <w:color w:val="5C6670"/>
        <w:sz w:val="18"/>
      </w:rPr>
      <w:t xml:space="preserve">第 </w:t>
    </w:r>
    <w:r>
      <w:rPr>
        <w:rFonts w:ascii="Arial" w:hAnsi="Arial" w:eastAsia="Microsoft YaHei"/>
        <w:color w:val="5C6670"/>
        <w:sz w:val="18"/>
      </w:rPr>
      <w:fldChar w:fldCharType="begin"/>
      <w:instrText xml:space="preserve">PAGE</w:instrText>
      <w:fldChar w:fldCharType="end"/>
    </w:r>
    <w:r>
      <w:rPr>
        <w:rFonts w:ascii="Arial" w:hAnsi="Arial" w:eastAsia="Microsoft YaHei"/>
        <w:color w:val="5C6670"/>
        <w:sz w:val="18"/>
      </w:rPr>
      <w:t xml:space="preserve"> 页 / 共 </w:t>
    </w:r>
    <w:r>
      <w:rPr>
        <w:rFonts w:ascii="Arial" w:hAnsi="Arial" w:eastAsia="Microsoft YaHei"/>
        <w:color w:val="5C6670"/>
        <w:sz w:val="18"/>
      </w:rPr>
      <w:fldChar w:fldCharType="begin"/>
      <w:instrText xml:space="preserve">NUMPAGES</w:instrText>
      <w:fldChar w:fldCharType="end"/>
    </w:r>
    <w:r>
      <w:rPr>
        <w:rFonts w:ascii="Arial" w:hAnsi="Arial" w:eastAsia="Microsoft YaHei"/>
        <w:color w:val="5C66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tabs>
        <w:tab w:pos="9360" w:val="left"/>
      </w:tabs>
      <w:spacing w:before="0" w:after="0" w:line="240" w:lineRule="auto"/>
    </w:pPr>
    <w:r>
      <w:rPr>
        <w:rFonts w:ascii="Arial" w:hAnsi="Arial" w:eastAsia="Microsoft YaHei"/>
        <w:b/>
        <w:color w:val="5C6670"/>
        <w:sz w:val="17"/>
      </w:rPr>
      <w:t>财富人生｜产品缺口分析与建设路线图</w:t>
    </w:r>
    <w:r>
      <w:rPr>
        <w:rFonts w:ascii="Arial" w:hAnsi="Arial" w:eastAsia="Microsoft YaHei"/>
        <w:color w:val="5C6670"/>
        <w:sz w:val="17"/>
      </w:rPr>
      <w:tab/>
      <w:t>内部产品决策文档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财富人生 产品缺口分析与建设路线图 v2.0</dc:title>
  <dc:subject>规格书差距审计、玩法丰富化规划与开发优先级</dc:subject>
  <dc:creator>财富人生产品团队</dc:creator>
  <cp:keywords>财富人生, 产品规格, 缺口分析, 游戏设计, 路线图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