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200"/>
      </w:pPr>
      <w:r>
        <w:rPr>
          <w:rFonts w:ascii="Calibri" w:hAnsi="Calibri" w:eastAsia="Microsoft YaHei"/>
          <w:b/>
          <w:color w:val="A66B12"/>
          <w:sz w:val="20"/>
        </w:rPr>
        <w:t>产品审计 · 玩法重构 · 执行路线图</w:t>
      </w:r>
    </w:p>
    <w:p>
      <w:pPr>
        <w:spacing w:after="80"/>
      </w:pPr>
      <w:r>
        <w:rPr>
          <w:rFonts w:ascii="Calibri" w:hAnsi="Calibri" w:eastAsia="Microsoft YaHei"/>
          <w:b/>
          <w:color w:val="17365D"/>
          <w:sz w:val="60"/>
        </w:rPr>
        <w:t>财富人生</w:t>
      </w:r>
    </w:p>
    <w:p>
      <w:pPr>
        <w:spacing w:after="320"/>
      </w:pPr>
      <w:r>
        <w:rPr>
          <w:rFonts w:ascii="Calibri" w:hAnsi="Calibri" w:eastAsia="Microsoft YaHei"/>
          <w:b/>
          <w:color w:val="2456A6"/>
          <w:sz w:val="40"/>
        </w:rPr>
        <w:t>玩法缺口与完善执行总纲 v3.0</w:t>
      </w:r>
    </w:p>
    <w:p>
      <w:pPr>
        <w:spacing w:after="480"/>
      </w:pPr>
      <w:r>
        <w:rPr>
          <w:rFonts w:ascii="Calibri" w:hAnsi="Calibri" w:eastAsia="Microsoft YaHei"/>
          <w:color w:val="5F6B7A"/>
          <w:sz w:val="25"/>
        </w:rPr>
        <w:t>从“能运行的规则原型”走向“真正可重复体验的开放式人生财商模拟器”</w:t>
      </w:r>
    </w:p>
    <w:p>
      <w:pPr>
        <w:spacing w:after="80"/>
      </w:pPr>
      <w:r>
        <w:rPr>
          <w:rFonts w:ascii="Calibri" w:hAnsi="Calibri" w:eastAsia="Microsoft YaHei"/>
          <w:b/>
          <w:color w:val="17365D"/>
          <w:sz w:val="21"/>
        </w:rPr>
        <w:t>分析依据：</w:t>
      </w:r>
      <w:r>
        <w:rPr>
          <w:rFonts w:ascii="Calibri" w:hAnsi="Calibri" w:eastAsia="Microsoft YaHei"/>
          <w:color w:val="1F2937"/>
          <w:sz w:val="21"/>
        </w:rPr>
        <w:t>完整产品规格书 v1.0、当前仓库实现、M0–M4 验收结果与 M5 在建方案</w:t>
      </w:r>
    </w:p>
    <w:p>
      <w:pPr>
        <w:spacing w:after="80"/>
      </w:pPr>
      <w:r>
        <w:rPr>
          <w:rFonts w:ascii="Calibri" w:hAnsi="Calibri" w:eastAsia="Microsoft YaHei"/>
          <w:b/>
          <w:color w:val="17365D"/>
          <w:sz w:val="21"/>
        </w:rPr>
        <w:t>审计日期：</w:t>
      </w:r>
      <w:r>
        <w:rPr>
          <w:rFonts w:ascii="Calibri" w:hAnsi="Calibri" w:eastAsia="Microsoft YaHei"/>
          <w:color w:val="1F2937"/>
          <w:sz w:val="21"/>
        </w:rPr>
        <w:t>2026 年 8 月 8 日</w:t>
      </w:r>
    </w:p>
    <w:p>
      <w:pPr>
        <w:spacing w:after="80"/>
      </w:pPr>
      <w:r>
        <w:rPr>
          <w:rFonts w:ascii="Calibri" w:hAnsi="Calibri" w:eastAsia="Microsoft YaHei"/>
          <w:b/>
          <w:color w:val="17365D"/>
          <w:sz w:val="21"/>
        </w:rPr>
        <w:t>当前版本判断：</w:t>
      </w:r>
      <w:r>
        <w:rPr>
          <w:rFonts w:ascii="Calibri" w:hAnsi="Calibri" w:eastAsia="Microsoft YaHei"/>
          <w:color w:val="1F2937"/>
          <w:sz w:val="21"/>
        </w:rPr>
        <w:t>单人核心已形成内容型 MVP；多人统一领域模型与内容运营工具仍是主要缺口</w:t>
      </w:r>
    </w:p>
    <w:p>
      <w:pPr>
        <w:spacing w:after="80"/>
      </w:pPr>
      <w:r>
        <w:rPr>
          <w:rFonts w:ascii="Calibri" w:hAnsi="Calibri" w:eastAsia="Microsoft YaHei"/>
          <w:b/>
          <w:color w:val="17365D"/>
          <w:sz w:val="21"/>
        </w:rPr>
        <w:t>公开仓库：</w:t>
      </w:r>
      <w:r>
        <w:rPr>
          <w:rFonts w:ascii="Calibri" w:hAnsi="Calibri" w:eastAsia="Microsoft YaHei"/>
          <w:color w:val="1F2937"/>
          <w:sz w:val="21"/>
        </w:rPr>
        <w:t>github.com/hrr1119/wealth-life-ai-simulator</w:t>
      </w:r>
    </w:p>
    <w:p>
      <w:pPr>
        <w:spacing w:after="1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A66B12"/>
          <w:left w:val="single" w:sz="8" w:space="0" w:color="A66B12"/>
          <w:bottom w:val="single" w:sz="8" w:space="0" w:color="A66B12"/>
          <w:right w:val="single" w:sz="8" w:space="0" w:color="A66B12"/>
          <w:insideH w:val="single" w:sz="8" w:space="0" w:color="A66B12"/>
          <w:insideV w:val="single" w:sz="8" w:space="0" w:color="A66B12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D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A66B12"/>
                <w:sz w:val="21"/>
              </w:rPr>
              <w:t xml:space="preserve">核心结论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过去的问题不是页面少，而是职业、家庭、资产、事件和联机被压缩成同一种“选卡—判定—加减数值”。M0–M4 已把单人模式改造成连续因果系统；下一步必须让联机完整复用同一套领域规则，并建设可持续扩充内容的工具链。</w:t>
            </w:r>
          </w:p>
        </w:tc>
      </w:tr>
    </w:tbl>
    <w:p>
      <w:pPr>
        <w:spacing w:after="0"/>
      </w:pPr>
    </w:p>
    <w:p>
      <w:pPr>
        <w:spacing w:after="160"/>
      </w:pPr>
    </w:p>
    <w:p>
      <w:pPr>
        <w:spacing w:before="160" w:after="60"/>
      </w:pPr>
      <w:r>
        <w:rPr>
          <w:rFonts w:ascii="Calibri" w:hAnsi="Calibri" w:eastAsia="Microsoft YaHei"/>
          <w:b/>
          <w:color w:val="17365D"/>
          <w:sz w:val="20"/>
        </w:rPr>
        <w:t>在线地址</w:t>
      </w:r>
    </w:p>
    <w:p>
      <w:pPr>
        <w:spacing w:after="40"/>
      </w:pPr>
      <w:r>
        <w:rPr>
          <w:rFonts w:ascii="Calibri" w:hAnsi="Calibri" w:eastAsia="Microsoft YaHei"/>
          <w:b/>
          <w:color w:val="5F6B7A"/>
          <w:sz w:val="19"/>
        </w:rPr>
        <w:t>GitHub Pages：</w:t>
      </w:r>
      <w:hyperlink r:id="rId11">
        <w:r>
          <w:rPr>
            <w:rFonts w:ascii="Calibri" w:hAnsi="Calibri" w:eastAsia="Microsoft YaHei"/>
            <w:color w:val="2456A6"/>
            <w:u w:val="single"/>
          </w:rPr>
          <w:t>https://hrr1119.github.io/wealth-life-ai-simulator/</w:t>
        </w:r>
      </w:hyperlink>
    </w:p>
    <w:p>
      <w:pPr>
        <w:spacing w:after="0"/>
      </w:pPr>
      <w:r>
        <w:rPr>
          <w:rFonts w:ascii="Calibri" w:hAnsi="Calibri" w:eastAsia="Microsoft YaHei"/>
          <w:b/>
          <w:color w:val="5F6B7A"/>
          <w:sz w:val="19"/>
        </w:rPr>
        <w:t>公开全栈站：</w:t>
      </w:r>
      <w:hyperlink r:id="rId12">
        <w:r>
          <w:rPr>
            <w:rFonts w:ascii="Calibri" w:hAnsi="Calibri" w:eastAsia="Microsoft YaHei"/>
            <w:color w:val="2456A6"/>
            <w:u w:val="single"/>
          </w:rPr>
          <w:t>https://wealth-life-ai-sim.q1658046672.chatgpt.site/</w:t>
        </w:r>
      </w:hyperlink>
    </w:p>
    <w:p>
      <w:r>
        <w:br w:type="page"/>
      </w:r>
    </w:p>
    <w:p>
      <w:pPr>
        <w:pStyle w:val="Heading1"/>
        <w:keepNext/>
        <w:keepLines/>
      </w:pPr>
      <w:r>
        <w:t>1. 一页结论</w:t>
      </w:r>
    </w:p>
    <w:p>
      <w:pPr>
        <w:keepNext w:val="0"/>
        <w:keepLines/>
      </w:pPr>
      <w:r>
        <w:rPr>
          <w:rFonts w:ascii="Calibri" w:hAnsi="Calibri" w:eastAsia="Microsoft YaHei"/>
          <w:color w:val="1F2937"/>
        </w:rPr>
        <w:t>当前产品已经跨过“能不能做出来”的阶段，进入“能不能形成长期可玩性”的阶段。单人模式的规则、叙事、职业成长、资产管理、家庭责任、AI 同桌和合同已形成相互连接的系统；但联机模式仍未完成同构，内容生产、平衡模拟和因果复盘也尚未形成工具闭环。</w:t>
      </w:r>
    </w:p>
    <w:p>
      <w:pPr>
        <w:pStyle w:val="ListBullet"/>
        <w:keepNext w:val="0"/>
        <w:keepLines/>
      </w:pPr>
      <w:r>
        <w:rPr>
          <w:rFonts w:ascii="Calibri" w:hAnsi="Calibri" w:eastAsia="Microsoft YaHei"/>
          <w:b/>
          <w:color w:val="1F2937"/>
        </w:rPr>
        <w:t>已解决：</w:t>
      </w:r>
      <w:r>
        <w:rPr>
          <w:rFonts w:ascii="Calibri" w:hAnsi="Calibri" w:eastAsia="Microsoft YaHei"/>
          <w:color w:val="1F2937"/>
        </w:rPr>
        <w:t>七阶段回合、真实路线图、行动后事件导演、10 条连续故事线、职业/技能/资产成长、家庭责任账本、AI 自主决策、可执行合同。</w:t>
      </w:r>
    </w:p>
    <w:p>
      <w:pPr>
        <w:pStyle w:val="ListBullet"/>
        <w:keepNext w:val="0"/>
        <w:keepLines/>
      </w:pPr>
      <w:r>
        <w:rPr>
          <w:rFonts w:ascii="Calibri" w:hAnsi="Calibri" w:eastAsia="Microsoft YaHei"/>
          <w:b/>
          <w:color w:val="1F2937"/>
        </w:rPr>
        <w:t>最大缺口：</w:t>
      </w:r>
      <w:r>
        <w:rPr>
          <w:rFonts w:ascii="Calibri" w:hAnsi="Calibri" w:eastAsia="Microsoft YaHei"/>
          <w:color w:val="1F2937"/>
        </w:rPr>
        <w:t>联机目前仍是简化版玩法，不能完整使用职业、技能、资产、家庭、事件和合同。</w:t>
      </w:r>
    </w:p>
    <w:p>
      <w:pPr>
        <w:pStyle w:val="ListBullet"/>
        <w:keepNext w:val="0"/>
        <w:keepLines/>
      </w:pPr>
      <w:r>
        <w:rPr>
          <w:rFonts w:ascii="Calibri" w:hAnsi="Calibri" w:eastAsia="Microsoft YaHei"/>
          <w:b/>
          <w:color w:val="1F2937"/>
        </w:rPr>
        <w:t>次要缺口：</w:t>
      </w:r>
      <w:r>
        <w:rPr>
          <w:rFonts w:ascii="Calibri" w:hAnsi="Calibri" w:eastAsia="Microsoft YaHei"/>
          <w:color w:val="1F2937"/>
        </w:rPr>
        <w:t>投资/企业经营仍可继续深化；内容编辑、规则校验、批量模拟、玩家行为分析与因果复盘工具未完成。</w:t>
      </w:r>
    </w:p>
    <w:p>
      <w:pPr>
        <w:pStyle w:val="ListBullet"/>
        <w:keepNext w:val="0"/>
        <w:keepLines/>
      </w:pPr>
      <w:r>
        <w:rPr>
          <w:rFonts w:ascii="Calibri" w:hAnsi="Calibri" w:eastAsia="Microsoft YaHei"/>
          <w:b/>
          <w:color w:val="1F2937"/>
        </w:rPr>
        <w:t>执行原则：</w:t>
      </w:r>
      <w:r>
        <w:rPr>
          <w:rFonts w:ascii="Calibri" w:hAnsi="Calibri" w:eastAsia="Microsoft YaHei"/>
          <w:color w:val="1F2937"/>
        </w:rPr>
        <w:t>不再增加重复页面壳；每个里程碑都必须同时交付领域模型、规则、界面、内容、测试、迁移与公开部署。</w:t>
      </w:r>
    </w:p>
    <w:p>
      <w:pPr>
        <w:pStyle w:val="Heading1"/>
        <w:keepNext/>
        <w:keepLines/>
      </w:pPr>
      <w:r>
        <w:t>2. 当前建设进度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5" w:space="0" w:color="CCD5E1"/>
          <w:left w:val="single" w:sz="5" w:space="0" w:color="CCD5E1"/>
          <w:bottom w:val="single" w:sz="5" w:space="0" w:color="CCD5E1"/>
          <w:right w:val="single" w:sz="5" w:space="0" w:color="CCD5E1"/>
          <w:insideH w:val="single" w:sz="5" w:space="0" w:color="CCD5E1"/>
          <w:insideV w:val="single" w:sz="5" w:space="0" w:color="CCD5E1"/>
        </w:tblBorders>
        <w:tblInd w:w="120" w:type="dxa"/>
      </w:tblPr>
      <w:tblGrid>
        <w:gridCol w:w="820"/>
        <w:gridCol w:w="1880"/>
        <w:gridCol w:w="900"/>
        <w:gridCol w:w="5760"/>
      </w:tblGrid>
      <w:tr>
        <w:trPr>
          <w:tblHeader w:val="true"/>
          <w:cantSplit w:val="true"/>
        </w:trPr>
        <w:tc>
          <w:tcPr>
            <w:tcW w:type="dxa" w:w="82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里程碑</w:t>
            </w:r>
          </w:p>
        </w:tc>
        <w:tc>
          <w:tcPr>
            <w:tcW w:type="dxa" w:w="188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90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576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当前成果 / 剩余任务</w:t>
            </w:r>
          </w:p>
        </w:tc>
      </w:tr>
      <w:tr>
        <w:trPr>
          <w:cantSplit w:val="true"/>
        </w:trPr>
        <w:tc>
          <w:tcPr>
            <w:tcW w:type="dxa" w:w="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M0</w:t>
            </w:r>
          </w:p>
        </w:tc>
        <w:tc>
          <w:tcPr>
            <w:tcW w:type="dxa" w:w="1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规格追踪与统一模型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77A55"/>
                <w:sz w:val="18"/>
              </w:rPr>
              <w:t>完成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规则、AI 与叙事边界明确；单人核心状态可迁移、可测试。</w:t>
            </w:r>
          </w:p>
        </w:tc>
      </w:tr>
      <w:tr>
        <w:trPr>
          <w:cantSplit w:val="true"/>
        </w:trPr>
        <w:tc>
          <w:tcPr>
            <w:tcW w:type="dxa" w:w="82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M1</w:t>
            </w:r>
          </w:p>
        </w:tc>
        <w:tc>
          <w:tcPr>
            <w:tcW w:type="dxa" w:w="188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真实路线图与事件导演</w:t>
            </w:r>
          </w:p>
        </w:tc>
        <w:tc>
          <w:tcPr>
            <w:tcW w:type="dxa" w:w="90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77A55"/>
                <w:sz w:val="18"/>
              </w:rPr>
              <w:t>完成</w:t>
            </w:r>
          </w:p>
        </w:tc>
        <w:tc>
          <w:tcPr>
            <w:tcW w:type="dxa" w:w="576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路线由真实行动与事件生长；本回合行为可改变后续事件候选。</w:t>
            </w:r>
          </w:p>
        </w:tc>
      </w:tr>
      <w:tr>
        <w:trPr>
          <w:cantSplit w:val="true"/>
        </w:trPr>
        <w:tc>
          <w:tcPr>
            <w:tcW w:type="dxa" w:w="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M2</w:t>
            </w:r>
          </w:p>
        </w:tc>
        <w:tc>
          <w:tcPr>
            <w:tcW w:type="dxa" w:w="1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连续人生故事生态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77A55"/>
                <w:sz w:val="18"/>
              </w:rPr>
              <w:t>完成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10 条五阶段故事线、50 个连续事件；与 36 个通用事件共同形成 86 个事件原型。</w:t>
            </w:r>
          </w:p>
        </w:tc>
      </w:tr>
      <w:tr>
        <w:trPr>
          <w:cantSplit w:val="true"/>
        </w:trPr>
        <w:tc>
          <w:tcPr>
            <w:tcW w:type="dxa" w:w="82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M3</w:t>
            </w:r>
          </w:p>
        </w:tc>
        <w:tc>
          <w:tcPr>
            <w:tcW w:type="dxa" w:w="188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职业、技能与资产组合</w:t>
            </w:r>
          </w:p>
        </w:tc>
        <w:tc>
          <w:tcPr>
            <w:tcW w:type="dxa" w:w="90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77A55"/>
                <w:sz w:val="18"/>
              </w:rPr>
              <w:t>完成</w:t>
            </w:r>
          </w:p>
        </w:tc>
        <w:tc>
          <w:tcPr>
            <w:tcW w:type="dxa" w:w="576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30 职业、48 技能、24 资产；前置、组合、准备度、调仓与变现折价已落地。</w:t>
            </w:r>
          </w:p>
        </w:tc>
      </w:tr>
      <w:tr>
        <w:trPr>
          <w:cantSplit w:val="true"/>
        </w:trPr>
        <w:tc>
          <w:tcPr>
            <w:tcW w:type="dxa" w:w="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M4</w:t>
            </w:r>
          </w:p>
        </w:tc>
        <w:tc>
          <w:tcPr>
            <w:tcW w:type="dxa" w:w="1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家庭、AI 自主性与合同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77A55"/>
                <w:sz w:val="18"/>
              </w:rPr>
              <w:t>完成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全模式家庭责任账本、4 位 AI 独立决策、关系合同履约/退出/违约状态机。</w:t>
            </w:r>
          </w:p>
        </w:tc>
      </w:tr>
      <w:tr>
        <w:trPr>
          <w:cantSplit w:val="true"/>
        </w:trPr>
        <w:tc>
          <w:tcPr>
            <w:tcW w:type="dxa" w:w="82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M5</w:t>
            </w:r>
          </w:p>
        </w:tc>
        <w:tc>
          <w:tcPr>
            <w:tcW w:type="dxa" w:w="188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联机统一领域模型</w:t>
            </w:r>
          </w:p>
        </w:tc>
        <w:tc>
          <w:tcPr>
            <w:tcW w:type="dxa" w:w="90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A66B12"/>
                <w:sz w:val="18"/>
              </w:rPr>
              <w:t>进行中</w:t>
            </w:r>
          </w:p>
        </w:tc>
        <w:tc>
          <w:tcPr>
            <w:tcW w:type="dxa" w:w="576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正在把联机从 8 个固定动作升级为完整职业、技能、资产、家庭、事件与合同系统。</w:t>
            </w:r>
          </w:p>
        </w:tc>
      </w:tr>
      <w:tr>
        <w:trPr>
          <w:cantSplit w:val="true"/>
        </w:trPr>
        <w:tc>
          <w:tcPr>
            <w:tcW w:type="dxa" w:w="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M6</w:t>
            </w:r>
          </w:p>
        </w:tc>
        <w:tc>
          <w:tcPr>
            <w:tcW w:type="dxa" w:w="1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内容工具、平衡与因果复盘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A33D3D"/>
                <w:sz w:val="18"/>
              </w:rPr>
              <w:t>待实施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建设内容 Schema、编辑/审核、可达性检查、批量模拟、平衡报告与反事实复盘。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A33D3D"/>
          <w:left w:val="single" w:sz="8" w:space="0" w:color="A33D3D"/>
          <w:bottom w:val="single" w:sz="8" w:space="0" w:color="A33D3D"/>
          <w:right w:val="single" w:sz="8" w:space="0" w:color="A33D3D"/>
          <w:insideH w:val="single" w:sz="8" w:space="0" w:color="A33D3D"/>
          <w:insideV w:val="single" w:sz="8" w:space="0" w:color="A33D3D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CECE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A33D3D"/>
                <w:sz w:val="21"/>
              </w:rPr>
              <w:t xml:space="preserve">阶段判断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目前不应继续用新增首页、弹窗或卡牌皮肤来掩盖玩法差距。所有开发资源优先投入 M5 与 M6。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3. 过去为什么会偏离玩法计划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5" w:space="0" w:color="CCD5E1"/>
          <w:left w:val="single" w:sz="5" w:space="0" w:color="CCD5E1"/>
          <w:bottom w:val="single" w:sz="5" w:space="0" w:color="CCD5E1"/>
          <w:right w:val="single" w:sz="5" w:space="0" w:color="CCD5E1"/>
          <w:insideH w:val="single" w:sz="5" w:space="0" w:color="CCD5E1"/>
          <w:insideV w:val="single" w:sz="5" w:space="0" w:color="CCD5E1"/>
        </w:tblBorders>
        <w:tblInd w:w="120" w:type="dxa"/>
      </w:tblPr>
      <w:tblGrid>
        <w:gridCol w:w="2200"/>
        <w:gridCol w:w="3000"/>
        <w:gridCol w:w="4160"/>
      </w:tblGrid>
      <w:tr>
        <w:trPr>
          <w:tblHeader w:val="true"/>
          <w:cantSplit w:val="true"/>
        </w:trPr>
        <w:tc>
          <w:tcPr>
            <w:tcW w:type="dxa" w:w="220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表面现象</w:t>
            </w:r>
          </w:p>
        </w:tc>
        <w:tc>
          <w:tcPr>
            <w:tcW w:type="dxa" w:w="300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根因</w:t>
            </w:r>
          </w:p>
        </w:tc>
        <w:tc>
          <w:tcPr>
            <w:tcW w:type="dxa" w:w="416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正确修复方式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每个阶段看起来都是同一套卡片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页面切换了，但玩家可使用的决策动词没有增加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让各阶段承担不同任务：观察、规划、谈判、应对、结算、复盘。</w:t>
            </w:r>
          </w:p>
        </w:tc>
      </w:tr>
      <w:tr>
        <w:trPr>
          <w:cantSplit w:val="true"/>
        </w:trPr>
        <w:tc>
          <w:tcPr>
            <w:tcW w:type="dxa" w:w="220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职业、学习、副业、关系手感相似</w:t>
            </w:r>
          </w:p>
        </w:tc>
        <w:tc>
          <w:tcPr>
            <w:tcW w:type="dxa" w:w="300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都被压成相同概率公式与一次性数值变化</w:t>
            </w:r>
          </w:p>
        </w:tc>
        <w:tc>
          <w:tcPr>
            <w:tcW w:type="dxa" w:w="416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为职业、技能、家庭、资产、合同建立独立状态与长期后果。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事件很多但仍像随机卡池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缺少前序证据、事件链状态和延迟后果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用故事包、记忆标签、暴露条件与到期结果组织内容。</w:t>
            </w:r>
          </w:p>
        </w:tc>
      </w:tr>
      <w:tr>
        <w:trPr>
          <w:cantSplit w:val="true"/>
        </w:trPr>
        <w:tc>
          <w:tcPr>
            <w:tcW w:type="dxa" w:w="220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AI 像背景人物</w:t>
            </w:r>
          </w:p>
        </w:tc>
        <w:tc>
          <w:tcPr>
            <w:tcW w:type="dxa" w:w="300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角色目标只用于展示，没有自主规划和底线</w:t>
            </w:r>
          </w:p>
        </w:tc>
        <w:tc>
          <w:tcPr>
            <w:tcW w:type="dxa" w:w="416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AI 每期独立做储备、降债、学习、投资、经营和家庭保障决策。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联机像另一个小游戏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多人服务端维护了独立的现金/信任/8 动作模型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多人、真人与 AI 共用 Action、Event、Asset、Relationship、Contract。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4. 已经完成的玩法重构</w:t>
      </w:r>
    </w:p>
    <w:p>
      <w:pPr>
        <w:pStyle w:val="Heading2"/>
        <w:keepNext/>
        <w:keepLines/>
      </w:pPr>
      <w:r>
        <w:t>4.1 路线与连续因果</w:t>
      </w:r>
    </w:p>
    <w:p>
      <w:pPr>
        <w:pStyle w:val="ListBullet"/>
        <w:keepNext w:val="0"/>
        <w:keepLines/>
      </w:pPr>
      <w:r>
        <w:rPr>
          <w:rFonts w:ascii="Calibri" w:hAnsi="Calibri" w:eastAsia="Microsoft YaHei"/>
          <w:color w:val="1F2937"/>
        </w:rPr>
        <w:t>人生棋盘不再按回合自动点亮，而是由职业、资本、关系三条真实路线生成节点、失败疤痕与候选分岔。</w:t>
      </w:r>
    </w:p>
    <w:p>
      <w:pPr>
        <w:pStyle w:val="ListBullet"/>
        <w:keepNext w:val="0"/>
        <w:keepLines/>
      </w:pPr>
      <w:r>
        <w:rPr>
          <w:rFonts w:ascii="Calibri" w:hAnsi="Calibri" w:eastAsia="Microsoft YaHei"/>
          <w:color w:val="1F2937"/>
        </w:rPr>
        <w:t>个人事件在普通行动和互动完成后再抽取；行动标签、历史记忆、关系、现金缓冲、健康、资产暴露和世界周期共同决定候选。</w:t>
      </w:r>
    </w:p>
    <w:p>
      <w:pPr>
        <w:pStyle w:val="ListBullet"/>
        <w:keepNext w:val="0"/>
        <w:keepLines/>
      </w:pPr>
      <w:r>
        <w:rPr>
          <w:rFonts w:ascii="Calibri" w:hAnsi="Calibri" w:eastAsia="Microsoft YaHei"/>
          <w:color w:val="1F2937"/>
        </w:rPr>
        <w:t>10 条五阶段故事线覆盖职业成长、职业冲击、职业转型、独立经营、创业、家庭住房、投资周期、合同合规、消费债务与平台经营。</w:t>
      </w:r>
    </w:p>
    <w:p>
      <w:pPr>
        <w:pStyle w:val="Heading2"/>
        <w:keepNext/>
        <w:keepLines/>
      </w:pPr>
      <w:r>
        <w:t>4.2 职业、技能与资本</w:t>
      </w:r>
    </w:p>
    <w:p>
      <w:pPr>
        <w:pStyle w:val="ListBullet"/>
        <w:keepNext w:val="0"/>
        <w:keepLines/>
      </w:pPr>
      <w:r>
        <w:rPr>
          <w:rFonts w:ascii="Calibri" w:hAnsi="Calibri" w:eastAsia="Microsoft YaHei"/>
          <w:color w:val="1F2937"/>
        </w:rPr>
        <w:t>职业准备度同时读取目标技能、可迁移能力、现金跑道、行业趋势、经历和精力，不再是交钱即可转职。</w:t>
      </w:r>
    </w:p>
    <w:p>
      <w:pPr>
        <w:pStyle w:val="ListBullet"/>
        <w:keepNext w:val="0"/>
        <w:keepLines/>
      </w:pPr>
      <w:r>
        <w:rPr>
          <w:rFonts w:ascii="Calibri" w:hAnsi="Calibri" w:eastAsia="Microsoft YaHei"/>
          <w:color w:val="1F2937"/>
        </w:rPr>
        <w:t>进阶技能具有前置；技能组合只在相关行动中形成有限、可审计的概率修正。</w:t>
      </w:r>
    </w:p>
    <w:p>
      <w:pPr>
        <w:pStyle w:val="ListBullet"/>
        <w:keepNext w:val="0"/>
        <w:keepLines/>
      </w:pPr>
      <w:r>
        <w:rPr>
          <w:rFonts w:ascii="Calibri" w:hAnsi="Calibri" w:eastAsia="Microsoft YaHei"/>
          <w:color w:val="1F2937"/>
        </w:rPr>
        <w:t>资产组合显示配置、集中度、高风险占比、波动和流动性；卖出进入行动队列，并扣除交易成本和流动性折价。</w:t>
      </w:r>
    </w:p>
    <w:p>
      <w:pPr>
        <w:pStyle w:val="Heading2"/>
        <w:keepNext/>
        <w:keepLines/>
      </w:pPr>
      <w:r>
        <w:t>4.3 家庭、AI 与合同</w:t>
      </w:r>
    </w:p>
    <w:p>
      <w:pPr>
        <w:pStyle w:val="ListBullet"/>
        <w:keepNext w:val="0"/>
        <w:keepLines/>
      </w:pPr>
      <w:r>
        <w:rPr>
          <w:rFonts w:ascii="Calibri" w:hAnsi="Calibri" w:eastAsia="Microsoft YaHei"/>
          <w:color w:val="1F2937"/>
        </w:rPr>
        <w:t>快速、标准和深度模式都保留家庭阶段、共同现金、信任、保障、共同生活、育儿和代际照护责任。</w:t>
      </w:r>
    </w:p>
    <w:p>
      <w:pPr>
        <w:pStyle w:val="ListBullet"/>
        <w:keepNext w:val="0"/>
        <w:keepLines/>
      </w:pPr>
      <w:r>
        <w:rPr>
          <w:rFonts w:ascii="Calibri" w:hAnsi="Calibri" w:eastAsia="Microsoft YaHei"/>
          <w:color w:val="1F2937"/>
        </w:rPr>
        <w:t>4 位 AI 同桌会根据目标、财务、风险偏好、压力和世界状态自主行动，并保存结构化理由与结果。</w:t>
      </w:r>
    </w:p>
    <w:p>
      <w:pPr>
        <w:pStyle w:val="ListBullet"/>
        <w:keepNext w:val="0"/>
        <w:keepLines/>
      </w:pPr>
      <w:r>
        <w:rPr>
          <w:rFonts w:ascii="Calibri" w:hAnsi="Calibri" w:eastAsia="Microsoft YaHei"/>
          <w:color w:val="1F2937"/>
        </w:rPr>
        <w:t>联合项目进入合同簿；履约、完成、按约退出和到期违约都产生现金、收入、信用、关系与记忆后果。</w:t>
      </w:r>
    </w:p>
    <w:p>
      <w:pPr>
        <w:pStyle w:val="Heading1"/>
        <w:keepNext/>
        <w:keepLines/>
      </w:pPr>
      <w:r>
        <w:t>5. 仍然缺什么：按优先级排序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5" w:space="0" w:color="CCD5E1"/>
          <w:left w:val="single" w:sz="5" w:space="0" w:color="CCD5E1"/>
          <w:bottom w:val="single" w:sz="5" w:space="0" w:color="CCD5E1"/>
          <w:right w:val="single" w:sz="5" w:space="0" w:color="CCD5E1"/>
          <w:insideH w:val="single" w:sz="5" w:space="0" w:color="CCD5E1"/>
          <w:insideV w:val="single" w:sz="5" w:space="0" w:color="CCD5E1"/>
        </w:tblBorders>
        <w:tblInd w:w="120" w:type="dxa"/>
      </w:tblPr>
      <w:tblGrid>
        <w:gridCol w:w="760"/>
        <w:gridCol w:w="1520"/>
        <w:gridCol w:w="2920"/>
        <w:gridCol w:w="4160"/>
      </w:tblGrid>
      <w:tr>
        <w:trPr>
          <w:tblHeader w:val="true"/>
          <w:cantSplit w:val="true"/>
        </w:trPr>
        <w:tc>
          <w:tcPr>
            <w:tcW w:type="dxa" w:w="76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152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缺口</w:t>
            </w:r>
          </w:p>
        </w:tc>
        <w:tc>
          <w:tcPr>
            <w:tcW w:type="dxa" w:w="292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当前问题</w:t>
            </w:r>
          </w:p>
        </w:tc>
        <w:tc>
          <w:tcPr>
            <w:tcW w:type="dxa" w:w="416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完成目标</w:t>
            </w:r>
          </w:p>
        </w:tc>
      </w:tr>
      <w:tr>
        <w:trPr>
          <w:cantSplit w:val="true"/>
        </w:trP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P0</w:t>
            </w:r>
          </w:p>
        </w:tc>
        <w:tc>
          <w:tcPr>
            <w:tcW w:type="dxa" w:w="1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联机领域统一</w:t>
            </w:r>
          </w:p>
        </w:tc>
        <w:tc>
          <w:tcPr>
            <w:tcW w:type="dxa" w:w="2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联机动作、事件与玩家状态仍过度简化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联机完整复用 30 职业、48 技能、24 资产、86 事件、家庭责任与合同。</w:t>
            </w:r>
          </w:p>
        </w:tc>
      </w:tr>
      <w:tr>
        <w:trPr>
          <w:cantSplit w:val="true"/>
        </w:trPr>
        <w:tc>
          <w:tcPr>
            <w:tcW w:type="dxa" w:w="76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P0</w:t>
            </w:r>
          </w:p>
        </w:tc>
        <w:tc>
          <w:tcPr>
            <w:tcW w:type="dxa" w:w="152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联机互动深度</w:t>
            </w:r>
          </w:p>
        </w:tc>
        <w:tc>
          <w:tcPr>
            <w:tcW w:type="dxa" w:w="292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主要是现金转账，缺少可执行合作</w:t>
            </w:r>
          </w:p>
        </w:tc>
        <w:tc>
          <w:tcPr>
            <w:tcW w:type="dxa" w:w="416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支持借款、共同项目、分工履约、退出与违约，并在统一结算中生效。</w:t>
            </w:r>
          </w:p>
        </w:tc>
      </w:tr>
      <w:tr>
        <w:trPr>
          <w:cantSplit w:val="true"/>
        </w:trP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P1</w:t>
            </w:r>
          </w:p>
        </w:tc>
        <w:tc>
          <w:tcPr>
            <w:tcW w:type="dxa" w:w="1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内容工具链</w:t>
            </w:r>
          </w:p>
        </w:tc>
        <w:tc>
          <w:tcPr>
            <w:tcW w:type="dxa" w:w="2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内容写在代码里，扩充和审查成本高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事件/职业/资产 Schema、编辑器、审核、版本、可达性和依赖检查。</w:t>
            </w:r>
          </w:p>
        </w:tc>
      </w:tr>
      <w:tr>
        <w:trPr>
          <w:cantSplit w:val="true"/>
        </w:trPr>
        <w:tc>
          <w:tcPr>
            <w:tcW w:type="dxa" w:w="76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P1</w:t>
            </w:r>
          </w:p>
        </w:tc>
        <w:tc>
          <w:tcPr>
            <w:tcW w:type="dxa" w:w="152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平衡与因果复盘</w:t>
            </w:r>
          </w:p>
        </w:tc>
        <w:tc>
          <w:tcPr>
            <w:tcW w:type="dxa" w:w="292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结果分析仍偏启发式，缺少大样本证据</w:t>
            </w:r>
          </w:p>
        </w:tc>
        <w:tc>
          <w:tcPr>
            <w:tcW w:type="dxa" w:w="416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批量模拟、分职业胜率、策略集中度、反事实对照与因果链可视化。</w:t>
            </w:r>
          </w:p>
        </w:tc>
      </w:tr>
      <w:tr>
        <w:trPr>
          <w:cantSplit w:val="true"/>
        </w:trP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P1</w:t>
            </w:r>
          </w:p>
        </w:tc>
        <w:tc>
          <w:tcPr>
            <w:tcW w:type="dxa" w:w="1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投资与企业经营深度</w:t>
            </w:r>
          </w:p>
        </w:tc>
        <w:tc>
          <w:tcPr>
            <w:tcW w:type="dxa" w:w="2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已有组合和变现，但微观经营仍不够丰富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加入客户、订单、定价、库存、股权、治理、供应链、税费和退出。</w:t>
            </w:r>
          </w:p>
        </w:tc>
      </w:tr>
      <w:tr>
        <w:trPr>
          <w:cantSplit w:val="true"/>
        </w:trPr>
        <w:tc>
          <w:tcPr>
            <w:tcW w:type="dxa" w:w="76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P2</w:t>
            </w:r>
          </w:p>
        </w:tc>
        <w:tc>
          <w:tcPr>
            <w:tcW w:type="dxa" w:w="152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账号与跨端存档</w:t>
            </w:r>
          </w:p>
        </w:tc>
        <w:tc>
          <w:tcPr>
            <w:tcW w:type="dxa" w:w="292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单人存档只在本浏览器</w:t>
            </w:r>
          </w:p>
        </w:tc>
        <w:tc>
          <w:tcPr>
            <w:tcW w:type="dxa" w:w="416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事件日志化、账号分区、跨端恢复与版本迁移。</w:t>
            </w:r>
          </w:p>
        </w:tc>
      </w:tr>
      <w:tr>
        <w:trPr>
          <w:cantSplit w:val="true"/>
        </w:trP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P2</w:t>
            </w:r>
          </w:p>
        </w:tc>
        <w:tc>
          <w:tcPr>
            <w:tcW w:type="dxa" w:w="1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AI 内容学习闭环</w:t>
            </w:r>
          </w:p>
        </w:tc>
        <w:tc>
          <w:tcPr>
            <w:tcW w:type="dxa" w:w="2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AI 主要解释/生成机会，不参与内容运营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偏好聚类、候选内容生成、人工审核、灰度和回滚。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Lines/>
      </w:pPr>
      <w:r>
        <w:t>6. M5：联机模式如何彻底改造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456A6"/>
          <w:left w:val="single" w:sz="8" w:space="0" w:color="2456A6"/>
          <w:bottom w:val="single" w:sz="8" w:space="0" w:color="2456A6"/>
          <w:right w:val="single" w:sz="8" w:space="0" w:color="2456A6"/>
          <w:insideH w:val="single" w:sz="8" w:space="0" w:color="2456A6"/>
          <w:insideV w:val="single" w:sz="8" w:space="0" w:color="2456A6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9F7F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456A6"/>
                <w:sz w:val="21"/>
              </w:rPr>
              <w:t xml:space="preserve">目标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联机不是再做一套多人小游戏，而是把现有开放人生模拟器网络化。真人、AI 与单人必须使用同一套领域语言和同一套结算语义。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6.1 玩家领域状态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5" w:space="0" w:color="CCD5E1"/>
          <w:left w:val="single" w:sz="5" w:space="0" w:color="CCD5E1"/>
          <w:bottom w:val="single" w:sz="5" w:space="0" w:color="CCD5E1"/>
          <w:right w:val="single" w:sz="5" w:space="0" w:color="CCD5E1"/>
          <w:insideH w:val="single" w:sz="5" w:space="0" w:color="CCD5E1"/>
          <w:insideV w:val="single" w:sz="5" w:space="0" w:color="CCD5E1"/>
        </w:tblBorders>
        <w:tblInd w:w="120" w:type="dxa"/>
      </w:tblPr>
      <w:tblGrid>
        <w:gridCol w:w="1400"/>
        <w:gridCol w:w="3800"/>
        <w:gridCol w:w="4160"/>
      </w:tblGrid>
      <w:tr>
        <w:trPr>
          <w:tblHeader w:val="true"/>
          <w:cantSplit w:val="true"/>
        </w:trPr>
        <w:tc>
          <w:tcPr>
            <w:tcW w:type="dxa" w:w="140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领域</w:t>
            </w:r>
          </w:p>
        </w:tc>
        <w:tc>
          <w:tcPr>
            <w:tcW w:type="dxa" w:w="380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联机必须持久化的状态</w:t>
            </w:r>
          </w:p>
        </w:tc>
        <w:tc>
          <w:tcPr>
            <w:tcW w:type="dxa" w:w="416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玩家能感知的变化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职业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角色、当前职业、职业历史、准备度证据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工作、晋升、转型与行业风险不再是同一张卡。</w:t>
            </w:r>
          </w:p>
        </w:tc>
      </w:tr>
      <w:tr>
        <w:trPr>
          <w:cantSplit w:val="true"/>
        </w:trPr>
        <w:tc>
          <w:tcPr>
            <w:tcW w:type="dxa" w:w="140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技能</w:t>
            </w:r>
          </w:p>
        </w:tc>
        <w:tc>
          <w:tcPr>
            <w:tcW w:type="dxa" w:w="380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技能等级、前置、组合、应用记忆</w:t>
            </w:r>
          </w:p>
        </w:tc>
        <w:tc>
          <w:tcPr>
            <w:tcW w:type="dxa" w:w="416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学习会解锁职业、经营和事件处理方式。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资产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持仓、成本、市值、流动性、收益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可以买、卖、调仓，并承担集中度与周期风险。</w:t>
            </w:r>
          </w:p>
        </w:tc>
      </w:tr>
      <w:tr>
        <w:trPr>
          <w:cantSplit w:val="true"/>
        </w:trPr>
        <w:tc>
          <w:tcPr>
            <w:tcW w:type="dxa" w:w="140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家庭</w:t>
            </w:r>
          </w:p>
        </w:tc>
        <w:tc>
          <w:tcPr>
            <w:tcW w:type="dxa" w:w="380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阶段、共同现金、信任、保障、持续责任</w:t>
            </w:r>
          </w:p>
        </w:tc>
        <w:tc>
          <w:tcPr>
            <w:tcW w:type="dxa" w:w="416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家庭选择进入每期结算，不再只加减幸福。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合同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当事人、条款、贡献、到期、状态、记录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合作必须履约；忽略、退出和违约都有后果。</w:t>
            </w:r>
          </w:p>
        </w:tc>
      </w:tr>
      <w:tr>
        <w:trPr>
          <w:cantSplit w:val="true"/>
        </w:trPr>
        <w:tc>
          <w:tcPr>
            <w:tcW w:type="dxa" w:w="140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事件</w:t>
            </w:r>
          </w:p>
        </w:tc>
        <w:tc>
          <w:tcPr>
            <w:tcW w:type="dxa" w:w="380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本回合共同事件、个人选择、记忆与历史</w:t>
            </w:r>
          </w:p>
        </w:tc>
        <w:tc>
          <w:tcPr>
            <w:tcW w:type="dxa" w:w="416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同一世界冲击下，不同选择产生不同结果。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6.2 动态行动目录</w:t>
      </w:r>
    </w:p>
    <w:p>
      <w:pPr>
        <w:keepNext w:val="0"/>
        <w:keepLines/>
      </w:pPr>
      <w:r>
        <w:rPr>
          <w:rFonts w:ascii="Calibri" w:hAnsi="Calibri" w:eastAsia="Microsoft YaHei"/>
          <w:color w:val="1F2937"/>
        </w:rPr>
        <w:t>联机行动不再固定为 8 个按钮，而是由玩家当前状态动态生成。初始目录直接复用现有内容库，并根据现金、前置、持仓、家庭状态和合同到期情况锁定或推荐。</w:t>
      </w:r>
    </w:p>
    <w:p>
      <w:pPr>
        <w:pStyle w:val="ListBullet"/>
        <w:keepNext w:val="0"/>
        <w:keepLines/>
      </w:pPr>
      <w:r>
        <w:rPr>
          <w:rFonts w:ascii="Calibri" w:hAnsi="Calibri" w:eastAsia="Microsoft YaHei"/>
          <w:color w:val="1F2937"/>
        </w:rPr>
        <w:t>职业：当前职业工作 + 30 条职业转型，显示准备度、转型成本与缺失前置。</w:t>
      </w:r>
    </w:p>
    <w:p>
      <w:pPr>
        <w:pStyle w:val="ListBullet"/>
        <w:keepNext w:val="0"/>
        <w:keepLines/>
      </w:pPr>
      <w:r>
        <w:rPr>
          <w:rFonts w:ascii="Calibri" w:hAnsi="Calibri" w:eastAsia="Microsoft YaHei"/>
          <w:color w:val="1F2937"/>
        </w:rPr>
        <w:t>技能：48 项技能，按真实前置、等级和组合显示可学/锁定。</w:t>
      </w:r>
    </w:p>
    <w:p>
      <w:pPr>
        <w:pStyle w:val="ListBullet"/>
        <w:keepNext w:val="0"/>
        <w:keepLines/>
      </w:pPr>
      <w:r>
        <w:rPr>
          <w:rFonts w:ascii="Calibri" w:hAnsi="Calibri" w:eastAsia="Microsoft YaHei"/>
          <w:color w:val="1F2937"/>
        </w:rPr>
        <w:t>资产：24 类资产买入；已有持仓支持 25% 或全部卖出，并计算真实变现折价。</w:t>
      </w:r>
    </w:p>
    <w:p>
      <w:pPr>
        <w:pStyle w:val="ListBullet"/>
        <w:keepNext w:val="0"/>
        <w:keepLines/>
      </w:pPr>
      <w:r>
        <w:rPr>
          <w:rFonts w:ascii="Calibri" w:hAnsi="Calibri" w:eastAsia="Microsoft YaHei"/>
          <w:color w:val="1F2937"/>
        </w:rPr>
        <w:t>人生与家庭：健康、关系、家庭保障、共同生活、育儿和照护等行动。</w:t>
      </w:r>
    </w:p>
    <w:p>
      <w:pPr>
        <w:pStyle w:val="ListBullet"/>
        <w:keepNext w:val="0"/>
        <w:keepLines/>
      </w:pPr>
      <w:r>
        <w:rPr>
          <w:rFonts w:ascii="Calibri" w:hAnsi="Calibri" w:eastAsia="Microsoft YaHei"/>
          <w:color w:val="1F2937"/>
        </w:rPr>
        <w:t>合同：到期履约、协商退出、共同项目和违约后续。</w:t>
      </w:r>
    </w:p>
    <w:p>
      <w:pPr>
        <w:pStyle w:val="ListBullet"/>
        <w:keepNext w:val="0"/>
        <w:keepLines/>
      </w:pPr>
      <w:r>
        <w:rPr>
          <w:rFonts w:ascii="Calibri" w:hAnsi="Calibri" w:eastAsia="Microsoft YaHei"/>
          <w:color w:val="1F2937"/>
        </w:rPr>
        <w:t>事件回应：每回合从 86 个规范事件中产生共同事件，所有玩家必须选择个人回应。</w:t>
      </w:r>
    </w:p>
    <w:p>
      <w:pPr>
        <w:pStyle w:val="Heading2"/>
        <w:keepNext/>
        <w:keepLines/>
      </w:pPr>
      <w:r>
        <w:t>6.3 联机回合体验</w:t>
      </w:r>
    </w:p>
    <w:p>
      <w:pPr>
        <w:pStyle w:val="ListNumber"/>
        <w:keepNext w:val="0"/>
        <w:keepLines/>
      </w:pPr>
      <w:r>
        <w:rPr>
          <w:rFonts w:ascii="Calibri" w:hAnsi="Calibri" w:eastAsia="Microsoft YaHei"/>
          <w:color w:val="1F2937"/>
        </w:rPr>
        <w:t>规划：玩家秘密选择行动与事件回应；界面按推荐、职业、技能、资产、家庭、合同分类。</w:t>
      </w:r>
    </w:p>
    <w:p>
      <w:pPr>
        <w:pStyle w:val="ListNumber"/>
        <w:keepNext w:val="0"/>
        <w:keepLines/>
      </w:pPr>
      <w:r>
        <w:rPr>
          <w:rFonts w:ascii="Calibri" w:hAnsi="Calibri" w:eastAsia="Microsoft YaHei"/>
          <w:color w:val="1F2937"/>
        </w:rPr>
        <w:t>互动：公开协商交易和合同；可查看对方公开职业、风险、信用和合作记录。</w:t>
      </w:r>
    </w:p>
    <w:p>
      <w:pPr>
        <w:pStyle w:val="ListNumber"/>
        <w:keepNext w:val="0"/>
        <w:keepLines/>
      </w:pPr>
      <w:r>
        <w:rPr>
          <w:rFonts w:ascii="Calibri" w:hAnsi="Calibri" w:eastAsia="Microsoft YaHei"/>
          <w:color w:val="1F2937"/>
        </w:rPr>
        <w:t>统一揭晓：服务端同时结算行动、共同事件、资产估值、家庭责任、负债利息与合同状态。</w:t>
      </w:r>
    </w:p>
    <w:p>
      <w:pPr>
        <w:pStyle w:val="ListNumber"/>
        <w:keepNext w:val="0"/>
        <w:keepLines/>
      </w:pPr>
      <w:r>
        <w:rPr>
          <w:rFonts w:ascii="Calibri" w:hAnsi="Calibri" w:eastAsia="Microsoft YaHei"/>
          <w:color w:val="1F2937"/>
        </w:rPr>
        <w:t>学习反馈：每名玩家看到本回合现金流、压力、技能/资产/关系变化以及触发原因。</w:t>
      </w:r>
    </w:p>
    <w:p>
      <w:pPr>
        <w:pStyle w:val="ListNumber"/>
        <w:keepNext w:val="0"/>
        <w:keepLines/>
      </w:pPr>
      <w:r>
        <w:rPr>
          <w:rFonts w:ascii="Calibri" w:hAnsi="Calibri" w:eastAsia="Microsoft YaHei"/>
          <w:color w:val="1F2937"/>
        </w:rPr>
        <w:t>断线接管：AI 使用同一动态行动目录和目标函数规划，玩家重连后恢复原身份。</w:t>
      </w:r>
    </w:p>
    <w:p>
      <w:pPr>
        <w:pStyle w:val="Heading2"/>
        <w:keepNext/>
        <w:keepLines/>
      </w:pPr>
      <w:r>
        <w:t>6.4 M5 验收标准</w:t>
      </w:r>
    </w:p>
    <w:p>
      <w:pPr>
        <w:pStyle w:val="ListBullet"/>
        <w:keepNext w:val="0"/>
        <w:keepLines/>
      </w:pPr>
      <w:r>
        <w:rPr>
          <w:rFonts w:ascii="Calibri" w:hAnsi="Calibri" w:eastAsia="Microsoft YaHei"/>
          <w:color w:val="1F2937"/>
        </w:rPr>
        <w:t>任意房间玩家都能看到并使用完整职业、技能、资产、家庭、事件和合同状态。</w:t>
      </w:r>
    </w:p>
    <w:p>
      <w:pPr>
        <w:pStyle w:val="ListBullet"/>
        <w:keepNext w:val="0"/>
        <w:keepLines/>
      </w:pPr>
      <w:r>
        <w:rPr>
          <w:rFonts w:ascii="Calibri" w:hAnsi="Calibri" w:eastAsia="Microsoft YaHei"/>
          <w:color w:val="1F2937"/>
        </w:rPr>
        <w:t>旧房间可以懒迁移，不因数据库新增领域表而失效。</w:t>
      </w:r>
    </w:p>
    <w:p>
      <w:pPr>
        <w:pStyle w:val="ListBullet"/>
        <w:keepNext w:val="0"/>
        <w:keepLines/>
      </w:pPr>
      <w:r>
        <w:rPr>
          <w:rFonts w:ascii="Calibri" w:hAnsi="Calibri" w:eastAsia="Microsoft YaHei"/>
          <w:color w:val="1F2937"/>
        </w:rPr>
        <w:t>计划提交支持新版对象结构，同时兼容旧版行动数组。</w:t>
      </w:r>
    </w:p>
    <w:p>
      <w:pPr>
        <w:pStyle w:val="ListBullet"/>
        <w:keepNext w:val="0"/>
        <w:keepLines/>
      </w:pPr>
      <w:r>
        <w:rPr>
          <w:rFonts w:ascii="Calibri" w:hAnsi="Calibri" w:eastAsia="Microsoft YaHei"/>
          <w:color w:val="1F2937"/>
        </w:rPr>
        <w:t>结算具有幂等保护；重复请求不会重复扣款、发放收益或推进合同。</w:t>
      </w:r>
    </w:p>
    <w:p>
      <w:pPr>
        <w:pStyle w:val="ListBullet"/>
        <w:keepNext w:val="0"/>
        <w:keepLines/>
      </w:pPr>
      <w:r>
        <w:rPr>
          <w:rFonts w:ascii="Calibri" w:hAnsi="Calibri" w:eastAsia="Microsoft YaHei"/>
          <w:color w:val="1F2937"/>
        </w:rPr>
        <w:t>两名真人 + AI 接管场景通过浏览器测试；控制台无错误；静态站与公开全栈站都能进入同一房间。</w:t>
      </w:r>
    </w:p>
    <w:p>
      <w:pPr>
        <w:pStyle w:val="Heading1"/>
        <w:keepNext/>
        <w:keepLines/>
      </w:pPr>
      <w:r>
        <w:t>7. M6：把内容扩充变成生产能力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5" w:space="0" w:color="CCD5E1"/>
          <w:left w:val="single" w:sz="5" w:space="0" w:color="CCD5E1"/>
          <w:bottom w:val="single" w:sz="5" w:space="0" w:color="CCD5E1"/>
          <w:right w:val="single" w:sz="5" w:space="0" w:color="CCD5E1"/>
          <w:insideH w:val="single" w:sz="5" w:space="0" w:color="CCD5E1"/>
          <w:insideV w:val="single" w:sz="5" w:space="0" w:color="CCD5E1"/>
        </w:tblBorders>
        <w:tblInd w:w="120" w:type="dxa"/>
      </w:tblPr>
      <w:tblGrid>
        <w:gridCol w:w="1500"/>
        <w:gridCol w:w="4400"/>
        <w:gridCol w:w="3460"/>
      </w:tblGrid>
      <w:tr>
        <w:trPr>
          <w:tblHeader w:val="true"/>
          <w:cantSplit w:val="true"/>
        </w:trPr>
        <w:tc>
          <w:tcPr>
            <w:tcW w:type="dxa" w:w="150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440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具体建设</w:t>
            </w:r>
          </w:p>
        </w:tc>
        <w:tc>
          <w:tcPr>
            <w:tcW w:type="dxa" w:w="346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验收结果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内容 Schema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统一职业、技能、资产、事件、事件链、AI、关系和合同字段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新增内容先过结构校验，不能直接污染公共规则。</w:t>
            </w:r>
          </w:p>
        </w:tc>
      </w:tr>
      <w:tr>
        <w:trPr>
          <w:cantSplit w:val="true"/>
        </w:trPr>
        <w:tc>
          <w:tcPr>
            <w:tcW w:type="dxa" w:w="150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事件链编辑</w:t>
            </w:r>
          </w:p>
        </w:tc>
        <w:tc>
          <w:tcPr>
            <w:tcW w:type="dxa" w:w="440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可视化前置、记忆、分支、延迟后果、失效条件和结束节点</w:t>
            </w:r>
          </w:p>
        </w:tc>
        <w:tc>
          <w:tcPr>
            <w:tcW w:type="dxa" w:w="346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设计者能发现断链、死路和永远不可达内容。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批量模拟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不同角色、职业、风险偏好和世界种子的数万局自动运行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输出破产率、财务自由率、路径集中度、系统触发率。</w:t>
            </w:r>
          </w:p>
        </w:tc>
      </w:tr>
      <w:tr>
        <w:trPr>
          <w:cantSplit w:val="true"/>
        </w:trPr>
        <w:tc>
          <w:tcPr>
            <w:tcW w:type="dxa" w:w="150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平衡报告</w:t>
            </w:r>
          </w:p>
        </w:tc>
        <w:tc>
          <w:tcPr>
            <w:tcW w:type="dxa" w:w="440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按职业、资产、技能组合和故事包比较收益与风险</w:t>
            </w:r>
          </w:p>
        </w:tc>
        <w:tc>
          <w:tcPr>
            <w:tcW w:type="dxa" w:w="346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没有单一必胜路线；高收益策略具有可解释代价。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因果复盘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行动 → 记忆 → 事件 → 结算 → 长期结果的证据链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局末能够区分准备、决策、运气与结构性环境。</w:t>
            </w:r>
          </w:p>
        </w:tc>
      </w:tr>
      <w:tr>
        <w:trPr>
          <w:cantSplit w:val="true"/>
        </w:trPr>
        <w:tc>
          <w:tcPr>
            <w:tcW w:type="dxa" w:w="150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内容运营</w:t>
            </w:r>
          </w:p>
        </w:tc>
        <w:tc>
          <w:tcPr>
            <w:tcW w:type="dxa" w:w="440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候选区、人工审核、版本、灰度、回滚、玩家反馈聚类</w:t>
            </w:r>
          </w:p>
        </w:tc>
        <w:tc>
          <w:tcPr>
            <w:tcW w:type="dxa" w:w="346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AI 只生成候选，规则上线必须经过人审和测试。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Lines/>
      </w:pPr>
      <w:r>
        <w:t>8. 六条内容丰富化主线</w:t>
      </w:r>
    </w:p>
    <w:p>
      <w:pPr>
        <w:keepNext w:val="0"/>
        <w:keepLines/>
      </w:pPr>
      <w:r>
        <w:rPr>
          <w:rFonts w:ascii="Calibri" w:hAnsi="Calibri" w:eastAsia="Microsoft YaHei"/>
          <w:color w:val="1F2937"/>
        </w:rPr>
        <w:t>后续内容不能散乱堆卡牌。每个内容包至少提供 3–6 条事件链、独立资源冲突、专属 AI/合同互动和局末复盘指标；六个包共同构成长期可扩展的开放人生内容库。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5" w:space="0" w:color="CCD5E1"/>
          <w:left w:val="single" w:sz="5" w:space="0" w:color="CCD5E1"/>
          <w:bottom w:val="single" w:sz="5" w:space="0" w:color="CCD5E1"/>
          <w:right w:val="single" w:sz="5" w:space="0" w:color="CCD5E1"/>
          <w:insideH w:val="single" w:sz="5" w:space="0" w:color="CCD5E1"/>
          <w:insideV w:val="single" w:sz="5" w:space="0" w:color="CCD5E1"/>
        </w:tblBorders>
        <w:tblInd w:w="120" w:type="dxa"/>
      </w:tblPr>
      <w:tblGrid>
        <w:gridCol w:w="2200"/>
        <w:gridCol w:w="3320"/>
        <w:gridCol w:w="3840"/>
      </w:tblGrid>
      <w:tr>
        <w:trPr>
          <w:tblHeader w:val="true"/>
          <w:cantSplit w:val="true"/>
        </w:trPr>
        <w:tc>
          <w:tcPr>
            <w:tcW w:type="dxa" w:w="220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内容包</w:t>
            </w:r>
          </w:p>
        </w:tc>
        <w:tc>
          <w:tcPr>
            <w:tcW w:type="dxa" w:w="332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核心玩法</w:t>
            </w:r>
          </w:p>
        </w:tc>
        <w:tc>
          <w:tcPr>
            <w:tcW w:type="dxa" w:w="384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应扩充的连续内容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稳定职业与裁员转型</w:t>
            </w:r>
          </w:p>
        </w:tc>
        <w:tc>
          <w:tcPr>
            <w:tcW w:type="dxa" w:w="3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晋升、调岗、裁员信号、空窗、再训练、迁城、资格</w:t>
            </w:r>
          </w:p>
        </w:tc>
        <w:tc>
          <w:tcPr>
            <w:tcW w:type="dxa" w:w="3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绩效—晋升—组织变化；裁员预警—准备—失业—再就业；证书路线。</w:t>
            </w:r>
          </w:p>
        </w:tc>
      </w:tr>
      <w:tr>
        <w:trPr>
          <w:cantSplit w:val="true"/>
        </w:trPr>
        <w:tc>
          <w:tcPr>
            <w:tcW w:type="dxa" w:w="220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自由职业与内容创作</w:t>
            </w:r>
          </w:p>
        </w:tc>
        <w:tc>
          <w:tcPr>
            <w:tcW w:type="dxa" w:w="332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客户、报价、交付、作品、平台、版权、账号风险、复购</w:t>
            </w:r>
          </w:p>
        </w:tc>
        <w:tc>
          <w:tcPr>
            <w:tcW w:type="dxa" w:w="384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低价首单—口碑—涨价；平台爆发—规则变化—迁移；版权争议。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小企业与合伙经营</w:t>
            </w:r>
          </w:p>
        </w:tc>
        <w:tc>
          <w:tcPr>
            <w:tcW w:type="dxa" w:w="3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订单、库存、员工、定价、股权、治理、供应链、退出</w:t>
            </w:r>
          </w:p>
        </w:tc>
        <w:tc>
          <w:tcPr>
            <w:tcW w:type="dxa" w:w="3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首批客户—扩产—现金紧张；合伙分工—冲突—重谈/退出；供应链危机。</w:t>
            </w:r>
          </w:p>
        </w:tc>
      </w:tr>
      <w:tr>
        <w:trPr>
          <w:cantSplit w:val="true"/>
        </w:trPr>
        <w:tc>
          <w:tcPr>
            <w:tcW w:type="dxa" w:w="220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恋爱、婚姻与住房</w:t>
            </w:r>
          </w:p>
        </w:tc>
        <w:tc>
          <w:tcPr>
            <w:tcW w:type="dxa" w:w="332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消费观、财务合并、租买、迁居、生育、照护、教育</w:t>
            </w:r>
          </w:p>
        </w:tc>
        <w:tc>
          <w:tcPr>
            <w:tcW w:type="dxa" w:w="384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同居预算—买房争议；育儿与职业冲突；父母照护与家庭保险。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投资周期与市场危机</w:t>
            </w:r>
          </w:p>
        </w:tc>
        <w:tc>
          <w:tcPr>
            <w:tcW w:type="dxa" w:w="3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估值、情绪、分红、流动性、再平衡、杠杆、被迫卖出</w:t>
            </w:r>
          </w:p>
        </w:tc>
        <w:tc>
          <w:tcPr>
            <w:tcW w:type="dxa" w:w="3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牛市追涨—集中风险—回撤；流动性危机；长期配置与再平衡。</w:t>
            </w:r>
          </w:p>
        </w:tc>
      </w:tr>
      <w:tr>
        <w:trPr>
          <w:cantSplit w:val="true"/>
        </w:trPr>
        <w:tc>
          <w:tcPr>
            <w:tcW w:type="dxa" w:w="220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关系、合同与合规</w:t>
            </w:r>
          </w:p>
        </w:tc>
        <w:tc>
          <w:tcPr>
            <w:tcW w:type="dxa" w:w="332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信任、信息差、担保、合同、税务、监管、追偿</w:t>
            </w:r>
          </w:p>
        </w:tc>
        <w:tc>
          <w:tcPr>
            <w:tcW w:type="dxa" w:w="384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共同项目—履约—分账；担保请求—逾期—追偿；合规疏忽—整改。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9. 七阶段页面必须各自承担不同玩法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5" w:space="0" w:color="CCD5E1"/>
          <w:left w:val="single" w:sz="5" w:space="0" w:color="CCD5E1"/>
          <w:bottom w:val="single" w:sz="5" w:space="0" w:color="CCD5E1"/>
          <w:right w:val="single" w:sz="5" w:space="0" w:color="CCD5E1"/>
          <w:insideH w:val="single" w:sz="5" w:space="0" w:color="CCD5E1"/>
          <w:insideV w:val="single" w:sz="5" w:space="0" w:color="CCD5E1"/>
        </w:tblBorders>
        <w:tblInd w:w="120" w:type="dxa"/>
      </w:tblPr>
      <w:tblGrid>
        <w:gridCol w:w="1050"/>
        <w:gridCol w:w="2550"/>
        <w:gridCol w:w="3700"/>
        <w:gridCol w:w="2060"/>
      </w:tblGrid>
      <w:tr>
        <w:trPr>
          <w:tblHeader w:val="true"/>
          <w:cantSplit w:val="true"/>
        </w:trPr>
        <w:tc>
          <w:tcPr>
            <w:tcW w:type="dxa" w:w="105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255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页面职责</w:t>
            </w:r>
          </w:p>
        </w:tc>
        <w:tc>
          <w:tcPr>
            <w:tcW w:type="dxa" w:w="370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核心交互</w:t>
            </w:r>
          </w:p>
        </w:tc>
        <w:tc>
          <w:tcPr>
            <w:tcW w:type="dxa" w:w="206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禁止回退成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1 世界观察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读懂周期、行业和个人暴露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趋势地图、信号、风险提示、路线候选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普通事件卡轮播</w:t>
            </w:r>
          </w:p>
        </w:tc>
      </w:tr>
      <w:tr>
        <w:trPr>
          <w:cantSplit w:val="true"/>
        </w:trPr>
        <w:tc>
          <w:tcPr>
            <w:tcW w:type="dxa" w:w="105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2 普通行动</w:t>
            </w:r>
          </w:p>
        </w:tc>
        <w:tc>
          <w:tcPr>
            <w:tcW w:type="dxa" w:w="255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配置有限时间与现金</w:t>
            </w:r>
          </w:p>
        </w:tc>
        <w:tc>
          <w:tcPr>
            <w:tcW w:type="dxa" w:w="370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日程/行动目录、前置、机会成本、组合冲突</w:t>
            </w:r>
          </w:p>
        </w:tc>
        <w:tc>
          <w:tcPr>
            <w:tcW w:type="dxa" w:w="206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固定 8 按钮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3 玩家互动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谈判与建立责任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提议、还价、担保、合同、帮助、竞争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单次现金转账</w:t>
            </w:r>
          </w:p>
        </w:tc>
      </w:tr>
      <w:tr>
        <w:trPr>
          <w:cantSplit w:val="true"/>
        </w:trPr>
        <w:tc>
          <w:tcPr>
            <w:tcW w:type="dxa" w:w="105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4 宏观事件</w:t>
            </w:r>
          </w:p>
        </w:tc>
        <w:tc>
          <w:tcPr>
            <w:tcW w:type="dxa" w:w="255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共同世界冲击</w:t>
            </w:r>
          </w:p>
        </w:tc>
        <w:tc>
          <w:tcPr>
            <w:tcW w:type="dxa" w:w="370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公开翻牌、暴露解释、行业传导</w:t>
            </w:r>
          </w:p>
        </w:tc>
        <w:tc>
          <w:tcPr>
            <w:tcW w:type="dxa" w:w="206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随机涨跌提示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5 个人事件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处理由历史触发的选择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故事阶段、选项、概率快照、延迟后果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一次性数值卡</w:t>
            </w:r>
          </w:p>
        </w:tc>
      </w:tr>
      <w:tr>
        <w:trPr>
          <w:cantSplit w:val="true"/>
        </w:trPr>
        <w:tc>
          <w:tcPr>
            <w:tcW w:type="dxa" w:w="105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6 统一结算</w:t>
            </w:r>
          </w:p>
        </w:tc>
        <w:tc>
          <w:tcPr>
            <w:tcW w:type="dxa" w:w="255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审计所有系统的实际变化</w:t>
            </w:r>
          </w:p>
        </w:tc>
        <w:tc>
          <w:tcPr>
            <w:tcW w:type="dxa" w:w="370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现金流、资产、家庭、合同、债务、状态对账</w:t>
            </w:r>
          </w:p>
        </w:tc>
        <w:tc>
          <w:tcPr>
            <w:tcW w:type="dxa" w:w="206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只显示净资产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7 学习反馈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解释为什么会发生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因果链、反事实、知识卡、下一期准备建议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泛泛财商鸡汤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10. 执行顺序与交付节奏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5" w:space="0" w:color="CCD5E1"/>
          <w:left w:val="single" w:sz="5" w:space="0" w:color="CCD5E1"/>
          <w:bottom w:val="single" w:sz="5" w:space="0" w:color="CCD5E1"/>
          <w:right w:val="single" w:sz="5" w:space="0" w:color="CCD5E1"/>
          <w:insideH w:val="single" w:sz="5" w:space="0" w:color="CCD5E1"/>
          <w:insideV w:val="single" w:sz="5" w:space="0" w:color="CCD5E1"/>
        </w:tblBorders>
        <w:tblInd w:w="120" w:type="dxa"/>
      </w:tblPr>
      <w:tblGrid>
        <w:gridCol w:w="1650"/>
        <w:gridCol w:w="4810"/>
        <w:gridCol w:w="2900"/>
      </w:tblGrid>
      <w:tr>
        <w:trPr>
          <w:tblHeader w:val="true"/>
          <w:cantSplit w:val="true"/>
        </w:trPr>
        <w:tc>
          <w:tcPr>
            <w:tcW w:type="dxa" w:w="165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工作包</w:t>
            </w:r>
          </w:p>
        </w:tc>
        <w:tc>
          <w:tcPr>
            <w:tcW w:type="dxa" w:w="481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交付内容</w:t>
            </w:r>
          </w:p>
        </w:tc>
        <w:tc>
          <w:tcPr>
            <w:tcW w:type="dxa" w:w="2900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A. 领域与数据库</w:t>
            </w:r>
          </w:p>
        </w:tc>
        <w:tc>
          <w:tcPr>
            <w:tcW w:type="dxa" w:w="4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联机玩家领域状态表、合同表、旧房间懒迁移、规范序列化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数据库迁移可重复运行；旧房间继续可用。</w:t>
            </w:r>
          </w:p>
        </w:tc>
      </w:tr>
      <w:tr>
        <w:trPr>
          <w:cantSplit w:val="true"/>
        </w:trPr>
        <w:tc>
          <w:tcPr>
            <w:tcW w:type="dxa" w:w="165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B. 动态行动与结算</w:t>
            </w:r>
          </w:p>
        </w:tc>
        <w:tc>
          <w:tcPr>
            <w:tcW w:type="dxa" w:w="481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目录生成、事件回应、统一结算、资产/家庭/负债/合同结果</w:t>
            </w:r>
          </w:p>
        </w:tc>
        <w:tc>
          <w:tcPr>
            <w:tcW w:type="dxa" w:w="290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纯函数测试覆盖主要动作与异常路径。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C. 联机界面</w:t>
            </w:r>
          </w:p>
        </w:tc>
        <w:tc>
          <w:tcPr>
            <w:tcW w:type="dxa" w:w="4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事件选择、筛选搜索、个人档案、资产/技能/家庭面板、合同簿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手机与桌面均可完成一整回合。</w:t>
            </w:r>
          </w:p>
        </w:tc>
      </w:tr>
      <w:tr>
        <w:trPr>
          <w:cantSplit w:val="true"/>
        </w:trPr>
        <w:tc>
          <w:tcPr>
            <w:tcW w:type="dxa" w:w="165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D. 联机验收与发布</w:t>
            </w:r>
          </w:p>
        </w:tc>
        <w:tc>
          <w:tcPr>
            <w:tcW w:type="dxa" w:w="481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双用户、断线 AI、重连、幂等、数据库迁移、公开站验证</w:t>
            </w:r>
          </w:p>
        </w:tc>
        <w:tc>
          <w:tcPr>
            <w:tcW w:type="dxa" w:w="290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全量检查通过，GitHub Pages 与全栈站完成部署。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E. 内容工具与模拟</w:t>
            </w:r>
          </w:p>
        </w:tc>
        <w:tc>
          <w:tcPr>
            <w:tcW w:type="dxa" w:w="4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Schema、编辑/审核、可达性、批量模拟、平衡报告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新增故事包无需改核心引擎；报告可定位最优策略。</w:t>
            </w:r>
          </w:p>
        </w:tc>
      </w:tr>
      <w:tr>
        <w:trPr>
          <w:cantSplit w:val="true"/>
        </w:trPr>
        <w:tc>
          <w:tcPr>
            <w:tcW w:type="dxa" w:w="165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F. 因果复盘与运营</w:t>
            </w:r>
          </w:p>
        </w:tc>
        <w:tc>
          <w:tcPr>
            <w:tcW w:type="dxa" w:w="481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因果图、反事实、内容触发分析、反馈聚类、灰度回滚</w:t>
            </w:r>
          </w:p>
        </w:tc>
        <w:tc>
          <w:tcPr>
            <w:tcW w:type="dxa" w:w="2900"/>
            <w:shd w:fill="FAFBF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每个关键结果都能追溯到规则与历史证据。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Lines/>
      </w:pPr>
      <w:r>
        <w:t>11. 完成定义</w:t>
      </w:r>
    </w:p>
    <w:p>
      <w:pPr>
        <w:keepNext w:val="0"/>
        <w:keepLines/>
      </w:pPr>
      <w:r>
        <w:rPr>
          <w:rFonts w:ascii="Calibri" w:hAnsi="Calibri" w:eastAsia="Microsoft YaHei"/>
          <w:color w:val="1F2937"/>
        </w:rPr>
        <w:t>只有同时满足以下条件，才能认为“玩法已经按规格书完善”，而不是又做了一轮页面包装：</w:t>
      </w:r>
    </w:p>
    <w:p>
      <w:pPr>
        <w:pStyle w:val="ListBullet"/>
        <w:keepNext w:val="0"/>
        <w:keepLines/>
      </w:pPr>
      <w:r>
        <w:rPr>
          <w:rFonts w:ascii="Calibri" w:hAnsi="Calibri" w:eastAsia="Microsoft YaHei"/>
          <w:color w:val="1F2937"/>
        </w:rPr>
        <w:t>选择差异：同一回合至少存在职业、技能、资本、家庭、关系、合同等多类决策动词，且存在真实资源冲突。</w:t>
      </w:r>
    </w:p>
    <w:p>
      <w:pPr>
        <w:pStyle w:val="ListBullet"/>
        <w:keepNext w:val="0"/>
        <w:keepLines/>
      </w:pPr>
      <w:r>
        <w:rPr>
          <w:rFonts w:ascii="Calibri" w:hAnsi="Calibri" w:eastAsia="Microsoft YaHei"/>
          <w:color w:val="1F2937"/>
        </w:rPr>
        <w:t>长期因果：快速模式每局至少出现 3 次“过去行为明显改变未来事件或结果”的可见证据。</w:t>
      </w:r>
    </w:p>
    <w:p>
      <w:pPr>
        <w:pStyle w:val="ListBullet"/>
        <w:keepNext w:val="0"/>
        <w:keepLines/>
      </w:pPr>
      <w:r>
        <w:rPr>
          <w:rFonts w:ascii="Calibri" w:hAnsi="Calibri" w:eastAsia="Microsoft YaHei"/>
          <w:color w:val="1F2937"/>
        </w:rPr>
        <w:t>路径差异：不同职业、家庭阶段和资产暴露拥有不同操作方式，不仅是名称和收益率不同。</w:t>
      </w:r>
    </w:p>
    <w:p>
      <w:pPr>
        <w:pStyle w:val="ListBullet"/>
        <w:keepNext w:val="0"/>
        <w:keepLines/>
      </w:pPr>
      <w:r>
        <w:rPr>
          <w:rFonts w:ascii="Calibri" w:hAnsi="Calibri" w:eastAsia="Microsoft YaHei"/>
          <w:color w:val="1F2937"/>
        </w:rPr>
        <w:t>社会闭环：AI 与真人都能主动提议、拒绝、合作、竞争、履约、退出和违约。</w:t>
      </w:r>
    </w:p>
    <w:p>
      <w:pPr>
        <w:pStyle w:val="ListBullet"/>
        <w:keepNext w:val="0"/>
        <w:keepLines/>
      </w:pPr>
      <w:r>
        <w:rPr>
          <w:rFonts w:ascii="Calibri" w:hAnsi="Calibri" w:eastAsia="Microsoft YaHei"/>
          <w:color w:val="1F2937"/>
        </w:rPr>
        <w:t>规则审计：任何现金、能力、关系和事件变化都能追溯到结构化规则，不由叙事直接改数值。</w:t>
      </w:r>
    </w:p>
    <w:p>
      <w:pPr>
        <w:pStyle w:val="ListBullet"/>
        <w:keepNext w:val="0"/>
        <w:keepLines/>
      </w:pPr>
      <w:r>
        <w:rPr>
          <w:rFonts w:ascii="Calibri" w:hAnsi="Calibri" w:eastAsia="Microsoft YaHei"/>
          <w:color w:val="1F2937"/>
        </w:rPr>
        <w:t>内容可运营：新增内容经过结构、可达性、平衡和人工审核后上线，并能安全回滚。</w:t>
      </w:r>
    </w:p>
    <w:p>
      <w:pPr>
        <w:pStyle w:val="ListBullet"/>
        <w:keepNext w:val="0"/>
        <w:keepLines/>
      </w:pPr>
      <w:r>
        <w:rPr>
          <w:rFonts w:ascii="Calibri" w:hAnsi="Calibri" w:eastAsia="Microsoft YaHei"/>
          <w:color w:val="1F2937"/>
        </w:rPr>
        <w:t>公开可用：提交、构建、自动测试、GitHub Actions、GitHub Pages 与公开全栈站全部验证通过。</w:t>
      </w:r>
    </w:p>
    <w:p>
      <w:pPr>
        <w:pStyle w:val="Heading1"/>
        <w:keepNext/>
        <w:keepLines/>
      </w:pPr>
      <w:r>
        <w:t>12. 当前决策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77A55"/>
          <w:left w:val="single" w:sz="8" w:space="0" w:color="277A55"/>
          <w:bottom w:val="single" w:sz="8" w:space="0" w:color="277A55"/>
          <w:right w:val="single" w:sz="8" w:space="0" w:color="277A55"/>
          <w:insideH w:val="single" w:sz="8" w:space="0" w:color="277A55"/>
          <w:insideV w:val="single" w:sz="8" w:space="0" w:color="277A55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6EF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77A55"/>
                <w:sz w:val="21"/>
              </w:rPr>
              <w:t xml:space="preserve">立即执行  </w:t>
            </w:r>
            <w:r>
              <w:rPr>
                <w:rFonts w:ascii="Calibri" w:hAnsi="Calibri" w:eastAsia="Microsoft YaHei"/>
                <w:color w:val="1F2937"/>
                <w:sz w:val="21"/>
              </w:rPr>
              <w:t>先完成 M5 联机统一领域模型与完整浏览器验收，再进入 M6 内容工具、平衡模拟和因果复盘。投资/企业细化作为 M6 的首批内容包展开。暂不继续增加重复首页、重复卡牌台或无规则支撑的视觉页面。</w:t>
            </w:r>
          </w:p>
        </w:tc>
      </w:tr>
    </w:tbl>
    <w:p>
      <w:pPr>
        <w:spacing w:after="0"/>
      </w:pPr>
    </w:p>
    <w:p>
      <w:pPr>
        <w:keepNext w:val="0"/>
        <w:keepLines/>
      </w:pPr>
      <w:r>
        <w:rPr>
          <w:rFonts w:ascii="Calibri" w:hAnsi="Calibri" w:eastAsia="Microsoft YaHei"/>
          <w:color w:val="17365D"/>
        </w:rPr>
        <w:t>这份总纲用于约束后续实现：每项新功能都必须回答“它增加了什么新的决策、记录了什么长期状态、如何影响后续事件、如何被测试、如何在联机与 AI 中复用”。回答不了这五个问题的功能，不进入当前开发优先级。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123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eastAsia="Microsoft YaHei"/>
        <w:color w:val="5F6B7A"/>
        <w:sz w:val="17"/>
      </w:rPr>
      <w:t xml:space="preserve">内部执行文档  ·  </w:t>
    </w:r>
    <w:r>
      <w:rPr>
        <w:rFonts w:ascii="Calibri" w:hAnsi="Calibri" w:eastAsia="Microsoft YaHei"/>
        <w:color w:val="5F6B7A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5F6B7A"/>
        <w:sz w:val="17"/>
      </w:rPr>
      <w:t xml:space="preserve"> / </w:t>
    </w:r>
    <w:r>
      <w:rPr>
        <w:rFonts w:ascii="Calibri" w:hAnsi="Calibri" w:eastAsia="Microsoft YaHei"/>
        <w:color w:val="5F6B7A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b/>
        <w:color w:val="5F6B7A"/>
        <w:sz w:val="17"/>
      </w:rPr>
      <w:t>财富人生  /  产品与玩法执行总纲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456A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456A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6" w:lineRule="auto"/>
      <w:ind w:left="720" w:hanging="360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00" w:line="276" w:lineRule="auto"/>
      <w:ind w:left="1080" w:hanging="360"/>
      <w:contextualSpacing/>
    </w:pPr>
    <w:rPr>
      <w:rFonts w:ascii="Calibri" w:hAnsi="Calibr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6" w:lineRule="auto"/>
      <w:ind w:left="720" w:hanging="360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rr1119.github.io/wealth-life-ai-simulator/" TargetMode="External"/><Relationship Id="rId12" Type="http://schemas.openxmlformats.org/officeDocument/2006/relationships/hyperlink" Target="https://wealth-life-ai-sim.q1658046672.chatgpt.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财富人生：玩法缺口与完善执行总纲 v3.0</dc:title>
  <dc:subject>根据完整产品规格书对当前实现进行审计，并形成 M5–M6 执行计划</dc:subject>
  <dc:creator>财富人生项目组</dc:creator>
  <cp:keywords>财富人生, 财商模拟, 产品路线图, 联机模式, 事件系统, AI 同桌, 合同</cp:keywords>
  <dc:description>基于 2026-08-08 当前仓库状态整理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