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DF902" w14:textId="77777777" w:rsidR="00553229" w:rsidRPr="003B4C1A" w:rsidRDefault="00553229" w:rsidP="00553229"/>
    <w:p w14:paraId="388C1A93" w14:textId="77777777" w:rsidR="00553229" w:rsidRPr="003B4C1A" w:rsidRDefault="00553229" w:rsidP="00553229">
      <w:pPr>
        <w:rPr>
          <w:rFonts w:asciiTheme="majorHAnsi" w:hAnsiTheme="majorHAnsi"/>
          <w:sz w:val="72"/>
          <w:szCs w:val="72"/>
        </w:rPr>
      </w:pPr>
    </w:p>
    <w:p w14:paraId="527FE2AA" w14:textId="77777777" w:rsidR="00553229" w:rsidRPr="003B4C1A" w:rsidRDefault="00553229" w:rsidP="00553229">
      <w:pPr>
        <w:spacing w:after="0" w:line="240" w:lineRule="auto"/>
        <w:jc w:val="center"/>
        <w:rPr>
          <w:rFonts w:asciiTheme="majorHAnsi" w:hAnsiTheme="majorHAnsi"/>
          <w:sz w:val="72"/>
          <w:szCs w:val="72"/>
        </w:rPr>
      </w:pPr>
      <w:r w:rsidRPr="003B4C1A">
        <w:rPr>
          <w:rFonts w:asciiTheme="majorHAnsi" w:hAnsiTheme="majorHAnsi"/>
          <w:sz w:val="72"/>
          <w:szCs w:val="72"/>
        </w:rPr>
        <w:t xml:space="preserve">Risk Management </w:t>
      </w:r>
    </w:p>
    <w:p w14:paraId="5B946EA6" w14:textId="575AD3E5" w:rsidR="00553229" w:rsidRPr="003B4C1A" w:rsidRDefault="00553229" w:rsidP="00553229">
      <w:pPr>
        <w:spacing w:after="0" w:line="240" w:lineRule="auto"/>
        <w:jc w:val="center"/>
        <w:rPr>
          <w:rFonts w:asciiTheme="majorHAnsi" w:hAnsiTheme="majorHAnsi"/>
          <w:sz w:val="72"/>
          <w:szCs w:val="72"/>
        </w:rPr>
      </w:pPr>
      <w:r w:rsidRPr="003B4C1A">
        <w:rPr>
          <w:rFonts w:asciiTheme="majorHAnsi" w:hAnsiTheme="majorHAnsi"/>
          <w:sz w:val="72"/>
          <w:szCs w:val="72"/>
        </w:rPr>
        <w:t>Case Study Report</w:t>
      </w:r>
    </w:p>
    <w:p w14:paraId="199375B8" w14:textId="77777777" w:rsidR="00553229" w:rsidRPr="003B4C1A" w:rsidRDefault="00553229" w:rsidP="00553229">
      <w:pPr>
        <w:spacing w:after="0" w:line="240" w:lineRule="auto"/>
        <w:jc w:val="center"/>
        <w:rPr>
          <w:rFonts w:asciiTheme="majorHAnsi" w:hAnsiTheme="majorHAnsi"/>
          <w:sz w:val="72"/>
          <w:szCs w:val="72"/>
        </w:rPr>
      </w:pPr>
    </w:p>
    <w:p w14:paraId="2FE4AADC" w14:textId="00A4720C" w:rsidR="00553229" w:rsidRPr="003B4C1A" w:rsidRDefault="00553229" w:rsidP="00553229">
      <w:pPr>
        <w:spacing w:after="0" w:line="240" w:lineRule="auto"/>
        <w:jc w:val="center"/>
        <w:rPr>
          <w:rFonts w:asciiTheme="majorHAnsi" w:hAnsiTheme="majorHAnsi"/>
          <w:sz w:val="36"/>
          <w:szCs w:val="36"/>
        </w:rPr>
      </w:pPr>
      <w:r w:rsidRPr="003B4C1A">
        <w:rPr>
          <w:rFonts w:asciiTheme="majorHAnsi" w:hAnsiTheme="majorHAnsi"/>
          <w:sz w:val="36"/>
          <w:szCs w:val="36"/>
        </w:rPr>
        <w:t>Created by: Harsh Patel</w:t>
      </w:r>
    </w:p>
    <w:p w14:paraId="48019B02" w14:textId="3BA28AB2" w:rsidR="00553229" w:rsidRPr="003B4C1A" w:rsidRDefault="00553229" w:rsidP="00553229">
      <w:pPr>
        <w:spacing w:after="0" w:line="240" w:lineRule="auto"/>
        <w:jc w:val="center"/>
        <w:rPr>
          <w:rFonts w:asciiTheme="majorHAnsi" w:hAnsiTheme="majorHAnsi"/>
          <w:sz w:val="36"/>
          <w:szCs w:val="36"/>
        </w:rPr>
      </w:pPr>
      <w:r w:rsidRPr="003B4C1A">
        <w:rPr>
          <w:rFonts w:asciiTheme="majorHAnsi" w:hAnsiTheme="majorHAnsi"/>
          <w:sz w:val="36"/>
          <w:szCs w:val="36"/>
        </w:rPr>
        <w:t>Date: January 14, 2025</w:t>
      </w:r>
    </w:p>
    <w:p w14:paraId="65AF947F" w14:textId="77777777" w:rsidR="00553229" w:rsidRPr="003B4C1A" w:rsidRDefault="00553229">
      <w:pPr>
        <w:rPr>
          <w:sz w:val="36"/>
          <w:szCs w:val="36"/>
        </w:rPr>
      </w:pPr>
      <w:r w:rsidRPr="003B4C1A">
        <w:rPr>
          <w:sz w:val="36"/>
          <w:szCs w:val="36"/>
        </w:rPr>
        <w:br w:type="page"/>
      </w:r>
    </w:p>
    <w:p w14:paraId="168EADC7" w14:textId="1B3717E5" w:rsidR="00553229" w:rsidRPr="003B4C1A" w:rsidRDefault="00553229" w:rsidP="00553229">
      <w:pPr>
        <w:tabs>
          <w:tab w:val="left" w:pos="7920"/>
        </w:tabs>
        <w:rPr>
          <w:b/>
          <w:bCs/>
          <w:sz w:val="28"/>
          <w:szCs w:val="28"/>
        </w:rPr>
      </w:pPr>
      <w:r w:rsidRPr="003B4C1A">
        <w:rPr>
          <w:b/>
          <w:bCs/>
          <w:sz w:val="40"/>
          <w:szCs w:val="40"/>
        </w:rPr>
        <w:lastRenderedPageBreak/>
        <w:t xml:space="preserve">Table of Content </w:t>
      </w:r>
      <w:r w:rsidRPr="003B4C1A">
        <w:rPr>
          <w:b/>
          <w:bCs/>
          <w:sz w:val="40"/>
          <w:szCs w:val="40"/>
        </w:rPr>
        <w:tab/>
        <w:t>Page</w:t>
      </w:r>
    </w:p>
    <w:p w14:paraId="321E59D3" w14:textId="7B031AFF" w:rsidR="00553229" w:rsidRPr="003B4C1A" w:rsidRDefault="00553229" w:rsidP="00553229">
      <w:pPr>
        <w:tabs>
          <w:tab w:val="left" w:pos="8010"/>
        </w:tabs>
        <w:rPr>
          <w:b/>
          <w:bCs/>
          <w:sz w:val="28"/>
          <w:szCs w:val="28"/>
        </w:rPr>
      </w:pPr>
      <w:r w:rsidRPr="003B4C1A">
        <w:rPr>
          <w:b/>
          <w:bCs/>
          <w:sz w:val="28"/>
          <w:szCs w:val="28"/>
        </w:rPr>
        <w:t>Purpose, Scope, and Users</w:t>
      </w:r>
      <w:r w:rsidRPr="003B4C1A">
        <w:rPr>
          <w:b/>
          <w:bCs/>
          <w:sz w:val="28"/>
          <w:szCs w:val="28"/>
        </w:rPr>
        <w:tab/>
        <w:t>3</w:t>
      </w:r>
    </w:p>
    <w:p w14:paraId="40FF9015" w14:textId="56BE2F54" w:rsidR="00553229" w:rsidRPr="003B4C1A" w:rsidRDefault="00553229" w:rsidP="00553229">
      <w:pPr>
        <w:tabs>
          <w:tab w:val="left" w:pos="8010"/>
        </w:tabs>
        <w:rPr>
          <w:b/>
          <w:bCs/>
          <w:sz w:val="28"/>
          <w:szCs w:val="28"/>
        </w:rPr>
      </w:pPr>
      <w:r w:rsidRPr="003B4C1A">
        <w:rPr>
          <w:b/>
          <w:bCs/>
          <w:sz w:val="28"/>
          <w:szCs w:val="28"/>
        </w:rPr>
        <w:t>Risk Assessment</w:t>
      </w:r>
      <w:r w:rsidRPr="003B4C1A">
        <w:rPr>
          <w:b/>
          <w:bCs/>
          <w:sz w:val="28"/>
          <w:szCs w:val="28"/>
        </w:rPr>
        <w:tab/>
        <w:t>3</w:t>
      </w:r>
    </w:p>
    <w:p w14:paraId="6E0ECC12" w14:textId="7CC226F0" w:rsidR="00553229" w:rsidRPr="003B4C1A" w:rsidRDefault="00553229" w:rsidP="00215DD1">
      <w:pPr>
        <w:tabs>
          <w:tab w:val="left" w:pos="7980"/>
          <w:tab w:val="left" w:pos="8010"/>
        </w:tabs>
        <w:rPr>
          <w:b/>
          <w:bCs/>
          <w:sz w:val="28"/>
          <w:szCs w:val="28"/>
        </w:rPr>
      </w:pPr>
      <w:r w:rsidRPr="003B4C1A">
        <w:rPr>
          <w:b/>
          <w:bCs/>
          <w:sz w:val="28"/>
          <w:szCs w:val="28"/>
        </w:rPr>
        <w:t>Risk Treatment</w:t>
      </w:r>
      <w:r w:rsidRPr="003B4C1A">
        <w:rPr>
          <w:b/>
          <w:bCs/>
          <w:sz w:val="28"/>
          <w:szCs w:val="28"/>
        </w:rPr>
        <w:tab/>
      </w:r>
      <w:r w:rsidR="003B4C1A">
        <w:rPr>
          <w:b/>
          <w:bCs/>
          <w:sz w:val="28"/>
          <w:szCs w:val="28"/>
        </w:rPr>
        <w:t>5</w:t>
      </w:r>
    </w:p>
    <w:p w14:paraId="68E5286C" w14:textId="65F2DB97" w:rsidR="00553229" w:rsidRPr="003B4C1A" w:rsidRDefault="00553229" w:rsidP="00553229">
      <w:pPr>
        <w:tabs>
          <w:tab w:val="left" w:pos="8010"/>
        </w:tabs>
        <w:rPr>
          <w:b/>
          <w:bCs/>
          <w:sz w:val="28"/>
          <w:szCs w:val="28"/>
        </w:rPr>
      </w:pPr>
      <w:r w:rsidRPr="003B4C1A">
        <w:rPr>
          <w:b/>
          <w:bCs/>
          <w:sz w:val="28"/>
          <w:szCs w:val="28"/>
        </w:rPr>
        <w:t>Executive Summary</w:t>
      </w:r>
      <w:r w:rsidRPr="003B4C1A">
        <w:rPr>
          <w:b/>
          <w:bCs/>
          <w:sz w:val="28"/>
          <w:szCs w:val="28"/>
        </w:rPr>
        <w:tab/>
      </w:r>
      <w:r w:rsidR="003B4C1A">
        <w:rPr>
          <w:b/>
          <w:bCs/>
          <w:sz w:val="28"/>
          <w:szCs w:val="28"/>
        </w:rPr>
        <w:t>5</w:t>
      </w:r>
    </w:p>
    <w:p w14:paraId="552EF8C0" w14:textId="48669A47" w:rsidR="007C06FC" w:rsidRPr="003B4C1A" w:rsidRDefault="00553229" w:rsidP="00553229">
      <w:pPr>
        <w:tabs>
          <w:tab w:val="left" w:pos="8010"/>
        </w:tabs>
        <w:rPr>
          <w:b/>
          <w:bCs/>
          <w:sz w:val="28"/>
          <w:szCs w:val="28"/>
        </w:rPr>
      </w:pPr>
      <w:r w:rsidRPr="003B4C1A">
        <w:rPr>
          <w:b/>
          <w:bCs/>
          <w:sz w:val="28"/>
          <w:szCs w:val="28"/>
        </w:rPr>
        <w:t>References</w:t>
      </w:r>
      <w:r w:rsidRPr="003B4C1A">
        <w:rPr>
          <w:b/>
          <w:bCs/>
          <w:sz w:val="28"/>
          <w:szCs w:val="28"/>
        </w:rPr>
        <w:tab/>
      </w:r>
      <w:r w:rsidR="003B4C1A">
        <w:rPr>
          <w:b/>
          <w:bCs/>
          <w:sz w:val="28"/>
          <w:szCs w:val="28"/>
        </w:rPr>
        <w:t>6</w:t>
      </w:r>
    </w:p>
    <w:p w14:paraId="217A768D" w14:textId="1B7E3E76" w:rsidR="00553229" w:rsidRPr="003B4C1A" w:rsidRDefault="00553229" w:rsidP="00553229">
      <w:pPr>
        <w:tabs>
          <w:tab w:val="left" w:pos="8010"/>
        </w:tabs>
        <w:rPr>
          <w:b/>
          <w:bCs/>
          <w:sz w:val="28"/>
          <w:szCs w:val="28"/>
        </w:rPr>
      </w:pPr>
      <w:r w:rsidRPr="003B4C1A">
        <w:rPr>
          <w:b/>
          <w:bCs/>
          <w:sz w:val="28"/>
          <w:szCs w:val="28"/>
        </w:rPr>
        <w:br w:type="page"/>
      </w:r>
    </w:p>
    <w:p w14:paraId="3BDE51C7" w14:textId="22C9F3C3" w:rsidR="00553229" w:rsidRPr="00553229" w:rsidRDefault="00553229" w:rsidP="00215DD1">
      <w:pPr>
        <w:spacing w:after="0" w:line="276" w:lineRule="auto"/>
        <w:rPr>
          <w:b/>
          <w:bCs/>
          <w:sz w:val="28"/>
          <w:szCs w:val="28"/>
        </w:rPr>
      </w:pPr>
      <w:r w:rsidRPr="00553229">
        <w:rPr>
          <w:b/>
          <w:bCs/>
          <w:sz w:val="28"/>
          <w:szCs w:val="28"/>
        </w:rPr>
        <w:lastRenderedPageBreak/>
        <w:t>Purpose, Scope, and Users</w:t>
      </w:r>
    </w:p>
    <w:p w14:paraId="60F0C4F9" w14:textId="720DBA64" w:rsidR="00553229" w:rsidRPr="00553229" w:rsidRDefault="00553229" w:rsidP="00215DD1">
      <w:pPr>
        <w:spacing w:after="0" w:line="276" w:lineRule="auto"/>
      </w:pPr>
      <w:r w:rsidRPr="00553229">
        <w:t xml:space="preserve">The purpose of this Risk Management Plan is to provide DHAEI with a structured approach to identify, assess, and treat risks that may impact its operations, systems, and data. The scope of this plan covers DHAEI’s </w:t>
      </w:r>
      <w:r w:rsidR="003B4C1A" w:rsidRPr="00553229">
        <w:t>head office</w:t>
      </w:r>
      <w:r w:rsidRPr="00553229">
        <w:t>, branch offices, remote workers, and digital assets, including Rackspace and AWS workloads.</w:t>
      </w:r>
      <w:r w:rsidRPr="003B4C1A">
        <w:t xml:space="preserve"> </w:t>
      </w:r>
      <w:r w:rsidRPr="00553229">
        <w:t xml:space="preserve">This plan is intended for use by </w:t>
      </w:r>
      <w:r w:rsidRPr="003B4C1A">
        <w:t xml:space="preserve">executive management, the IT department, the </w:t>
      </w:r>
      <w:r w:rsidRPr="00553229">
        <w:t xml:space="preserve">Information Security team, and branch office </w:t>
      </w:r>
      <w:r w:rsidRPr="003B4C1A">
        <w:t xml:space="preserve">IT </w:t>
      </w:r>
      <w:r w:rsidRPr="00553229">
        <w:t>support technicians.</w:t>
      </w:r>
    </w:p>
    <w:p w14:paraId="26879D19" w14:textId="77777777" w:rsidR="00553229" w:rsidRPr="003B4C1A" w:rsidRDefault="00553229" w:rsidP="00215DD1">
      <w:pPr>
        <w:spacing w:after="0" w:line="276" w:lineRule="auto"/>
        <w:rPr>
          <w:sz w:val="28"/>
          <w:szCs w:val="28"/>
        </w:rPr>
      </w:pPr>
    </w:p>
    <w:p w14:paraId="623AE99E" w14:textId="04F5ABD2" w:rsidR="007C06FC" w:rsidRPr="003B4C1A" w:rsidRDefault="007C06FC" w:rsidP="00215DD1">
      <w:pPr>
        <w:spacing w:after="0" w:line="276" w:lineRule="auto"/>
        <w:rPr>
          <w:b/>
          <w:bCs/>
          <w:sz w:val="28"/>
          <w:szCs w:val="28"/>
        </w:rPr>
      </w:pPr>
      <w:r w:rsidRPr="007C06FC">
        <w:rPr>
          <w:b/>
          <w:bCs/>
          <w:sz w:val="28"/>
          <w:szCs w:val="28"/>
        </w:rPr>
        <w:t xml:space="preserve">Risk Assessment </w:t>
      </w:r>
    </w:p>
    <w:p w14:paraId="42BD74D0" w14:textId="3309C92C" w:rsidR="007C06FC" w:rsidRPr="003B4C1A" w:rsidRDefault="007C06FC" w:rsidP="00215DD1">
      <w:pPr>
        <w:spacing w:before="100" w:beforeAutospacing="1" w:after="100" w:afterAutospacing="1" w:line="276" w:lineRule="auto"/>
        <w:rPr>
          <w:rFonts w:eastAsia="Times New Roman" w:cs="Times New Roman"/>
          <w:b/>
          <w:bCs/>
          <w:kern w:val="0"/>
          <w:sz w:val="28"/>
          <w:szCs w:val="28"/>
          <w14:ligatures w14:val="none"/>
        </w:rPr>
      </w:pPr>
      <w:r w:rsidRPr="003B4C1A">
        <w:rPr>
          <w:rFonts w:eastAsia="Times New Roman" w:cs="Times New Roman"/>
          <w:b/>
          <w:bCs/>
          <w:kern w:val="0"/>
          <w:sz w:val="28"/>
          <w:szCs w:val="28"/>
          <w14:ligatures w14:val="none"/>
        </w:rPr>
        <w:t>The Process</w:t>
      </w:r>
    </w:p>
    <w:p w14:paraId="61DFBE9F" w14:textId="65E898C8" w:rsidR="007C06FC" w:rsidRPr="007C06FC" w:rsidRDefault="007C06FC" w:rsidP="00215DD1">
      <w:pPr>
        <w:spacing w:before="100" w:beforeAutospacing="1" w:after="100" w:afterAutospacing="1" w:line="276" w:lineRule="auto"/>
        <w:rPr>
          <w:rFonts w:eastAsia="Times New Roman" w:cs="Times New Roman"/>
          <w:kern w:val="0"/>
          <w14:ligatures w14:val="none"/>
        </w:rPr>
      </w:pPr>
      <w:r w:rsidRPr="007C06FC">
        <w:rPr>
          <w:rFonts w:eastAsia="Times New Roman" w:cs="Times New Roman"/>
          <w:kern w:val="0"/>
          <w14:ligatures w14:val="none"/>
        </w:rPr>
        <w:t xml:space="preserve">The risk assessment process will follow a structured approach based on the NIST Risk Management Framework (NIST, </w:t>
      </w:r>
      <w:r w:rsidR="00C83AF7">
        <w:rPr>
          <w:rFonts w:eastAsia="Times New Roman" w:cs="Times New Roman"/>
          <w:kern w:val="0"/>
          <w14:ligatures w14:val="none"/>
        </w:rPr>
        <w:t>n.d.</w:t>
      </w:r>
      <w:r w:rsidRPr="007C06FC">
        <w:rPr>
          <w:rFonts w:eastAsia="Times New Roman" w:cs="Times New Roman"/>
          <w:kern w:val="0"/>
          <w14:ligatures w14:val="none"/>
        </w:rPr>
        <w:t>). The steps include:</w:t>
      </w:r>
    </w:p>
    <w:p w14:paraId="5FA0C582" w14:textId="77777777" w:rsidR="007C06FC" w:rsidRPr="007C06FC" w:rsidRDefault="007C06FC" w:rsidP="00215DD1">
      <w:pPr>
        <w:numPr>
          <w:ilvl w:val="0"/>
          <w:numId w:val="2"/>
        </w:numPr>
        <w:tabs>
          <w:tab w:val="clear" w:pos="720"/>
          <w:tab w:val="num" w:pos="810"/>
        </w:tabs>
        <w:spacing w:before="100" w:beforeAutospacing="1" w:after="100" w:afterAutospacing="1" w:line="276" w:lineRule="auto"/>
        <w:ind w:left="540" w:hanging="540"/>
        <w:rPr>
          <w:rFonts w:eastAsia="Times New Roman" w:cs="Times New Roman"/>
          <w:kern w:val="0"/>
          <w14:ligatures w14:val="none"/>
        </w:rPr>
      </w:pPr>
      <w:r w:rsidRPr="007C06FC">
        <w:rPr>
          <w:rFonts w:eastAsia="Times New Roman" w:cs="Times New Roman"/>
          <w:b/>
          <w:bCs/>
          <w:kern w:val="0"/>
          <w14:ligatures w14:val="none"/>
        </w:rPr>
        <w:t>Asset Identification</w:t>
      </w:r>
      <w:r w:rsidRPr="007C06FC">
        <w:rPr>
          <w:rFonts w:eastAsia="Times New Roman" w:cs="Times New Roman"/>
          <w:kern w:val="0"/>
          <w14:ligatures w14:val="none"/>
        </w:rPr>
        <w:t>: Cataloging all critical assets.</w:t>
      </w:r>
    </w:p>
    <w:p w14:paraId="35C5EDB6" w14:textId="03BAED2C" w:rsidR="007C06FC" w:rsidRPr="007C06FC" w:rsidRDefault="007C06FC" w:rsidP="00215DD1">
      <w:pPr>
        <w:numPr>
          <w:ilvl w:val="0"/>
          <w:numId w:val="2"/>
        </w:numPr>
        <w:tabs>
          <w:tab w:val="clear" w:pos="720"/>
          <w:tab w:val="num" w:pos="810"/>
        </w:tabs>
        <w:spacing w:before="100" w:beforeAutospacing="1" w:after="100" w:afterAutospacing="1" w:line="276" w:lineRule="auto"/>
        <w:ind w:left="540" w:hanging="540"/>
        <w:rPr>
          <w:rFonts w:eastAsia="Times New Roman" w:cs="Times New Roman"/>
          <w:kern w:val="0"/>
          <w14:ligatures w14:val="none"/>
        </w:rPr>
      </w:pPr>
      <w:r w:rsidRPr="007C06FC">
        <w:rPr>
          <w:rFonts w:eastAsia="Times New Roman" w:cs="Times New Roman"/>
          <w:b/>
          <w:bCs/>
          <w:kern w:val="0"/>
          <w14:ligatures w14:val="none"/>
        </w:rPr>
        <w:t>Threat Identification</w:t>
      </w:r>
      <w:r w:rsidRPr="007C06FC">
        <w:rPr>
          <w:rFonts w:eastAsia="Times New Roman" w:cs="Times New Roman"/>
          <w:kern w:val="0"/>
          <w14:ligatures w14:val="none"/>
        </w:rPr>
        <w:t xml:space="preserve">: Using industry-recognized frameworks such as MITRE ATT&amp;CK (MITRE, </w:t>
      </w:r>
      <w:r w:rsidR="00C83AF7">
        <w:rPr>
          <w:rFonts w:eastAsia="Times New Roman" w:cs="Times New Roman"/>
          <w:kern w:val="0"/>
          <w14:ligatures w14:val="none"/>
        </w:rPr>
        <w:t>n.d.</w:t>
      </w:r>
      <w:r w:rsidRPr="007C06FC">
        <w:rPr>
          <w:rFonts w:eastAsia="Times New Roman" w:cs="Times New Roman"/>
          <w:kern w:val="0"/>
          <w14:ligatures w14:val="none"/>
        </w:rPr>
        <w:t>).</w:t>
      </w:r>
    </w:p>
    <w:p w14:paraId="053D1EA9" w14:textId="77777777" w:rsidR="007C06FC" w:rsidRPr="007C06FC" w:rsidRDefault="007C06FC" w:rsidP="00215DD1">
      <w:pPr>
        <w:numPr>
          <w:ilvl w:val="0"/>
          <w:numId w:val="2"/>
        </w:numPr>
        <w:tabs>
          <w:tab w:val="clear" w:pos="720"/>
          <w:tab w:val="num" w:pos="810"/>
        </w:tabs>
        <w:spacing w:before="100" w:beforeAutospacing="1" w:after="100" w:afterAutospacing="1" w:line="276" w:lineRule="auto"/>
        <w:ind w:left="540" w:hanging="540"/>
        <w:rPr>
          <w:rFonts w:eastAsia="Times New Roman" w:cs="Times New Roman"/>
          <w:kern w:val="0"/>
          <w14:ligatures w14:val="none"/>
        </w:rPr>
      </w:pPr>
      <w:r w:rsidRPr="007C06FC">
        <w:rPr>
          <w:rFonts w:eastAsia="Times New Roman" w:cs="Times New Roman"/>
          <w:b/>
          <w:bCs/>
          <w:kern w:val="0"/>
          <w14:ligatures w14:val="none"/>
        </w:rPr>
        <w:t>Vulnerability Analysis</w:t>
      </w:r>
      <w:r w:rsidRPr="007C06FC">
        <w:rPr>
          <w:rFonts w:eastAsia="Times New Roman" w:cs="Times New Roman"/>
          <w:kern w:val="0"/>
          <w14:ligatures w14:val="none"/>
        </w:rPr>
        <w:t>: Identifying weaknesses in systems and processes.</w:t>
      </w:r>
    </w:p>
    <w:p w14:paraId="14CDEE12" w14:textId="77777777" w:rsidR="007C06FC" w:rsidRPr="007C06FC" w:rsidRDefault="007C06FC" w:rsidP="00215DD1">
      <w:pPr>
        <w:numPr>
          <w:ilvl w:val="0"/>
          <w:numId w:val="2"/>
        </w:numPr>
        <w:tabs>
          <w:tab w:val="clear" w:pos="720"/>
          <w:tab w:val="num" w:pos="810"/>
        </w:tabs>
        <w:spacing w:before="100" w:beforeAutospacing="1" w:after="100" w:afterAutospacing="1" w:line="276" w:lineRule="auto"/>
        <w:ind w:left="540" w:hanging="540"/>
        <w:rPr>
          <w:rFonts w:eastAsia="Times New Roman" w:cs="Times New Roman"/>
          <w:kern w:val="0"/>
          <w14:ligatures w14:val="none"/>
        </w:rPr>
      </w:pPr>
      <w:r w:rsidRPr="007C06FC">
        <w:rPr>
          <w:rFonts w:eastAsia="Times New Roman" w:cs="Times New Roman"/>
          <w:b/>
          <w:bCs/>
          <w:kern w:val="0"/>
          <w14:ligatures w14:val="none"/>
        </w:rPr>
        <w:t>Risk Determination</w:t>
      </w:r>
      <w:r w:rsidRPr="007C06FC">
        <w:rPr>
          <w:rFonts w:eastAsia="Times New Roman" w:cs="Times New Roman"/>
          <w:kern w:val="0"/>
          <w14:ligatures w14:val="none"/>
        </w:rPr>
        <w:t>: Calculating risk based on impact and likelihood (ISO, 2019).</w:t>
      </w:r>
    </w:p>
    <w:p w14:paraId="7E9B08E8" w14:textId="3C536E9B" w:rsidR="007C06FC" w:rsidRPr="007C06FC" w:rsidRDefault="007C06FC" w:rsidP="00215DD1">
      <w:pPr>
        <w:numPr>
          <w:ilvl w:val="0"/>
          <w:numId w:val="2"/>
        </w:numPr>
        <w:tabs>
          <w:tab w:val="clear" w:pos="720"/>
          <w:tab w:val="num" w:pos="810"/>
        </w:tabs>
        <w:spacing w:before="100" w:beforeAutospacing="1" w:after="100" w:afterAutospacing="1" w:line="276" w:lineRule="auto"/>
        <w:ind w:left="540" w:hanging="540"/>
        <w:rPr>
          <w:rFonts w:eastAsia="Times New Roman" w:cs="Times New Roman"/>
          <w:kern w:val="0"/>
          <w14:ligatures w14:val="none"/>
        </w:rPr>
      </w:pPr>
      <w:r w:rsidRPr="007C06FC">
        <w:rPr>
          <w:rFonts w:eastAsia="Times New Roman" w:cs="Times New Roman"/>
          <w:b/>
          <w:bCs/>
          <w:kern w:val="0"/>
          <w14:ligatures w14:val="none"/>
        </w:rPr>
        <w:t>Risk Prioritization</w:t>
      </w:r>
      <w:r w:rsidRPr="007C06FC">
        <w:rPr>
          <w:rFonts w:eastAsia="Times New Roman" w:cs="Times New Roman"/>
          <w:kern w:val="0"/>
          <w14:ligatures w14:val="none"/>
        </w:rPr>
        <w:t>: Prioritizing risks for treatment.</w:t>
      </w:r>
    </w:p>
    <w:p w14:paraId="13246486" w14:textId="77777777" w:rsidR="007C06FC" w:rsidRPr="007C06FC" w:rsidRDefault="007C06FC" w:rsidP="00215DD1">
      <w:pPr>
        <w:spacing w:line="276" w:lineRule="auto"/>
        <w:rPr>
          <w:b/>
          <w:bCs/>
          <w:sz w:val="28"/>
          <w:szCs w:val="28"/>
        </w:rPr>
      </w:pPr>
      <w:r w:rsidRPr="007C06FC">
        <w:rPr>
          <w:b/>
          <w:bCs/>
          <w:sz w:val="28"/>
          <w:szCs w:val="28"/>
        </w:rPr>
        <w:t>Participants Involved:</w:t>
      </w:r>
    </w:p>
    <w:p w14:paraId="7631272B" w14:textId="77777777" w:rsidR="007C06FC" w:rsidRPr="007C06FC" w:rsidRDefault="007C06FC" w:rsidP="00215DD1">
      <w:pPr>
        <w:numPr>
          <w:ilvl w:val="0"/>
          <w:numId w:val="3"/>
        </w:numPr>
        <w:tabs>
          <w:tab w:val="clear" w:pos="720"/>
          <w:tab w:val="num" w:pos="540"/>
        </w:tabs>
        <w:spacing w:after="0" w:line="276" w:lineRule="auto"/>
        <w:ind w:hanging="720"/>
      </w:pPr>
      <w:r w:rsidRPr="007C06FC">
        <w:rPr>
          <w:b/>
          <w:bCs/>
        </w:rPr>
        <w:t xml:space="preserve">Chief Information Security Officer (CISO): </w:t>
      </w:r>
      <w:r w:rsidRPr="007C06FC">
        <w:t>Oversees the entire risk assessment process.</w:t>
      </w:r>
    </w:p>
    <w:p w14:paraId="56B88931" w14:textId="77777777" w:rsidR="007C06FC" w:rsidRPr="007C06FC" w:rsidRDefault="007C06FC" w:rsidP="00215DD1">
      <w:pPr>
        <w:numPr>
          <w:ilvl w:val="0"/>
          <w:numId w:val="3"/>
        </w:numPr>
        <w:tabs>
          <w:tab w:val="clear" w:pos="720"/>
          <w:tab w:val="num" w:pos="540"/>
        </w:tabs>
        <w:spacing w:after="0" w:line="276" w:lineRule="auto"/>
        <w:ind w:hanging="720"/>
      </w:pPr>
      <w:r w:rsidRPr="007C06FC">
        <w:rPr>
          <w:b/>
          <w:bCs/>
        </w:rPr>
        <w:t xml:space="preserve">IT Support Technicians: </w:t>
      </w:r>
      <w:r w:rsidRPr="007C06FC">
        <w:t>Provide insight into local systems and issues.</w:t>
      </w:r>
    </w:p>
    <w:p w14:paraId="0073FE49" w14:textId="77777777" w:rsidR="007C06FC" w:rsidRPr="007C06FC" w:rsidRDefault="007C06FC" w:rsidP="00215DD1">
      <w:pPr>
        <w:numPr>
          <w:ilvl w:val="0"/>
          <w:numId w:val="3"/>
        </w:numPr>
        <w:tabs>
          <w:tab w:val="clear" w:pos="720"/>
          <w:tab w:val="num" w:pos="540"/>
        </w:tabs>
        <w:spacing w:after="0" w:line="276" w:lineRule="auto"/>
        <w:ind w:hanging="720"/>
        <w:rPr>
          <w:b/>
          <w:bCs/>
        </w:rPr>
      </w:pPr>
      <w:r w:rsidRPr="007C06FC">
        <w:rPr>
          <w:b/>
          <w:bCs/>
        </w:rPr>
        <w:t xml:space="preserve">Branch Office Managers: </w:t>
      </w:r>
      <w:r w:rsidRPr="007C06FC">
        <w:t>Help identify local operational risks.</w:t>
      </w:r>
    </w:p>
    <w:p w14:paraId="5FD168DC" w14:textId="77777777" w:rsidR="007C06FC" w:rsidRPr="007C06FC" w:rsidRDefault="007C06FC" w:rsidP="00215DD1">
      <w:pPr>
        <w:spacing w:after="0" w:line="276" w:lineRule="auto"/>
        <w:rPr>
          <w:b/>
          <w:bCs/>
          <w:sz w:val="28"/>
          <w:szCs w:val="28"/>
        </w:rPr>
      </w:pPr>
    </w:p>
    <w:p w14:paraId="09BADEB5" w14:textId="77777777" w:rsidR="007C06FC" w:rsidRPr="007C06FC" w:rsidRDefault="007C06FC" w:rsidP="00215DD1">
      <w:pPr>
        <w:spacing w:after="0" w:line="276" w:lineRule="auto"/>
        <w:rPr>
          <w:b/>
          <w:bCs/>
          <w:sz w:val="28"/>
          <w:szCs w:val="28"/>
        </w:rPr>
      </w:pPr>
      <w:r w:rsidRPr="007C06FC">
        <w:rPr>
          <w:b/>
          <w:bCs/>
          <w:sz w:val="28"/>
          <w:szCs w:val="28"/>
        </w:rPr>
        <w:t>Assets, Vulnerabilities, and Threats</w:t>
      </w:r>
    </w:p>
    <w:p w14:paraId="60FE7EB3" w14:textId="77777777" w:rsidR="007C06FC" w:rsidRPr="007C06FC" w:rsidRDefault="007C06FC" w:rsidP="00215DD1">
      <w:pPr>
        <w:spacing w:line="276" w:lineRule="auto"/>
      </w:pPr>
      <w:r w:rsidRPr="007C06FC">
        <w:t>Based on DHAEI’s environment, the following are the key threats:</w:t>
      </w:r>
    </w:p>
    <w:p w14:paraId="1E4F74AB" w14:textId="16C05F89" w:rsidR="007C06FC" w:rsidRPr="007C06FC" w:rsidRDefault="007C06FC" w:rsidP="00215DD1">
      <w:pPr>
        <w:numPr>
          <w:ilvl w:val="0"/>
          <w:numId w:val="4"/>
        </w:numPr>
        <w:tabs>
          <w:tab w:val="clear" w:pos="720"/>
          <w:tab w:val="num" w:pos="540"/>
        </w:tabs>
        <w:spacing w:after="0" w:line="276" w:lineRule="auto"/>
        <w:ind w:hanging="720"/>
      </w:pPr>
      <w:r w:rsidRPr="007C06FC">
        <w:rPr>
          <w:b/>
          <w:bCs/>
        </w:rPr>
        <w:t>Data Breaches</w:t>
      </w:r>
      <w:r w:rsidRPr="007C06FC">
        <w:t xml:space="preserve"> due to unauthorized access.</w:t>
      </w:r>
    </w:p>
    <w:p w14:paraId="693B7D37" w14:textId="2A88C007" w:rsidR="007C06FC" w:rsidRPr="007C06FC" w:rsidRDefault="007C06FC" w:rsidP="00215DD1">
      <w:pPr>
        <w:numPr>
          <w:ilvl w:val="0"/>
          <w:numId w:val="4"/>
        </w:numPr>
        <w:tabs>
          <w:tab w:val="clear" w:pos="720"/>
          <w:tab w:val="num" w:pos="540"/>
        </w:tabs>
        <w:spacing w:after="0" w:line="276" w:lineRule="auto"/>
        <w:ind w:hanging="720"/>
      </w:pPr>
      <w:r w:rsidRPr="007C06FC">
        <w:rPr>
          <w:b/>
          <w:bCs/>
        </w:rPr>
        <w:t>Ransomware Attacks</w:t>
      </w:r>
      <w:r w:rsidRPr="007C06FC">
        <w:t xml:space="preserve"> targeting company servers and endpoints.</w:t>
      </w:r>
    </w:p>
    <w:p w14:paraId="2A3F908E" w14:textId="22227F38" w:rsidR="007C06FC" w:rsidRPr="007C06FC" w:rsidRDefault="007C06FC" w:rsidP="00215DD1">
      <w:pPr>
        <w:numPr>
          <w:ilvl w:val="0"/>
          <w:numId w:val="4"/>
        </w:numPr>
        <w:tabs>
          <w:tab w:val="clear" w:pos="720"/>
          <w:tab w:val="num" w:pos="540"/>
        </w:tabs>
        <w:spacing w:after="0" w:line="276" w:lineRule="auto"/>
        <w:ind w:hanging="720"/>
      </w:pPr>
      <w:r w:rsidRPr="007C06FC">
        <w:rPr>
          <w:b/>
          <w:bCs/>
        </w:rPr>
        <w:t>System Downtime</w:t>
      </w:r>
      <w:r w:rsidRPr="007C06FC">
        <w:t xml:space="preserve"> due to hardware</w:t>
      </w:r>
      <w:r w:rsidR="00215DD1" w:rsidRPr="003B4C1A">
        <w:t xml:space="preserve"> compromise or</w:t>
      </w:r>
      <w:r w:rsidRPr="007C06FC">
        <w:t xml:space="preserve"> failure.</w:t>
      </w:r>
    </w:p>
    <w:p w14:paraId="23EDDF9A" w14:textId="67C6F4DE" w:rsidR="00215DD1" w:rsidRPr="003B4C1A" w:rsidRDefault="007C06FC" w:rsidP="00215DD1">
      <w:pPr>
        <w:spacing w:before="240" w:line="276" w:lineRule="auto"/>
      </w:pPr>
      <w:r w:rsidRPr="007C06FC">
        <w:rPr>
          <w:b/>
          <w:bCs/>
        </w:rPr>
        <w:t>Challenges:</w:t>
      </w:r>
      <w:r w:rsidRPr="007C06FC">
        <w:t xml:space="preserve"> Managing these threats involves ensuring endpoint security, maintaining encryption standards, and monitoring all critical infrastructure.</w:t>
      </w:r>
    </w:p>
    <w:p w14:paraId="103C98CD" w14:textId="585DDCD6" w:rsidR="007C06FC" w:rsidRPr="007C06FC" w:rsidRDefault="007C06FC" w:rsidP="00215DD1">
      <w:pPr>
        <w:spacing w:before="240" w:line="276" w:lineRule="auto"/>
        <w:rPr>
          <w:b/>
          <w:bCs/>
          <w:sz w:val="28"/>
          <w:szCs w:val="28"/>
        </w:rPr>
      </w:pPr>
      <w:r w:rsidRPr="007C06FC">
        <w:rPr>
          <w:b/>
          <w:bCs/>
          <w:sz w:val="28"/>
          <w:szCs w:val="28"/>
        </w:rPr>
        <w:t>Determining the Risk Owners</w:t>
      </w:r>
    </w:p>
    <w:p w14:paraId="7FBE9A47" w14:textId="77777777" w:rsidR="007C06FC" w:rsidRPr="007C06FC" w:rsidRDefault="007C06FC" w:rsidP="00215DD1">
      <w:pPr>
        <w:spacing w:line="276" w:lineRule="auto"/>
      </w:pPr>
      <w:r w:rsidRPr="007C06FC">
        <w:t>The following chain of ownership will be established for risk management:</w:t>
      </w:r>
    </w:p>
    <w:p w14:paraId="4E31A3A2" w14:textId="77777777" w:rsidR="007C06FC" w:rsidRPr="007C06FC" w:rsidRDefault="007C06FC" w:rsidP="00215DD1">
      <w:pPr>
        <w:numPr>
          <w:ilvl w:val="0"/>
          <w:numId w:val="5"/>
        </w:numPr>
        <w:tabs>
          <w:tab w:val="clear" w:pos="720"/>
          <w:tab w:val="num" w:pos="540"/>
        </w:tabs>
        <w:spacing w:after="0" w:line="276" w:lineRule="auto"/>
        <w:ind w:hanging="720"/>
      </w:pPr>
      <w:r w:rsidRPr="007C06FC">
        <w:rPr>
          <w:b/>
          <w:bCs/>
        </w:rPr>
        <w:t>IT Support Technicians</w:t>
      </w:r>
      <w:r w:rsidRPr="007C06FC">
        <w:t>: First-level risk owners responsible for identifying potential issues.</w:t>
      </w:r>
    </w:p>
    <w:p w14:paraId="615F51D8" w14:textId="77777777" w:rsidR="007C06FC" w:rsidRPr="007C06FC" w:rsidRDefault="007C06FC" w:rsidP="00215DD1">
      <w:pPr>
        <w:numPr>
          <w:ilvl w:val="0"/>
          <w:numId w:val="5"/>
        </w:numPr>
        <w:tabs>
          <w:tab w:val="clear" w:pos="720"/>
          <w:tab w:val="num" w:pos="540"/>
        </w:tabs>
        <w:spacing w:after="0" w:line="276" w:lineRule="auto"/>
        <w:ind w:hanging="720"/>
      </w:pPr>
      <w:r w:rsidRPr="007C06FC">
        <w:rPr>
          <w:b/>
          <w:bCs/>
        </w:rPr>
        <w:t>IT Manager</w:t>
      </w:r>
      <w:r w:rsidRPr="007C06FC">
        <w:t>: Second-level owner who oversees risk mitigation.</w:t>
      </w:r>
    </w:p>
    <w:p w14:paraId="20D3BD10" w14:textId="77777777" w:rsidR="007C06FC" w:rsidRPr="007C06FC" w:rsidRDefault="007C06FC" w:rsidP="00215DD1">
      <w:pPr>
        <w:numPr>
          <w:ilvl w:val="0"/>
          <w:numId w:val="5"/>
        </w:numPr>
        <w:tabs>
          <w:tab w:val="clear" w:pos="720"/>
          <w:tab w:val="num" w:pos="540"/>
        </w:tabs>
        <w:spacing w:line="276" w:lineRule="auto"/>
        <w:ind w:hanging="720"/>
      </w:pPr>
      <w:r w:rsidRPr="007C06FC">
        <w:rPr>
          <w:b/>
          <w:bCs/>
        </w:rPr>
        <w:t>CISO</w:t>
      </w:r>
      <w:r w:rsidRPr="007C06FC">
        <w:t>: Final owner responsible for approving risk treatment strategies and reporting to the CEO.</w:t>
      </w:r>
    </w:p>
    <w:p w14:paraId="62874BA2" w14:textId="77777777" w:rsidR="00215DD1" w:rsidRPr="003B4C1A" w:rsidRDefault="00215DD1" w:rsidP="00215DD1">
      <w:pPr>
        <w:spacing w:line="276" w:lineRule="auto"/>
        <w:rPr>
          <w:b/>
          <w:bCs/>
          <w:sz w:val="28"/>
          <w:szCs w:val="28"/>
        </w:rPr>
      </w:pPr>
    </w:p>
    <w:p w14:paraId="7608D05F" w14:textId="4230BB1E" w:rsidR="007C06FC" w:rsidRPr="003B4C1A" w:rsidRDefault="007C06FC" w:rsidP="00215DD1">
      <w:pPr>
        <w:spacing w:line="276" w:lineRule="auto"/>
        <w:rPr>
          <w:b/>
          <w:bCs/>
          <w:sz w:val="28"/>
          <w:szCs w:val="28"/>
        </w:rPr>
      </w:pPr>
      <w:r w:rsidRPr="007C06FC">
        <w:rPr>
          <w:b/>
          <w:bCs/>
          <w:sz w:val="28"/>
          <w:szCs w:val="28"/>
        </w:rPr>
        <w:t>Impact and Likelihood</w:t>
      </w:r>
    </w:p>
    <w:p w14:paraId="2F52EB96" w14:textId="77777777" w:rsidR="00215DD1" w:rsidRPr="007C06FC" w:rsidRDefault="00215DD1" w:rsidP="00215DD1">
      <w:pPr>
        <w:spacing w:line="276" w:lineRule="auto"/>
        <w:rPr>
          <w:b/>
          <w:bCs/>
          <w:sz w:val="28"/>
          <w:szCs w:val="28"/>
        </w:rPr>
      </w:pPr>
    </w:p>
    <w:tbl>
      <w:tblPr>
        <w:tblStyle w:val="TableGrid"/>
        <w:tblW w:w="0" w:type="auto"/>
        <w:tblLook w:val="04A0" w:firstRow="1" w:lastRow="0" w:firstColumn="1" w:lastColumn="0" w:noHBand="0" w:noVBand="1"/>
      </w:tblPr>
      <w:tblGrid>
        <w:gridCol w:w="2201"/>
        <w:gridCol w:w="1716"/>
        <w:gridCol w:w="1832"/>
        <w:gridCol w:w="3601"/>
      </w:tblGrid>
      <w:tr w:rsidR="007C06FC" w:rsidRPr="007C06FC" w14:paraId="1C23EE55" w14:textId="77777777" w:rsidTr="00215DD1">
        <w:tc>
          <w:tcPr>
            <w:tcW w:w="0" w:type="auto"/>
            <w:hideMark/>
          </w:tcPr>
          <w:p w14:paraId="4B2ECA3E" w14:textId="77777777" w:rsidR="007C06FC" w:rsidRPr="007C06FC" w:rsidRDefault="007C06FC" w:rsidP="00215DD1">
            <w:pPr>
              <w:spacing w:line="276" w:lineRule="auto"/>
              <w:rPr>
                <w:b/>
                <w:bCs/>
                <w:sz w:val="28"/>
                <w:szCs w:val="28"/>
              </w:rPr>
            </w:pPr>
            <w:r w:rsidRPr="007C06FC">
              <w:rPr>
                <w:b/>
                <w:bCs/>
                <w:sz w:val="28"/>
                <w:szCs w:val="28"/>
              </w:rPr>
              <w:t>Threat</w:t>
            </w:r>
          </w:p>
        </w:tc>
        <w:tc>
          <w:tcPr>
            <w:tcW w:w="0" w:type="auto"/>
            <w:hideMark/>
          </w:tcPr>
          <w:p w14:paraId="5D117E92" w14:textId="77777777" w:rsidR="007C06FC" w:rsidRPr="007C06FC" w:rsidRDefault="007C06FC" w:rsidP="00215DD1">
            <w:pPr>
              <w:spacing w:line="276" w:lineRule="auto"/>
              <w:rPr>
                <w:b/>
                <w:bCs/>
                <w:sz w:val="28"/>
                <w:szCs w:val="28"/>
              </w:rPr>
            </w:pPr>
            <w:r w:rsidRPr="007C06FC">
              <w:rPr>
                <w:b/>
                <w:bCs/>
                <w:sz w:val="28"/>
                <w:szCs w:val="28"/>
              </w:rPr>
              <w:t>CIA Impact (0-10)</w:t>
            </w:r>
          </w:p>
        </w:tc>
        <w:tc>
          <w:tcPr>
            <w:tcW w:w="0" w:type="auto"/>
            <w:hideMark/>
          </w:tcPr>
          <w:p w14:paraId="03317CE9" w14:textId="77777777" w:rsidR="007C06FC" w:rsidRPr="007C06FC" w:rsidRDefault="007C06FC" w:rsidP="00215DD1">
            <w:pPr>
              <w:spacing w:line="276" w:lineRule="auto"/>
              <w:rPr>
                <w:b/>
                <w:bCs/>
                <w:sz w:val="28"/>
                <w:szCs w:val="28"/>
              </w:rPr>
            </w:pPr>
            <w:r w:rsidRPr="007C06FC">
              <w:rPr>
                <w:b/>
                <w:bCs/>
                <w:sz w:val="28"/>
                <w:szCs w:val="28"/>
              </w:rPr>
              <w:t>Likelihood (0-5)</w:t>
            </w:r>
          </w:p>
        </w:tc>
        <w:tc>
          <w:tcPr>
            <w:tcW w:w="0" w:type="auto"/>
            <w:hideMark/>
          </w:tcPr>
          <w:p w14:paraId="1C91B044" w14:textId="77777777" w:rsidR="007C06FC" w:rsidRPr="007C06FC" w:rsidRDefault="007C06FC" w:rsidP="00215DD1">
            <w:pPr>
              <w:spacing w:line="276" w:lineRule="auto"/>
              <w:rPr>
                <w:b/>
                <w:bCs/>
                <w:sz w:val="28"/>
                <w:szCs w:val="28"/>
              </w:rPr>
            </w:pPr>
            <w:r w:rsidRPr="007C06FC">
              <w:rPr>
                <w:b/>
                <w:bCs/>
                <w:sz w:val="28"/>
                <w:szCs w:val="28"/>
              </w:rPr>
              <w:t>Description</w:t>
            </w:r>
          </w:p>
        </w:tc>
      </w:tr>
      <w:tr w:rsidR="007C06FC" w:rsidRPr="007C06FC" w14:paraId="45E8A838" w14:textId="77777777" w:rsidTr="00215DD1">
        <w:tc>
          <w:tcPr>
            <w:tcW w:w="0" w:type="auto"/>
            <w:hideMark/>
          </w:tcPr>
          <w:p w14:paraId="297B0441" w14:textId="77777777" w:rsidR="007C06FC" w:rsidRPr="007C06FC" w:rsidRDefault="007C06FC" w:rsidP="00215DD1">
            <w:pPr>
              <w:spacing w:line="276" w:lineRule="auto"/>
              <w:rPr>
                <w:sz w:val="28"/>
                <w:szCs w:val="28"/>
              </w:rPr>
            </w:pPr>
            <w:r w:rsidRPr="007C06FC">
              <w:rPr>
                <w:sz w:val="28"/>
                <w:szCs w:val="28"/>
              </w:rPr>
              <w:t>Data Breach</w:t>
            </w:r>
          </w:p>
        </w:tc>
        <w:tc>
          <w:tcPr>
            <w:tcW w:w="0" w:type="auto"/>
            <w:hideMark/>
          </w:tcPr>
          <w:p w14:paraId="6F5EEF20" w14:textId="11C90C8E" w:rsidR="007C06FC" w:rsidRPr="007C06FC" w:rsidRDefault="007C06FC" w:rsidP="00215DD1">
            <w:pPr>
              <w:spacing w:line="276" w:lineRule="auto"/>
              <w:rPr>
                <w:sz w:val="28"/>
                <w:szCs w:val="28"/>
              </w:rPr>
            </w:pPr>
            <w:r w:rsidRPr="007C06FC">
              <w:rPr>
                <w:sz w:val="28"/>
                <w:szCs w:val="28"/>
              </w:rPr>
              <w:t xml:space="preserve">C: 9, </w:t>
            </w:r>
            <w:r w:rsidR="00215DD1" w:rsidRPr="003B4C1A">
              <w:rPr>
                <w:sz w:val="28"/>
                <w:szCs w:val="28"/>
              </w:rPr>
              <w:br/>
            </w:r>
            <w:r w:rsidRPr="007C06FC">
              <w:rPr>
                <w:sz w:val="28"/>
                <w:szCs w:val="28"/>
              </w:rPr>
              <w:t>I: 9,</w:t>
            </w:r>
            <w:r w:rsidR="00215DD1" w:rsidRPr="003B4C1A">
              <w:rPr>
                <w:sz w:val="28"/>
                <w:szCs w:val="28"/>
              </w:rPr>
              <w:br/>
            </w:r>
            <w:r w:rsidRPr="007C06FC">
              <w:rPr>
                <w:sz w:val="28"/>
                <w:szCs w:val="28"/>
              </w:rPr>
              <w:t>A: 5</w:t>
            </w:r>
          </w:p>
        </w:tc>
        <w:tc>
          <w:tcPr>
            <w:tcW w:w="0" w:type="auto"/>
            <w:hideMark/>
          </w:tcPr>
          <w:p w14:paraId="2808A3B3" w14:textId="77777777" w:rsidR="007C06FC" w:rsidRPr="007C06FC" w:rsidRDefault="007C06FC" w:rsidP="00215DD1">
            <w:pPr>
              <w:spacing w:line="276" w:lineRule="auto"/>
              <w:rPr>
                <w:sz w:val="28"/>
                <w:szCs w:val="28"/>
              </w:rPr>
            </w:pPr>
            <w:r w:rsidRPr="007C06FC">
              <w:rPr>
                <w:sz w:val="28"/>
                <w:szCs w:val="28"/>
              </w:rPr>
              <w:t>4</w:t>
            </w:r>
          </w:p>
        </w:tc>
        <w:tc>
          <w:tcPr>
            <w:tcW w:w="0" w:type="auto"/>
            <w:hideMark/>
          </w:tcPr>
          <w:p w14:paraId="6E7CD447" w14:textId="77777777" w:rsidR="007C06FC" w:rsidRPr="007C06FC" w:rsidRDefault="007C06FC" w:rsidP="00215DD1">
            <w:pPr>
              <w:spacing w:line="276" w:lineRule="auto"/>
              <w:rPr>
                <w:sz w:val="28"/>
                <w:szCs w:val="28"/>
              </w:rPr>
            </w:pPr>
            <w:r w:rsidRPr="007C06FC">
              <w:rPr>
                <w:sz w:val="28"/>
                <w:szCs w:val="28"/>
              </w:rPr>
              <w:t>High impact on confidentiality and integrity.</w:t>
            </w:r>
          </w:p>
        </w:tc>
      </w:tr>
      <w:tr w:rsidR="007C06FC" w:rsidRPr="007C06FC" w14:paraId="45E53789" w14:textId="77777777" w:rsidTr="00215DD1">
        <w:tc>
          <w:tcPr>
            <w:tcW w:w="0" w:type="auto"/>
            <w:hideMark/>
          </w:tcPr>
          <w:p w14:paraId="098A5313" w14:textId="77777777" w:rsidR="007C06FC" w:rsidRPr="007C06FC" w:rsidRDefault="007C06FC" w:rsidP="00215DD1">
            <w:pPr>
              <w:spacing w:line="276" w:lineRule="auto"/>
              <w:rPr>
                <w:sz w:val="28"/>
                <w:szCs w:val="28"/>
              </w:rPr>
            </w:pPr>
            <w:r w:rsidRPr="007C06FC">
              <w:rPr>
                <w:sz w:val="28"/>
                <w:szCs w:val="28"/>
              </w:rPr>
              <w:t>Ransomware Attack</w:t>
            </w:r>
          </w:p>
        </w:tc>
        <w:tc>
          <w:tcPr>
            <w:tcW w:w="0" w:type="auto"/>
            <w:hideMark/>
          </w:tcPr>
          <w:p w14:paraId="1AA1B481" w14:textId="5B7985CF" w:rsidR="007C06FC" w:rsidRPr="007C06FC" w:rsidRDefault="007C06FC" w:rsidP="00215DD1">
            <w:pPr>
              <w:spacing w:line="276" w:lineRule="auto"/>
              <w:rPr>
                <w:sz w:val="28"/>
                <w:szCs w:val="28"/>
              </w:rPr>
            </w:pPr>
            <w:r w:rsidRPr="007C06FC">
              <w:rPr>
                <w:sz w:val="28"/>
                <w:szCs w:val="28"/>
              </w:rPr>
              <w:t>C: 8,</w:t>
            </w:r>
            <w:r w:rsidR="00215DD1" w:rsidRPr="003B4C1A">
              <w:rPr>
                <w:sz w:val="28"/>
                <w:szCs w:val="28"/>
              </w:rPr>
              <w:br/>
            </w:r>
            <w:r w:rsidRPr="007C06FC">
              <w:rPr>
                <w:sz w:val="28"/>
                <w:szCs w:val="28"/>
              </w:rPr>
              <w:t>I: 8,</w:t>
            </w:r>
            <w:r w:rsidR="00215DD1" w:rsidRPr="003B4C1A">
              <w:rPr>
                <w:sz w:val="28"/>
                <w:szCs w:val="28"/>
              </w:rPr>
              <w:br/>
            </w:r>
            <w:r w:rsidRPr="007C06FC">
              <w:rPr>
                <w:sz w:val="28"/>
                <w:szCs w:val="28"/>
              </w:rPr>
              <w:t>A: 7</w:t>
            </w:r>
          </w:p>
        </w:tc>
        <w:tc>
          <w:tcPr>
            <w:tcW w:w="0" w:type="auto"/>
            <w:hideMark/>
          </w:tcPr>
          <w:p w14:paraId="48967FF8" w14:textId="77777777" w:rsidR="007C06FC" w:rsidRPr="007C06FC" w:rsidRDefault="007C06FC" w:rsidP="00215DD1">
            <w:pPr>
              <w:spacing w:line="276" w:lineRule="auto"/>
              <w:rPr>
                <w:sz w:val="28"/>
                <w:szCs w:val="28"/>
              </w:rPr>
            </w:pPr>
            <w:r w:rsidRPr="007C06FC">
              <w:rPr>
                <w:sz w:val="28"/>
                <w:szCs w:val="28"/>
              </w:rPr>
              <w:t>3</w:t>
            </w:r>
          </w:p>
        </w:tc>
        <w:tc>
          <w:tcPr>
            <w:tcW w:w="0" w:type="auto"/>
            <w:hideMark/>
          </w:tcPr>
          <w:p w14:paraId="50B83565" w14:textId="77777777" w:rsidR="007C06FC" w:rsidRPr="007C06FC" w:rsidRDefault="007C06FC" w:rsidP="00215DD1">
            <w:pPr>
              <w:spacing w:line="276" w:lineRule="auto"/>
              <w:rPr>
                <w:sz w:val="28"/>
                <w:szCs w:val="28"/>
              </w:rPr>
            </w:pPr>
            <w:r w:rsidRPr="007C06FC">
              <w:rPr>
                <w:sz w:val="28"/>
                <w:szCs w:val="28"/>
              </w:rPr>
              <w:t>Significant impact on availability.</w:t>
            </w:r>
          </w:p>
        </w:tc>
      </w:tr>
      <w:tr w:rsidR="007C06FC" w:rsidRPr="007C06FC" w14:paraId="2640E366" w14:textId="77777777" w:rsidTr="00215DD1">
        <w:tc>
          <w:tcPr>
            <w:tcW w:w="0" w:type="auto"/>
            <w:hideMark/>
          </w:tcPr>
          <w:p w14:paraId="0590666E" w14:textId="77777777" w:rsidR="007C06FC" w:rsidRPr="007C06FC" w:rsidRDefault="007C06FC" w:rsidP="00215DD1">
            <w:pPr>
              <w:spacing w:line="276" w:lineRule="auto"/>
              <w:rPr>
                <w:sz w:val="28"/>
                <w:szCs w:val="28"/>
              </w:rPr>
            </w:pPr>
            <w:r w:rsidRPr="007C06FC">
              <w:rPr>
                <w:sz w:val="28"/>
                <w:szCs w:val="28"/>
              </w:rPr>
              <w:t>System Downtime</w:t>
            </w:r>
          </w:p>
        </w:tc>
        <w:tc>
          <w:tcPr>
            <w:tcW w:w="0" w:type="auto"/>
            <w:hideMark/>
          </w:tcPr>
          <w:p w14:paraId="0FB62D68" w14:textId="445922C9" w:rsidR="007C06FC" w:rsidRPr="007C06FC" w:rsidRDefault="007C06FC" w:rsidP="00215DD1">
            <w:pPr>
              <w:spacing w:line="276" w:lineRule="auto"/>
              <w:rPr>
                <w:sz w:val="28"/>
                <w:szCs w:val="28"/>
              </w:rPr>
            </w:pPr>
            <w:r w:rsidRPr="007C06FC">
              <w:rPr>
                <w:sz w:val="28"/>
                <w:szCs w:val="28"/>
              </w:rPr>
              <w:t>C: 5,</w:t>
            </w:r>
            <w:r w:rsidR="00215DD1" w:rsidRPr="003B4C1A">
              <w:rPr>
                <w:sz w:val="28"/>
                <w:szCs w:val="28"/>
              </w:rPr>
              <w:br/>
            </w:r>
            <w:r w:rsidRPr="007C06FC">
              <w:rPr>
                <w:sz w:val="28"/>
                <w:szCs w:val="28"/>
              </w:rPr>
              <w:t>I: 3,</w:t>
            </w:r>
            <w:r w:rsidR="00215DD1" w:rsidRPr="003B4C1A">
              <w:rPr>
                <w:sz w:val="28"/>
                <w:szCs w:val="28"/>
              </w:rPr>
              <w:br/>
            </w:r>
            <w:r w:rsidRPr="007C06FC">
              <w:rPr>
                <w:sz w:val="28"/>
                <w:szCs w:val="28"/>
              </w:rPr>
              <w:t>A: 9</w:t>
            </w:r>
          </w:p>
        </w:tc>
        <w:tc>
          <w:tcPr>
            <w:tcW w:w="0" w:type="auto"/>
            <w:hideMark/>
          </w:tcPr>
          <w:p w14:paraId="5AF89F09" w14:textId="77777777" w:rsidR="007C06FC" w:rsidRPr="007C06FC" w:rsidRDefault="007C06FC" w:rsidP="00215DD1">
            <w:pPr>
              <w:spacing w:line="276" w:lineRule="auto"/>
              <w:rPr>
                <w:sz w:val="28"/>
                <w:szCs w:val="28"/>
              </w:rPr>
            </w:pPr>
            <w:r w:rsidRPr="007C06FC">
              <w:rPr>
                <w:sz w:val="28"/>
                <w:szCs w:val="28"/>
              </w:rPr>
              <w:t>2</w:t>
            </w:r>
          </w:p>
        </w:tc>
        <w:tc>
          <w:tcPr>
            <w:tcW w:w="0" w:type="auto"/>
            <w:hideMark/>
          </w:tcPr>
          <w:p w14:paraId="0EF9F536" w14:textId="77777777" w:rsidR="007C06FC" w:rsidRPr="007C06FC" w:rsidRDefault="007C06FC" w:rsidP="00215DD1">
            <w:pPr>
              <w:spacing w:line="276" w:lineRule="auto"/>
              <w:rPr>
                <w:sz w:val="28"/>
                <w:szCs w:val="28"/>
              </w:rPr>
            </w:pPr>
            <w:r w:rsidRPr="007C06FC">
              <w:rPr>
                <w:sz w:val="28"/>
                <w:szCs w:val="28"/>
              </w:rPr>
              <w:t>Major impact on availability.</w:t>
            </w:r>
          </w:p>
        </w:tc>
      </w:tr>
    </w:tbl>
    <w:p w14:paraId="6D6E794F" w14:textId="77777777" w:rsidR="00215DD1" w:rsidRPr="003B4C1A" w:rsidRDefault="00215DD1" w:rsidP="00215DD1">
      <w:pPr>
        <w:spacing w:before="240" w:line="276" w:lineRule="auto"/>
        <w:rPr>
          <w:b/>
          <w:bCs/>
          <w:sz w:val="28"/>
          <w:szCs w:val="28"/>
        </w:rPr>
      </w:pPr>
    </w:p>
    <w:p w14:paraId="22607E2C" w14:textId="7046F694" w:rsidR="007C06FC" w:rsidRPr="007C06FC" w:rsidRDefault="007C06FC" w:rsidP="00215DD1">
      <w:pPr>
        <w:spacing w:before="240" w:line="276" w:lineRule="auto"/>
        <w:rPr>
          <w:b/>
          <w:bCs/>
          <w:sz w:val="28"/>
          <w:szCs w:val="28"/>
        </w:rPr>
      </w:pPr>
      <w:r w:rsidRPr="007C06FC">
        <w:rPr>
          <w:b/>
          <w:bCs/>
          <w:sz w:val="28"/>
          <w:szCs w:val="28"/>
        </w:rPr>
        <w:t>Risk Acceptance Criteria</w:t>
      </w:r>
    </w:p>
    <w:p w14:paraId="6AD527B6" w14:textId="58EA185D" w:rsidR="007C06FC" w:rsidRPr="003B4C1A" w:rsidRDefault="007C06FC" w:rsidP="00215DD1">
      <w:pPr>
        <w:spacing w:after="0" w:line="276" w:lineRule="auto"/>
      </w:pPr>
      <w:r w:rsidRPr="007C06FC">
        <w:t>Risks with high impact and likelihood will be prioritized for treatment. Lower priority will be given to risks with minimal impact or low likelihood of occurrence. For example, system downtime may be minimized through redundancy and load balancing (ISO, 201</w:t>
      </w:r>
      <w:r w:rsidR="00C83AF7">
        <w:t>9</w:t>
      </w:r>
      <w:r w:rsidRPr="007C06FC">
        <w:t>).</w:t>
      </w:r>
    </w:p>
    <w:p w14:paraId="1D7FF57D" w14:textId="55BE6E33" w:rsidR="00215DD1" w:rsidRPr="003B4C1A" w:rsidRDefault="00215DD1" w:rsidP="00215DD1">
      <w:pPr>
        <w:spacing w:line="276" w:lineRule="auto"/>
        <w:rPr>
          <w:sz w:val="28"/>
          <w:szCs w:val="28"/>
        </w:rPr>
      </w:pPr>
      <w:r w:rsidRPr="003B4C1A">
        <w:rPr>
          <w:sz w:val="28"/>
          <w:szCs w:val="28"/>
        </w:rPr>
        <w:br w:type="page"/>
      </w:r>
    </w:p>
    <w:p w14:paraId="05968215" w14:textId="77777777" w:rsidR="00215DD1" w:rsidRPr="003B4C1A" w:rsidRDefault="00215DD1" w:rsidP="00215DD1">
      <w:pPr>
        <w:spacing w:after="0" w:line="276" w:lineRule="auto"/>
        <w:rPr>
          <w:sz w:val="28"/>
          <w:szCs w:val="28"/>
        </w:rPr>
      </w:pPr>
    </w:p>
    <w:p w14:paraId="784CF067" w14:textId="77777777" w:rsidR="00215DD1" w:rsidRPr="00215DD1" w:rsidRDefault="00215DD1" w:rsidP="00215DD1">
      <w:pPr>
        <w:spacing w:after="0" w:line="276" w:lineRule="auto"/>
        <w:rPr>
          <w:b/>
          <w:bCs/>
          <w:sz w:val="28"/>
          <w:szCs w:val="28"/>
        </w:rPr>
      </w:pPr>
      <w:r w:rsidRPr="00215DD1">
        <w:rPr>
          <w:b/>
          <w:bCs/>
          <w:sz w:val="28"/>
          <w:szCs w:val="28"/>
        </w:rPr>
        <w:t>2.2 Risk Treatment</w:t>
      </w:r>
    </w:p>
    <w:p w14:paraId="3AAF8FB3" w14:textId="77777777" w:rsidR="00215DD1" w:rsidRPr="00215DD1" w:rsidRDefault="00215DD1" w:rsidP="00215DD1">
      <w:pPr>
        <w:spacing w:after="0" w:line="276" w:lineRule="auto"/>
        <w:rPr>
          <w:sz w:val="28"/>
          <w:szCs w:val="28"/>
        </w:rPr>
      </w:pPr>
      <w:r w:rsidRPr="00215DD1">
        <w:rPr>
          <w:b/>
          <w:bCs/>
          <w:sz w:val="28"/>
          <w:szCs w:val="28"/>
        </w:rPr>
        <w:t>Summary of Threats and Mitigations</w:t>
      </w:r>
    </w:p>
    <w:p w14:paraId="7C289406" w14:textId="77777777" w:rsidR="00215DD1" w:rsidRPr="00215DD1" w:rsidRDefault="00215DD1" w:rsidP="00215DD1">
      <w:pPr>
        <w:numPr>
          <w:ilvl w:val="0"/>
          <w:numId w:val="6"/>
        </w:numPr>
        <w:tabs>
          <w:tab w:val="clear" w:pos="720"/>
          <w:tab w:val="num" w:pos="360"/>
        </w:tabs>
        <w:spacing w:after="0" w:line="276" w:lineRule="auto"/>
        <w:ind w:hanging="630"/>
      </w:pPr>
      <w:r w:rsidRPr="00215DD1">
        <w:rPr>
          <w:b/>
          <w:bCs/>
        </w:rPr>
        <w:t>Data Breach</w:t>
      </w:r>
    </w:p>
    <w:p w14:paraId="3BC3ADC1" w14:textId="0E1E6CA5" w:rsidR="00215DD1" w:rsidRPr="00215DD1" w:rsidRDefault="00215DD1" w:rsidP="00215DD1">
      <w:pPr>
        <w:numPr>
          <w:ilvl w:val="1"/>
          <w:numId w:val="6"/>
        </w:numPr>
        <w:tabs>
          <w:tab w:val="clear" w:pos="1440"/>
          <w:tab w:val="num" w:pos="360"/>
          <w:tab w:val="num" w:pos="810"/>
        </w:tabs>
        <w:spacing w:after="0" w:line="276" w:lineRule="auto"/>
        <w:ind w:left="810" w:hanging="540"/>
      </w:pPr>
      <w:r w:rsidRPr="00215DD1">
        <w:rPr>
          <w:b/>
          <w:bCs/>
        </w:rPr>
        <w:t>Mitigation</w:t>
      </w:r>
      <w:r w:rsidRPr="00215DD1">
        <w:t>: Implement</w:t>
      </w:r>
      <w:r w:rsidR="003B4C1A">
        <w:t xml:space="preserve"> MFA</w:t>
      </w:r>
      <w:r w:rsidRPr="00215DD1">
        <w:t xml:space="preserve"> </w:t>
      </w:r>
      <w:r w:rsidR="003B4C1A">
        <w:t>(M</w:t>
      </w:r>
      <w:r w:rsidRPr="00215DD1">
        <w:t>ulti-</w:t>
      </w:r>
      <w:r w:rsidR="003B4C1A">
        <w:t>F</w:t>
      </w:r>
      <w:r w:rsidRPr="00215DD1">
        <w:t xml:space="preserve">actor </w:t>
      </w:r>
      <w:r w:rsidR="003B4C1A">
        <w:t>A</w:t>
      </w:r>
      <w:r w:rsidRPr="00215DD1">
        <w:t>uthentication</w:t>
      </w:r>
      <w:r w:rsidR="003B4C1A">
        <w:t>)</w:t>
      </w:r>
      <w:r w:rsidRPr="00215DD1">
        <w:t>, endpoint encryption, and</w:t>
      </w:r>
      <w:r w:rsidRPr="003B4C1A">
        <w:t xml:space="preserve"> </w:t>
      </w:r>
      <w:r w:rsidRPr="00215DD1">
        <w:t>regular security audits (NIST, 2021).</w:t>
      </w:r>
    </w:p>
    <w:p w14:paraId="5CED9D74" w14:textId="77777777" w:rsidR="00215DD1" w:rsidRPr="00215DD1" w:rsidRDefault="00215DD1" w:rsidP="00215DD1">
      <w:pPr>
        <w:numPr>
          <w:ilvl w:val="1"/>
          <w:numId w:val="6"/>
        </w:numPr>
        <w:tabs>
          <w:tab w:val="clear" w:pos="1440"/>
          <w:tab w:val="num" w:pos="360"/>
          <w:tab w:val="num" w:pos="810"/>
        </w:tabs>
        <w:spacing w:after="0" w:line="276" w:lineRule="auto"/>
        <w:ind w:left="1350" w:hanging="1080"/>
      </w:pPr>
      <w:r w:rsidRPr="00215DD1">
        <w:rPr>
          <w:b/>
          <w:bCs/>
        </w:rPr>
        <w:t>Priority</w:t>
      </w:r>
      <w:r w:rsidRPr="00215DD1">
        <w:t>: High</w:t>
      </w:r>
    </w:p>
    <w:p w14:paraId="22BE4AE7" w14:textId="77777777" w:rsidR="00215DD1" w:rsidRPr="00215DD1" w:rsidRDefault="00215DD1" w:rsidP="00215DD1">
      <w:pPr>
        <w:numPr>
          <w:ilvl w:val="0"/>
          <w:numId w:val="6"/>
        </w:numPr>
        <w:tabs>
          <w:tab w:val="clear" w:pos="720"/>
          <w:tab w:val="num" w:pos="360"/>
        </w:tabs>
        <w:spacing w:after="0" w:line="276" w:lineRule="auto"/>
        <w:ind w:hanging="630"/>
      </w:pPr>
      <w:r w:rsidRPr="00215DD1">
        <w:rPr>
          <w:b/>
          <w:bCs/>
        </w:rPr>
        <w:t>Ransomware Attack</w:t>
      </w:r>
    </w:p>
    <w:p w14:paraId="794C38A3" w14:textId="445476B6" w:rsidR="00215DD1" w:rsidRPr="00215DD1" w:rsidRDefault="00215DD1" w:rsidP="00215DD1">
      <w:pPr>
        <w:numPr>
          <w:ilvl w:val="1"/>
          <w:numId w:val="6"/>
        </w:numPr>
        <w:tabs>
          <w:tab w:val="clear" w:pos="1440"/>
          <w:tab w:val="num" w:pos="360"/>
          <w:tab w:val="num" w:pos="810"/>
        </w:tabs>
        <w:spacing w:after="0" w:line="276" w:lineRule="auto"/>
        <w:ind w:left="810" w:hanging="540"/>
      </w:pPr>
      <w:r w:rsidRPr="00215DD1">
        <w:rPr>
          <w:b/>
          <w:bCs/>
        </w:rPr>
        <w:t>Mitigation</w:t>
      </w:r>
      <w:r w:rsidRPr="00215DD1">
        <w:t>: Deploy</w:t>
      </w:r>
      <w:r w:rsidR="003B4C1A">
        <w:t xml:space="preserve"> EDR</w:t>
      </w:r>
      <w:r w:rsidRPr="00215DD1">
        <w:t xml:space="preserve"> </w:t>
      </w:r>
      <w:r w:rsidR="003B4C1A">
        <w:t>(E</w:t>
      </w:r>
      <w:r w:rsidRPr="00215DD1">
        <w:t xml:space="preserve">ndpoint </w:t>
      </w:r>
      <w:r w:rsidR="003B4C1A">
        <w:t>D</w:t>
      </w:r>
      <w:r w:rsidRPr="00215DD1">
        <w:t xml:space="preserve">etection and </w:t>
      </w:r>
      <w:r w:rsidR="003B4C1A">
        <w:t>R</w:t>
      </w:r>
      <w:r w:rsidRPr="00215DD1">
        <w:t>esponse</w:t>
      </w:r>
      <w:r w:rsidR="003B4C1A">
        <w:t>)</w:t>
      </w:r>
      <w:r w:rsidRPr="00215DD1">
        <w:t xml:space="preserve"> solutions, maintain regular backups, and conduct phishing awareness training (CISA, 2022).</w:t>
      </w:r>
    </w:p>
    <w:p w14:paraId="7C25B24F" w14:textId="77777777" w:rsidR="00215DD1" w:rsidRPr="00215DD1" w:rsidRDefault="00215DD1" w:rsidP="00215DD1">
      <w:pPr>
        <w:numPr>
          <w:ilvl w:val="1"/>
          <w:numId w:val="6"/>
        </w:numPr>
        <w:tabs>
          <w:tab w:val="clear" w:pos="1440"/>
          <w:tab w:val="num" w:pos="360"/>
          <w:tab w:val="num" w:pos="810"/>
        </w:tabs>
        <w:spacing w:after="0" w:line="276" w:lineRule="auto"/>
        <w:ind w:left="810" w:hanging="540"/>
      </w:pPr>
      <w:r w:rsidRPr="00215DD1">
        <w:rPr>
          <w:b/>
          <w:bCs/>
        </w:rPr>
        <w:t>Priority</w:t>
      </w:r>
      <w:r w:rsidRPr="00215DD1">
        <w:t>: High</w:t>
      </w:r>
    </w:p>
    <w:p w14:paraId="4D366C85" w14:textId="77777777" w:rsidR="00215DD1" w:rsidRPr="00215DD1" w:rsidRDefault="00215DD1" w:rsidP="00215DD1">
      <w:pPr>
        <w:numPr>
          <w:ilvl w:val="0"/>
          <w:numId w:val="6"/>
        </w:numPr>
        <w:tabs>
          <w:tab w:val="clear" w:pos="720"/>
          <w:tab w:val="num" w:pos="360"/>
        </w:tabs>
        <w:spacing w:after="0" w:line="276" w:lineRule="auto"/>
        <w:ind w:hanging="630"/>
      </w:pPr>
      <w:r w:rsidRPr="00215DD1">
        <w:rPr>
          <w:b/>
          <w:bCs/>
        </w:rPr>
        <w:t>System Downtime</w:t>
      </w:r>
    </w:p>
    <w:p w14:paraId="3BEE12D8" w14:textId="77777777" w:rsidR="00215DD1" w:rsidRPr="00215DD1" w:rsidRDefault="00215DD1" w:rsidP="00215DD1">
      <w:pPr>
        <w:numPr>
          <w:ilvl w:val="1"/>
          <w:numId w:val="6"/>
        </w:numPr>
        <w:tabs>
          <w:tab w:val="clear" w:pos="1440"/>
          <w:tab w:val="num" w:pos="360"/>
          <w:tab w:val="num" w:pos="810"/>
        </w:tabs>
        <w:spacing w:after="0" w:line="276" w:lineRule="auto"/>
        <w:ind w:hanging="1170"/>
      </w:pPr>
      <w:r w:rsidRPr="00215DD1">
        <w:rPr>
          <w:b/>
          <w:bCs/>
        </w:rPr>
        <w:t>Mitigation</w:t>
      </w:r>
      <w:r w:rsidRPr="00215DD1">
        <w:t>: Implement load balancing, clustering, and hardware monitoring.</w:t>
      </w:r>
    </w:p>
    <w:p w14:paraId="3755AADB" w14:textId="77777777" w:rsidR="00215DD1" w:rsidRPr="00215DD1" w:rsidRDefault="00215DD1" w:rsidP="00215DD1">
      <w:pPr>
        <w:numPr>
          <w:ilvl w:val="1"/>
          <w:numId w:val="6"/>
        </w:numPr>
        <w:tabs>
          <w:tab w:val="clear" w:pos="1440"/>
          <w:tab w:val="num" w:pos="360"/>
          <w:tab w:val="num" w:pos="810"/>
        </w:tabs>
        <w:spacing w:after="0" w:line="276" w:lineRule="auto"/>
        <w:ind w:hanging="1170"/>
      </w:pPr>
      <w:r w:rsidRPr="00215DD1">
        <w:rPr>
          <w:b/>
          <w:bCs/>
        </w:rPr>
        <w:t>Priority</w:t>
      </w:r>
      <w:r w:rsidRPr="00215DD1">
        <w:t>: Medium</w:t>
      </w:r>
    </w:p>
    <w:p w14:paraId="1011BD6E" w14:textId="77777777" w:rsidR="00215DD1" w:rsidRPr="007C06FC" w:rsidRDefault="00215DD1" w:rsidP="00215DD1">
      <w:pPr>
        <w:spacing w:after="0" w:line="276" w:lineRule="auto"/>
        <w:rPr>
          <w:sz w:val="28"/>
          <w:szCs w:val="28"/>
        </w:rPr>
      </w:pPr>
    </w:p>
    <w:p w14:paraId="33C6A23C" w14:textId="77777777" w:rsidR="003B4C1A" w:rsidRPr="003B4C1A" w:rsidRDefault="003B4C1A" w:rsidP="003B4C1A">
      <w:pPr>
        <w:spacing w:after="0" w:line="276" w:lineRule="auto"/>
        <w:rPr>
          <w:b/>
          <w:bCs/>
          <w:sz w:val="28"/>
          <w:szCs w:val="28"/>
        </w:rPr>
      </w:pPr>
      <w:r w:rsidRPr="003B4C1A">
        <w:rPr>
          <w:b/>
          <w:bCs/>
          <w:sz w:val="28"/>
          <w:szCs w:val="28"/>
        </w:rPr>
        <w:t>Executive Summary</w:t>
      </w:r>
    </w:p>
    <w:p w14:paraId="31135254" w14:textId="6353D2EC" w:rsidR="003B4C1A" w:rsidRDefault="003B4C1A" w:rsidP="00215DD1">
      <w:pPr>
        <w:spacing w:after="0" w:line="276" w:lineRule="auto"/>
      </w:pPr>
      <w:r w:rsidRPr="003B4C1A">
        <w:t>This Risk Management Plan for DHAEI outlines a detailed approach to identifying, assessing, and mitigating risks that may affect the organization’s operations. Key threats identified include data breaches, ransomware attacks, and system downtime. The recommended treatments include implementing MFA, EDR solutions, and redundancy mechanisms.</w:t>
      </w:r>
      <w:r>
        <w:t xml:space="preserve"> </w:t>
      </w:r>
      <w:r w:rsidRPr="003B4C1A">
        <w:t>By following this plan, DHAEI can enhance its security posture and ensure business continuity.</w:t>
      </w:r>
    </w:p>
    <w:p w14:paraId="21CF8C5E" w14:textId="77777777" w:rsidR="003B4C1A" w:rsidRDefault="003B4C1A">
      <w:r>
        <w:br w:type="page"/>
      </w:r>
    </w:p>
    <w:p w14:paraId="6BDB9E46" w14:textId="43E80A04" w:rsidR="00553229" w:rsidRDefault="003B4C1A" w:rsidP="00215DD1">
      <w:pPr>
        <w:spacing w:after="0" w:line="276" w:lineRule="auto"/>
        <w:rPr>
          <w:b/>
          <w:bCs/>
          <w:sz w:val="32"/>
          <w:szCs w:val="32"/>
        </w:rPr>
      </w:pPr>
      <w:r w:rsidRPr="003B4C1A">
        <w:rPr>
          <w:b/>
          <w:bCs/>
          <w:sz w:val="32"/>
          <w:szCs w:val="32"/>
        </w:rPr>
        <w:t>References</w:t>
      </w:r>
    </w:p>
    <w:p w14:paraId="02122D47" w14:textId="77777777" w:rsidR="003B4C1A" w:rsidRDefault="003B4C1A" w:rsidP="005911C7">
      <w:pPr>
        <w:spacing w:before="240" w:line="276" w:lineRule="auto"/>
        <w:rPr>
          <w:b/>
          <w:bCs/>
          <w:sz w:val="32"/>
          <w:szCs w:val="32"/>
        </w:rPr>
      </w:pPr>
    </w:p>
    <w:p w14:paraId="29474A71" w14:textId="29CCCAB7" w:rsidR="00C83AF7" w:rsidRDefault="00C83AF7" w:rsidP="005911C7">
      <w:pPr>
        <w:spacing w:before="240" w:line="276" w:lineRule="auto"/>
      </w:pPr>
      <w:r w:rsidRPr="00C83AF7">
        <w:rPr>
          <w:i/>
          <w:iCs/>
        </w:rPr>
        <w:t>Tactics - Enterprise | MITRE ATT&amp;CK®</w:t>
      </w:r>
      <w:r w:rsidRPr="00C83AF7">
        <w:t xml:space="preserve">. (n.d.). </w:t>
      </w:r>
      <w:hyperlink r:id="rId5" w:history="1">
        <w:r w:rsidRPr="00C83AF7">
          <w:rPr>
            <w:rStyle w:val="Hyperlink"/>
          </w:rPr>
          <w:t>https://attack.mitre.org/tactics/enterprise/</w:t>
        </w:r>
      </w:hyperlink>
    </w:p>
    <w:p w14:paraId="45EB0E9C" w14:textId="774A456B" w:rsidR="00C83AF7" w:rsidRDefault="00C83AF7" w:rsidP="005911C7">
      <w:pPr>
        <w:spacing w:before="240" w:line="276" w:lineRule="auto"/>
      </w:pPr>
      <w:r w:rsidRPr="00C83AF7">
        <w:rPr>
          <w:i/>
          <w:iCs/>
        </w:rPr>
        <w:t>Risk management framework for information systems and organizations:</w:t>
      </w:r>
      <w:r w:rsidRPr="00C83AF7">
        <w:t xml:space="preserve"> (2018). </w:t>
      </w:r>
      <w:hyperlink r:id="rId6" w:history="1">
        <w:r w:rsidRPr="00C83AF7">
          <w:rPr>
            <w:rStyle w:val="Hyperlink"/>
          </w:rPr>
          <w:t>https://doi.org/10.6028/nist.sp.800-37r2</w:t>
        </w:r>
      </w:hyperlink>
    </w:p>
    <w:p w14:paraId="1E28CC7C" w14:textId="55652D24" w:rsidR="00C83AF7" w:rsidRDefault="00C83AF7" w:rsidP="005911C7">
      <w:pPr>
        <w:spacing w:before="240" w:line="276" w:lineRule="auto"/>
      </w:pPr>
      <w:r w:rsidRPr="00C83AF7">
        <w:t xml:space="preserve">Joint Technical Committee ISO/IEC JTC 1. (n.d.). </w:t>
      </w:r>
      <w:r w:rsidRPr="00C83AF7">
        <w:rPr>
          <w:i/>
          <w:iCs/>
        </w:rPr>
        <w:t>ISO/IEC 27005:2022(</w:t>
      </w:r>
      <w:proofErr w:type="spellStart"/>
      <w:r w:rsidRPr="00C83AF7">
        <w:rPr>
          <w:i/>
          <w:iCs/>
        </w:rPr>
        <w:t>eN</w:t>
      </w:r>
      <w:proofErr w:type="spellEnd"/>
      <w:r w:rsidRPr="00C83AF7">
        <w:rPr>
          <w:i/>
          <w:iCs/>
        </w:rPr>
        <w:t>)</w:t>
      </w:r>
      <w:r w:rsidRPr="00C83AF7">
        <w:t xml:space="preserve">. </w:t>
      </w:r>
      <w:hyperlink r:id="rId7" w:history="1">
        <w:r w:rsidRPr="00C83AF7">
          <w:rPr>
            <w:rStyle w:val="Hyperlink"/>
          </w:rPr>
          <w:t>https://www.iso.org/obp/ui/en/#iso:std:iso-iec:27005:ed-4:v1:en</w:t>
        </w:r>
      </w:hyperlink>
    </w:p>
    <w:p w14:paraId="0A702022" w14:textId="77777777" w:rsidR="00C83AF7" w:rsidRPr="00C83AF7" w:rsidRDefault="00C83AF7" w:rsidP="005911C7">
      <w:pPr>
        <w:spacing w:after="0" w:line="276" w:lineRule="auto"/>
      </w:pPr>
    </w:p>
    <w:p w14:paraId="369EFA73" w14:textId="03E47E3E" w:rsidR="005911C7" w:rsidRDefault="005911C7" w:rsidP="005911C7">
      <w:pPr>
        <w:spacing w:after="0" w:line="276" w:lineRule="auto"/>
      </w:pPr>
      <w:r w:rsidRPr="005911C7">
        <w:rPr>
          <w:i/>
          <w:iCs/>
        </w:rPr>
        <w:t>Cyber Essentials | CISA</w:t>
      </w:r>
      <w:r w:rsidRPr="005911C7">
        <w:t xml:space="preserve">. (n.d.). Cybersecurity and Infrastructure Security Agency CISA. </w:t>
      </w:r>
      <w:hyperlink r:id="rId8" w:history="1">
        <w:r w:rsidRPr="005911C7">
          <w:rPr>
            <w:rStyle w:val="Hyperlink"/>
          </w:rPr>
          <w:t>https://www.cisa.gov/resources-tools/resources/cyber-essentials</w:t>
        </w:r>
      </w:hyperlink>
    </w:p>
    <w:p w14:paraId="3EEDBCD5" w14:textId="77777777" w:rsidR="005911C7" w:rsidRPr="005911C7" w:rsidRDefault="005911C7" w:rsidP="005911C7">
      <w:pPr>
        <w:spacing w:after="0" w:line="276" w:lineRule="auto"/>
      </w:pPr>
    </w:p>
    <w:p w14:paraId="0C66827A" w14:textId="74A0019E" w:rsidR="005911C7" w:rsidRDefault="005911C7" w:rsidP="005911C7">
      <w:pPr>
        <w:spacing w:after="0" w:line="276" w:lineRule="auto"/>
      </w:pPr>
      <w:r w:rsidRPr="005911C7">
        <w:t xml:space="preserve">Barrett, M. P. (2020, January 27). </w:t>
      </w:r>
      <w:r w:rsidRPr="005911C7">
        <w:rPr>
          <w:i/>
          <w:iCs/>
        </w:rPr>
        <w:t>Framework for Improving Critical Infrastructure Cybersecurity Version 1.1</w:t>
      </w:r>
      <w:r w:rsidRPr="005911C7">
        <w:t xml:space="preserve">. NIST. </w:t>
      </w:r>
      <w:hyperlink r:id="rId9" w:history="1">
        <w:r w:rsidRPr="005911C7">
          <w:rPr>
            <w:rStyle w:val="Hyperlink"/>
          </w:rPr>
          <w:t>https://www.nist.gov/publications/framework-improving-critical-infrastructure-cybersecurity-version-11</w:t>
        </w:r>
      </w:hyperlink>
    </w:p>
    <w:p w14:paraId="50909CD5" w14:textId="77777777" w:rsidR="005911C7" w:rsidRDefault="005911C7" w:rsidP="005911C7">
      <w:pPr>
        <w:spacing w:after="0" w:line="276" w:lineRule="auto"/>
      </w:pPr>
    </w:p>
    <w:p w14:paraId="3F667162" w14:textId="09DF374B" w:rsidR="005911C7" w:rsidRDefault="005911C7" w:rsidP="005911C7">
      <w:pPr>
        <w:spacing w:after="0" w:line="276" w:lineRule="auto"/>
      </w:pPr>
      <w:r w:rsidRPr="005911C7">
        <w:rPr>
          <w:i/>
          <w:iCs/>
        </w:rPr>
        <w:t>Security and privacy controls for information systems and organizations</w:t>
      </w:r>
      <w:r w:rsidRPr="005911C7">
        <w:t xml:space="preserve">. (2020). </w:t>
      </w:r>
      <w:hyperlink r:id="rId10" w:history="1">
        <w:r w:rsidRPr="005911C7">
          <w:rPr>
            <w:rStyle w:val="Hyperlink"/>
          </w:rPr>
          <w:t>https://doi.org/10.6028/nist.sp.800-53r5</w:t>
        </w:r>
      </w:hyperlink>
    </w:p>
    <w:p w14:paraId="7B454782" w14:textId="77777777" w:rsidR="005911C7" w:rsidRPr="005911C7" w:rsidRDefault="005911C7" w:rsidP="005911C7">
      <w:pPr>
        <w:spacing w:after="0" w:line="276" w:lineRule="auto"/>
      </w:pPr>
    </w:p>
    <w:p w14:paraId="7C28DCC6" w14:textId="77777777" w:rsidR="005911C7" w:rsidRPr="005911C7" w:rsidRDefault="005911C7" w:rsidP="005911C7">
      <w:pPr>
        <w:spacing w:after="0" w:line="276" w:lineRule="auto"/>
      </w:pPr>
    </w:p>
    <w:p w14:paraId="32215B7B" w14:textId="77777777" w:rsidR="00C83AF7" w:rsidRPr="00C83AF7" w:rsidRDefault="00C83AF7" w:rsidP="00215DD1">
      <w:pPr>
        <w:spacing w:after="0" w:line="276" w:lineRule="auto"/>
      </w:pPr>
    </w:p>
    <w:sectPr w:rsidR="00C83AF7" w:rsidRPr="00C83AF7" w:rsidSect="007C0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0158F"/>
    <w:multiLevelType w:val="multilevel"/>
    <w:tmpl w:val="9C8C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76EA2"/>
    <w:multiLevelType w:val="multilevel"/>
    <w:tmpl w:val="FA4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C47A7"/>
    <w:multiLevelType w:val="multilevel"/>
    <w:tmpl w:val="1598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328CA"/>
    <w:multiLevelType w:val="multilevel"/>
    <w:tmpl w:val="2500D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02D7F"/>
    <w:multiLevelType w:val="multilevel"/>
    <w:tmpl w:val="200C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B291F"/>
    <w:multiLevelType w:val="multilevel"/>
    <w:tmpl w:val="6A0C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415242">
    <w:abstractNumId w:val="4"/>
  </w:num>
  <w:num w:numId="2" w16cid:durableId="1506552179">
    <w:abstractNumId w:val="5"/>
  </w:num>
  <w:num w:numId="3" w16cid:durableId="87238729">
    <w:abstractNumId w:val="1"/>
  </w:num>
  <w:num w:numId="4" w16cid:durableId="1441992685">
    <w:abstractNumId w:val="2"/>
  </w:num>
  <w:num w:numId="5" w16cid:durableId="98255969">
    <w:abstractNumId w:val="0"/>
  </w:num>
  <w:num w:numId="6" w16cid:durableId="136724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29"/>
    <w:rsid w:val="00192373"/>
    <w:rsid w:val="00215DD1"/>
    <w:rsid w:val="003B4C1A"/>
    <w:rsid w:val="00553229"/>
    <w:rsid w:val="005911C7"/>
    <w:rsid w:val="007C06FC"/>
    <w:rsid w:val="00C8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DD183"/>
  <w15:chartTrackingRefBased/>
  <w15:docId w15:val="{0D758E9E-DFCE-473A-B847-CF4A1C3F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3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3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229"/>
    <w:rPr>
      <w:rFonts w:eastAsiaTheme="majorEastAsia" w:cstheme="majorBidi"/>
      <w:color w:val="272727" w:themeColor="text1" w:themeTint="D8"/>
    </w:rPr>
  </w:style>
  <w:style w:type="paragraph" w:styleId="Title">
    <w:name w:val="Title"/>
    <w:basedOn w:val="Normal"/>
    <w:next w:val="Normal"/>
    <w:link w:val="TitleChar"/>
    <w:uiPriority w:val="10"/>
    <w:qFormat/>
    <w:rsid w:val="00553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229"/>
    <w:pPr>
      <w:spacing w:before="160"/>
      <w:jc w:val="center"/>
    </w:pPr>
    <w:rPr>
      <w:i/>
      <w:iCs/>
      <w:color w:val="404040" w:themeColor="text1" w:themeTint="BF"/>
    </w:rPr>
  </w:style>
  <w:style w:type="character" w:customStyle="1" w:styleId="QuoteChar">
    <w:name w:val="Quote Char"/>
    <w:basedOn w:val="DefaultParagraphFont"/>
    <w:link w:val="Quote"/>
    <w:uiPriority w:val="29"/>
    <w:rsid w:val="00553229"/>
    <w:rPr>
      <w:i/>
      <w:iCs/>
      <w:color w:val="404040" w:themeColor="text1" w:themeTint="BF"/>
    </w:rPr>
  </w:style>
  <w:style w:type="paragraph" w:styleId="ListParagraph">
    <w:name w:val="List Paragraph"/>
    <w:basedOn w:val="Normal"/>
    <w:uiPriority w:val="34"/>
    <w:qFormat/>
    <w:rsid w:val="00553229"/>
    <w:pPr>
      <w:ind w:left="720"/>
      <w:contextualSpacing/>
    </w:pPr>
  </w:style>
  <w:style w:type="character" w:styleId="IntenseEmphasis">
    <w:name w:val="Intense Emphasis"/>
    <w:basedOn w:val="DefaultParagraphFont"/>
    <w:uiPriority w:val="21"/>
    <w:qFormat/>
    <w:rsid w:val="00553229"/>
    <w:rPr>
      <w:i/>
      <w:iCs/>
      <w:color w:val="0F4761" w:themeColor="accent1" w:themeShade="BF"/>
    </w:rPr>
  </w:style>
  <w:style w:type="paragraph" w:styleId="IntenseQuote">
    <w:name w:val="Intense Quote"/>
    <w:basedOn w:val="Normal"/>
    <w:next w:val="Normal"/>
    <w:link w:val="IntenseQuoteChar"/>
    <w:uiPriority w:val="30"/>
    <w:qFormat/>
    <w:rsid w:val="00553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229"/>
    <w:rPr>
      <w:i/>
      <w:iCs/>
      <w:color w:val="0F4761" w:themeColor="accent1" w:themeShade="BF"/>
    </w:rPr>
  </w:style>
  <w:style w:type="character" w:styleId="IntenseReference">
    <w:name w:val="Intense Reference"/>
    <w:basedOn w:val="DefaultParagraphFont"/>
    <w:uiPriority w:val="32"/>
    <w:qFormat/>
    <w:rsid w:val="00553229"/>
    <w:rPr>
      <w:b/>
      <w:bCs/>
      <w:smallCaps/>
      <w:color w:val="0F4761" w:themeColor="accent1" w:themeShade="BF"/>
      <w:spacing w:val="5"/>
    </w:rPr>
  </w:style>
  <w:style w:type="table" w:styleId="TableGrid">
    <w:name w:val="Table Grid"/>
    <w:basedOn w:val="TableNormal"/>
    <w:uiPriority w:val="39"/>
    <w:rsid w:val="00215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3AF7"/>
    <w:rPr>
      <w:color w:val="467886" w:themeColor="hyperlink"/>
      <w:u w:val="single"/>
    </w:rPr>
  </w:style>
  <w:style w:type="character" w:styleId="UnresolvedMention">
    <w:name w:val="Unresolved Mention"/>
    <w:basedOn w:val="DefaultParagraphFont"/>
    <w:uiPriority w:val="99"/>
    <w:semiHidden/>
    <w:unhideWhenUsed/>
    <w:rsid w:val="00C83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1925">
      <w:bodyDiv w:val="1"/>
      <w:marLeft w:val="0"/>
      <w:marRight w:val="0"/>
      <w:marTop w:val="0"/>
      <w:marBottom w:val="0"/>
      <w:divBdr>
        <w:top w:val="none" w:sz="0" w:space="0" w:color="auto"/>
        <w:left w:val="none" w:sz="0" w:space="0" w:color="auto"/>
        <w:bottom w:val="none" w:sz="0" w:space="0" w:color="auto"/>
        <w:right w:val="none" w:sz="0" w:space="0" w:color="auto"/>
      </w:divBdr>
      <w:divsChild>
        <w:div w:id="1490294799">
          <w:marLeft w:val="-720"/>
          <w:marRight w:val="0"/>
          <w:marTop w:val="0"/>
          <w:marBottom w:val="0"/>
          <w:divBdr>
            <w:top w:val="none" w:sz="0" w:space="0" w:color="auto"/>
            <w:left w:val="none" w:sz="0" w:space="0" w:color="auto"/>
            <w:bottom w:val="none" w:sz="0" w:space="0" w:color="auto"/>
            <w:right w:val="none" w:sz="0" w:space="0" w:color="auto"/>
          </w:divBdr>
        </w:div>
      </w:divsChild>
    </w:div>
    <w:div w:id="26876479">
      <w:bodyDiv w:val="1"/>
      <w:marLeft w:val="0"/>
      <w:marRight w:val="0"/>
      <w:marTop w:val="0"/>
      <w:marBottom w:val="0"/>
      <w:divBdr>
        <w:top w:val="none" w:sz="0" w:space="0" w:color="auto"/>
        <w:left w:val="none" w:sz="0" w:space="0" w:color="auto"/>
        <w:bottom w:val="none" w:sz="0" w:space="0" w:color="auto"/>
        <w:right w:val="none" w:sz="0" w:space="0" w:color="auto"/>
      </w:divBdr>
      <w:divsChild>
        <w:div w:id="1049190650">
          <w:marLeft w:val="-720"/>
          <w:marRight w:val="0"/>
          <w:marTop w:val="0"/>
          <w:marBottom w:val="0"/>
          <w:divBdr>
            <w:top w:val="none" w:sz="0" w:space="0" w:color="auto"/>
            <w:left w:val="none" w:sz="0" w:space="0" w:color="auto"/>
            <w:bottom w:val="none" w:sz="0" w:space="0" w:color="auto"/>
            <w:right w:val="none" w:sz="0" w:space="0" w:color="auto"/>
          </w:divBdr>
        </w:div>
      </w:divsChild>
    </w:div>
    <w:div w:id="55444964">
      <w:bodyDiv w:val="1"/>
      <w:marLeft w:val="0"/>
      <w:marRight w:val="0"/>
      <w:marTop w:val="0"/>
      <w:marBottom w:val="0"/>
      <w:divBdr>
        <w:top w:val="none" w:sz="0" w:space="0" w:color="auto"/>
        <w:left w:val="none" w:sz="0" w:space="0" w:color="auto"/>
        <w:bottom w:val="none" w:sz="0" w:space="0" w:color="auto"/>
        <w:right w:val="none" w:sz="0" w:space="0" w:color="auto"/>
      </w:divBdr>
    </w:div>
    <w:div w:id="374504325">
      <w:bodyDiv w:val="1"/>
      <w:marLeft w:val="0"/>
      <w:marRight w:val="0"/>
      <w:marTop w:val="0"/>
      <w:marBottom w:val="0"/>
      <w:divBdr>
        <w:top w:val="none" w:sz="0" w:space="0" w:color="auto"/>
        <w:left w:val="none" w:sz="0" w:space="0" w:color="auto"/>
        <w:bottom w:val="none" w:sz="0" w:space="0" w:color="auto"/>
        <w:right w:val="none" w:sz="0" w:space="0" w:color="auto"/>
      </w:divBdr>
    </w:div>
    <w:div w:id="567227089">
      <w:bodyDiv w:val="1"/>
      <w:marLeft w:val="0"/>
      <w:marRight w:val="0"/>
      <w:marTop w:val="0"/>
      <w:marBottom w:val="0"/>
      <w:divBdr>
        <w:top w:val="none" w:sz="0" w:space="0" w:color="auto"/>
        <w:left w:val="none" w:sz="0" w:space="0" w:color="auto"/>
        <w:bottom w:val="none" w:sz="0" w:space="0" w:color="auto"/>
        <w:right w:val="none" w:sz="0" w:space="0" w:color="auto"/>
      </w:divBdr>
      <w:divsChild>
        <w:div w:id="1169709213">
          <w:marLeft w:val="-720"/>
          <w:marRight w:val="0"/>
          <w:marTop w:val="0"/>
          <w:marBottom w:val="0"/>
          <w:divBdr>
            <w:top w:val="none" w:sz="0" w:space="0" w:color="auto"/>
            <w:left w:val="none" w:sz="0" w:space="0" w:color="auto"/>
            <w:bottom w:val="none" w:sz="0" w:space="0" w:color="auto"/>
            <w:right w:val="none" w:sz="0" w:space="0" w:color="auto"/>
          </w:divBdr>
        </w:div>
      </w:divsChild>
    </w:div>
    <w:div w:id="576523542">
      <w:bodyDiv w:val="1"/>
      <w:marLeft w:val="0"/>
      <w:marRight w:val="0"/>
      <w:marTop w:val="0"/>
      <w:marBottom w:val="0"/>
      <w:divBdr>
        <w:top w:val="none" w:sz="0" w:space="0" w:color="auto"/>
        <w:left w:val="none" w:sz="0" w:space="0" w:color="auto"/>
        <w:bottom w:val="none" w:sz="0" w:space="0" w:color="auto"/>
        <w:right w:val="none" w:sz="0" w:space="0" w:color="auto"/>
      </w:divBdr>
      <w:divsChild>
        <w:div w:id="604773275">
          <w:marLeft w:val="-720"/>
          <w:marRight w:val="0"/>
          <w:marTop w:val="0"/>
          <w:marBottom w:val="0"/>
          <w:divBdr>
            <w:top w:val="none" w:sz="0" w:space="0" w:color="auto"/>
            <w:left w:val="none" w:sz="0" w:space="0" w:color="auto"/>
            <w:bottom w:val="none" w:sz="0" w:space="0" w:color="auto"/>
            <w:right w:val="none" w:sz="0" w:space="0" w:color="auto"/>
          </w:divBdr>
        </w:div>
      </w:divsChild>
    </w:div>
    <w:div w:id="635334866">
      <w:bodyDiv w:val="1"/>
      <w:marLeft w:val="0"/>
      <w:marRight w:val="0"/>
      <w:marTop w:val="0"/>
      <w:marBottom w:val="0"/>
      <w:divBdr>
        <w:top w:val="none" w:sz="0" w:space="0" w:color="auto"/>
        <w:left w:val="none" w:sz="0" w:space="0" w:color="auto"/>
        <w:bottom w:val="none" w:sz="0" w:space="0" w:color="auto"/>
        <w:right w:val="none" w:sz="0" w:space="0" w:color="auto"/>
      </w:divBdr>
    </w:div>
    <w:div w:id="649866001">
      <w:bodyDiv w:val="1"/>
      <w:marLeft w:val="0"/>
      <w:marRight w:val="0"/>
      <w:marTop w:val="0"/>
      <w:marBottom w:val="0"/>
      <w:divBdr>
        <w:top w:val="none" w:sz="0" w:space="0" w:color="auto"/>
        <w:left w:val="none" w:sz="0" w:space="0" w:color="auto"/>
        <w:bottom w:val="none" w:sz="0" w:space="0" w:color="auto"/>
        <w:right w:val="none" w:sz="0" w:space="0" w:color="auto"/>
      </w:divBdr>
      <w:divsChild>
        <w:div w:id="697004838">
          <w:marLeft w:val="-720"/>
          <w:marRight w:val="0"/>
          <w:marTop w:val="0"/>
          <w:marBottom w:val="0"/>
          <w:divBdr>
            <w:top w:val="none" w:sz="0" w:space="0" w:color="auto"/>
            <w:left w:val="none" w:sz="0" w:space="0" w:color="auto"/>
            <w:bottom w:val="none" w:sz="0" w:space="0" w:color="auto"/>
            <w:right w:val="none" w:sz="0" w:space="0" w:color="auto"/>
          </w:divBdr>
        </w:div>
      </w:divsChild>
    </w:div>
    <w:div w:id="737246328">
      <w:bodyDiv w:val="1"/>
      <w:marLeft w:val="0"/>
      <w:marRight w:val="0"/>
      <w:marTop w:val="0"/>
      <w:marBottom w:val="0"/>
      <w:divBdr>
        <w:top w:val="none" w:sz="0" w:space="0" w:color="auto"/>
        <w:left w:val="none" w:sz="0" w:space="0" w:color="auto"/>
        <w:bottom w:val="none" w:sz="0" w:space="0" w:color="auto"/>
        <w:right w:val="none" w:sz="0" w:space="0" w:color="auto"/>
      </w:divBdr>
    </w:div>
    <w:div w:id="739256475">
      <w:bodyDiv w:val="1"/>
      <w:marLeft w:val="0"/>
      <w:marRight w:val="0"/>
      <w:marTop w:val="0"/>
      <w:marBottom w:val="0"/>
      <w:divBdr>
        <w:top w:val="none" w:sz="0" w:space="0" w:color="auto"/>
        <w:left w:val="none" w:sz="0" w:space="0" w:color="auto"/>
        <w:bottom w:val="none" w:sz="0" w:space="0" w:color="auto"/>
        <w:right w:val="none" w:sz="0" w:space="0" w:color="auto"/>
      </w:divBdr>
      <w:divsChild>
        <w:div w:id="262760059">
          <w:marLeft w:val="-720"/>
          <w:marRight w:val="0"/>
          <w:marTop w:val="0"/>
          <w:marBottom w:val="0"/>
          <w:divBdr>
            <w:top w:val="none" w:sz="0" w:space="0" w:color="auto"/>
            <w:left w:val="none" w:sz="0" w:space="0" w:color="auto"/>
            <w:bottom w:val="none" w:sz="0" w:space="0" w:color="auto"/>
            <w:right w:val="none" w:sz="0" w:space="0" w:color="auto"/>
          </w:divBdr>
        </w:div>
      </w:divsChild>
    </w:div>
    <w:div w:id="765154610">
      <w:bodyDiv w:val="1"/>
      <w:marLeft w:val="0"/>
      <w:marRight w:val="0"/>
      <w:marTop w:val="0"/>
      <w:marBottom w:val="0"/>
      <w:divBdr>
        <w:top w:val="none" w:sz="0" w:space="0" w:color="auto"/>
        <w:left w:val="none" w:sz="0" w:space="0" w:color="auto"/>
        <w:bottom w:val="none" w:sz="0" w:space="0" w:color="auto"/>
        <w:right w:val="none" w:sz="0" w:space="0" w:color="auto"/>
      </w:divBdr>
      <w:divsChild>
        <w:div w:id="175199092">
          <w:marLeft w:val="-720"/>
          <w:marRight w:val="0"/>
          <w:marTop w:val="0"/>
          <w:marBottom w:val="0"/>
          <w:divBdr>
            <w:top w:val="none" w:sz="0" w:space="0" w:color="auto"/>
            <w:left w:val="none" w:sz="0" w:space="0" w:color="auto"/>
            <w:bottom w:val="none" w:sz="0" w:space="0" w:color="auto"/>
            <w:right w:val="none" w:sz="0" w:space="0" w:color="auto"/>
          </w:divBdr>
        </w:div>
      </w:divsChild>
    </w:div>
    <w:div w:id="796799047">
      <w:bodyDiv w:val="1"/>
      <w:marLeft w:val="0"/>
      <w:marRight w:val="0"/>
      <w:marTop w:val="0"/>
      <w:marBottom w:val="0"/>
      <w:divBdr>
        <w:top w:val="none" w:sz="0" w:space="0" w:color="auto"/>
        <w:left w:val="none" w:sz="0" w:space="0" w:color="auto"/>
        <w:bottom w:val="none" w:sz="0" w:space="0" w:color="auto"/>
        <w:right w:val="none" w:sz="0" w:space="0" w:color="auto"/>
      </w:divBdr>
      <w:divsChild>
        <w:div w:id="40443437">
          <w:marLeft w:val="-720"/>
          <w:marRight w:val="0"/>
          <w:marTop w:val="0"/>
          <w:marBottom w:val="0"/>
          <w:divBdr>
            <w:top w:val="none" w:sz="0" w:space="0" w:color="auto"/>
            <w:left w:val="none" w:sz="0" w:space="0" w:color="auto"/>
            <w:bottom w:val="none" w:sz="0" w:space="0" w:color="auto"/>
            <w:right w:val="none" w:sz="0" w:space="0" w:color="auto"/>
          </w:divBdr>
        </w:div>
      </w:divsChild>
    </w:div>
    <w:div w:id="850143536">
      <w:bodyDiv w:val="1"/>
      <w:marLeft w:val="0"/>
      <w:marRight w:val="0"/>
      <w:marTop w:val="0"/>
      <w:marBottom w:val="0"/>
      <w:divBdr>
        <w:top w:val="none" w:sz="0" w:space="0" w:color="auto"/>
        <w:left w:val="none" w:sz="0" w:space="0" w:color="auto"/>
        <w:bottom w:val="none" w:sz="0" w:space="0" w:color="auto"/>
        <w:right w:val="none" w:sz="0" w:space="0" w:color="auto"/>
      </w:divBdr>
    </w:div>
    <w:div w:id="901865091">
      <w:bodyDiv w:val="1"/>
      <w:marLeft w:val="0"/>
      <w:marRight w:val="0"/>
      <w:marTop w:val="0"/>
      <w:marBottom w:val="0"/>
      <w:divBdr>
        <w:top w:val="none" w:sz="0" w:space="0" w:color="auto"/>
        <w:left w:val="none" w:sz="0" w:space="0" w:color="auto"/>
        <w:bottom w:val="none" w:sz="0" w:space="0" w:color="auto"/>
        <w:right w:val="none" w:sz="0" w:space="0" w:color="auto"/>
      </w:divBdr>
    </w:div>
    <w:div w:id="1045447411">
      <w:bodyDiv w:val="1"/>
      <w:marLeft w:val="0"/>
      <w:marRight w:val="0"/>
      <w:marTop w:val="0"/>
      <w:marBottom w:val="0"/>
      <w:divBdr>
        <w:top w:val="none" w:sz="0" w:space="0" w:color="auto"/>
        <w:left w:val="none" w:sz="0" w:space="0" w:color="auto"/>
        <w:bottom w:val="none" w:sz="0" w:space="0" w:color="auto"/>
        <w:right w:val="none" w:sz="0" w:space="0" w:color="auto"/>
      </w:divBdr>
    </w:div>
    <w:div w:id="1279265510">
      <w:bodyDiv w:val="1"/>
      <w:marLeft w:val="0"/>
      <w:marRight w:val="0"/>
      <w:marTop w:val="0"/>
      <w:marBottom w:val="0"/>
      <w:divBdr>
        <w:top w:val="none" w:sz="0" w:space="0" w:color="auto"/>
        <w:left w:val="none" w:sz="0" w:space="0" w:color="auto"/>
        <w:bottom w:val="none" w:sz="0" w:space="0" w:color="auto"/>
        <w:right w:val="none" w:sz="0" w:space="0" w:color="auto"/>
      </w:divBdr>
    </w:div>
    <w:div w:id="1389301204">
      <w:bodyDiv w:val="1"/>
      <w:marLeft w:val="0"/>
      <w:marRight w:val="0"/>
      <w:marTop w:val="0"/>
      <w:marBottom w:val="0"/>
      <w:divBdr>
        <w:top w:val="none" w:sz="0" w:space="0" w:color="auto"/>
        <w:left w:val="none" w:sz="0" w:space="0" w:color="auto"/>
        <w:bottom w:val="none" w:sz="0" w:space="0" w:color="auto"/>
        <w:right w:val="none" w:sz="0" w:space="0" w:color="auto"/>
      </w:divBdr>
    </w:div>
    <w:div w:id="1581716699">
      <w:bodyDiv w:val="1"/>
      <w:marLeft w:val="0"/>
      <w:marRight w:val="0"/>
      <w:marTop w:val="0"/>
      <w:marBottom w:val="0"/>
      <w:divBdr>
        <w:top w:val="none" w:sz="0" w:space="0" w:color="auto"/>
        <w:left w:val="none" w:sz="0" w:space="0" w:color="auto"/>
        <w:bottom w:val="none" w:sz="0" w:space="0" w:color="auto"/>
        <w:right w:val="none" w:sz="0" w:space="0" w:color="auto"/>
      </w:divBdr>
    </w:div>
    <w:div w:id="1593318211">
      <w:bodyDiv w:val="1"/>
      <w:marLeft w:val="0"/>
      <w:marRight w:val="0"/>
      <w:marTop w:val="0"/>
      <w:marBottom w:val="0"/>
      <w:divBdr>
        <w:top w:val="none" w:sz="0" w:space="0" w:color="auto"/>
        <w:left w:val="none" w:sz="0" w:space="0" w:color="auto"/>
        <w:bottom w:val="none" w:sz="0" w:space="0" w:color="auto"/>
        <w:right w:val="none" w:sz="0" w:space="0" w:color="auto"/>
      </w:divBdr>
    </w:div>
    <w:div w:id="1605766480">
      <w:bodyDiv w:val="1"/>
      <w:marLeft w:val="0"/>
      <w:marRight w:val="0"/>
      <w:marTop w:val="0"/>
      <w:marBottom w:val="0"/>
      <w:divBdr>
        <w:top w:val="none" w:sz="0" w:space="0" w:color="auto"/>
        <w:left w:val="none" w:sz="0" w:space="0" w:color="auto"/>
        <w:bottom w:val="none" w:sz="0" w:space="0" w:color="auto"/>
        <w:right w:val="none" w:sz="0" w:space="0" w:color="auto"/>
      </w:divBdr>
    </w:div>
    <w:div w:id="1687560637">
      <w:bodyDiv w:val="1"/>
      <w:marLeft w:val="0"/>
      <w:marRight w:val="0"/>
      <w:marTop w:val="0"/>
      <w:marBottom w:val="0"/>
      <w:divBdr>
        <w:top w:val="none" w:sz="0" w:space="0" w:color="auto"/>
        <w:left w:val="none" w:sz="0" w:space="0" w:color="auto"/>
        <w:bottom w:val="none" w:sz="0" w:space="0" w:color="auto"/>
        <w:right w:val="none" w:sz="0" w:space="0" w:color="auto"/>
      </w:divBdr>
    </w:div>
    <w:div w:id="1691031319">
      <w:bodyDiv w:val="1"/>
      <w:marLeft w:val="0"/>
      <w:marRight w:val="0"/>
      <w:marTop w:val="0"/>
      <w:marBottom w:val="0"/>
      <w:divBdr>
        <w:top w:val="none" w:sz="0" w:space="0" w:color="auto"/>
        <w:left w:val="none" w:sz="0" w:space="0" w:color="auto"/>
        <w:bottom w:val="none" w:sz="0" w:space="0" w:color="auto"/>
        <w:right w:val="none" w:sz="0" w:space="0" w:color="auto"/>
      </w:divBdr>
      <w:divsChild>
        <w:div w:id="1869180114">
          <w:marLeft w:val="-720"/>
          <w:marRight w:val="0"/>
          <w:marTop w:val="0"/>
          <w:marBottom w:val="0"/>
          <w:divBdr>
            <w:top w:val="none" w:sz="0" w:space="0" w:color="auto"/>
            <w:left w:val="none" w:sz="0" w:space="0" w:color="auto"/>
            <w:bottom w:val="none" w:sz="0" w:space="0" w:color="auto"/>
            <w:right w:val="none" w:sz="0" w:space="0" w:color="auto"/>
          </w:divBdr>
        </w:div>
      </w:divsChild>
    </w:div>
    <w:div w:id="1722286146">
      <w:bodyDiv w:val="1"/>
      <w:marLeft w:val="0"/>
      <w:marRight w:val="0"/>
      <w:marTop w:val="0"/>
      <w:marBottom w:val="0"/>
      <w:divBdr>
        <w:top w:val="none" w:sz="0" w:space="0" w:color="auto"/>
        <w:left w:val="none" w:sz="0" w:space="0" w:color="auto"/>
        <w:bottom w:val="none" w:sz="0" w:space="0" w:color="auto"/>
        <w:right w:val="none" w:sz="0" w:space="0" w:color="auto"/>
      </w:divBdr>
      <w:divsChild>
        <w:div w:id="434593077">
          <w:marLeft w:val="-720"/>
          <w:marRight w:val="0"/>
          <w:marTop w:val="0"/>
          <w:marBottom w:val="0"/>
          <w:divBdr>
            <w:top w:val="none" w:sz="0" w:space="0" w:color="auto"/>
            <w:left w:val="none" w:sz="0" w:space="0" w:color="auto"/>
            <w:bottom w:val="none" w:sz="0" w:space="0" w:color="auto"/>
            <w:right w:val="none" w:sz="0" w:space="0" w:color="auto"/>
          </w:divBdr>
        </w:div>
      </w:divsChild>
    </w:div>
    <w:div w:id="1791171232">
      <w:bodyDiv w:val="1"/>
      <w:marLeft w:val="0"/>
      <w:marRight w:val="0"/>
      <w:marTop w:val="0"/>
      <w:marBottom w:val="0"/>
      <w:divBdr>
        <w:top w:val="none" w:sz="0" w:space="0" w:color="auto"/>
        <w:left w:val="none" w:sz="0" w:space="0" w:color="auto"/>
        <w:bottom w:val="none" w:sz="0" w:space="0" w:color="auto"/>
        <w:right w:val="none" w:sz="0" w:space="0" w:color="auto"/>
      </w:divBdr>
    </w:div>
    <w:div w:id="1832796141">
      <w:bodyDiv w:val="1"/>
      <w:marLeft w:val="0"/>
      <w:marRight w:val="0"/>
      <w:marTop w:val="0"/>
      <w:marBottom w:val="0"/>
      <w:divBdr>
        <w:top w:val="none" w:sz="0" w:space="0" w:color="auto"/>
        <w:left w:val="none" w:sz="0" w:space="0" w:color="auto"/>
        <w:bottom w:val="none" w:sz="0" w:space="0" w:color="auto"/>
        <w:right w:val="none" w:sz="0" w:space="0" w:color="auto"/>
      </w:divBdr>
    </w:div>
    <w:div w:id="1919632425">
      <w:bodyDiv w:val="1"/>
      <w:marLeft w:val="0"/>
      <w:marRight w:val="0"/>
      <w:marTop w:val="0"/>
      <w:marBottom w:val="0"/>
      <w:divBdr>
        <w:top w:val="none" w:sz="0" w:space="0" w:color="auto"/>
        <w:left w:val="none" w:sz="0" w:space="0" w:color="auto"/>
        <w:bottom w:val="none" w:sz="0" w:space="0" w:color="auto"/>
        <w:right w:val="none" w:sz="0" w:space="0" w:color="auto"/>
      </w:divBdr>
      <w:divsChild>
        <w:div w:id="227573108">
          <w:marLeft w:val="-720"/>
          <w:marRight w:val="0"/>
          <w:marTop w:val="0"/>
          <w:marBottom w:val="0"/>
          <w:divBdr>
            <w:top w:val="none" w:sz="0" w:space="0" w:color="auto"/>
            <w:left w:val="none" w:sz="0" w:space="0" w:color="auto"/>
            <w:bottom w:val="none" w:sz="0" w:space="0" w:color="auto"/>
            <w:right w:val="none" w:sz="0" w:space="0" w:color="auto"/>
          </w:divBdr>
        </w:div>
      </w:divsChild>
    </w:div>
    <w:div w:id="1932159427">
      <w:bodyDiv w:val="1"/>
      <w:marLeft w:val="0"/>
      <w:marRight w:val="0"/>
      <w:marTop w:val="0"/>
      <w:marBottom w:val="0"/>
      <w:divBdr>
        <w:top w:val="none" w:sz="0" w:space="0" w:color="auto"/>
        <w:left w:val="none" w:sz="0" w:space="0" w:color="auto"/>
        <w:bottom w:val="none" w:sz="0" w:space="0" w:color="auto"/>
        <w:right w:val="none" w:sz="0" w:space="0" w:color="auto"/>
      </w:divBdr>
      <w:divsChild>
        <w:div w:id="164712135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a.gov/resources-tools/resources/cyber-essentials" TargetMode="External"/><Relationship Id="rId3" Type="http://schemas.openxmlformats.org/officeDocument/2006/relationships/settings" Target="settings.xml"/><Relationship Id="rId7" Type="http://schemas.openxmlformats.org/officeDocument/2006/relationships/hyperlink" Target="https://www.iso.org/obp/ui/en/#iso:std:iso-iec:27005:ed-4:v1: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6028/nist.sp.800-37r2" TargetMode="External"/><Relationship Id="rId11" Type="http://schemas.openxmlformats.org/officeDocument/2006/relationships/fontTable" Target="fontTable.xml"/><Relationship Id="rId5" Type="http://schemas.openxmlformats.org/officeDocument/2006/relationships/hyperlink" Target="https://attack.mitre.org/tactics/enterprise/" TargetMode="External"/><Relationship Id="rId10" Type="http://schemas.openxmlformats.org/officeDocument/2006/relationships/hyperlink" Target="https://doi.org/10.6028/nist.sp.800-53r5" TargetMode="External"/><Relationship Id="rId4" Type="http://schemas.openxmlformats.org/officeDocument/2006/relationships/webSettings" Target="webSettings.xml"/><Relationship Id="rId9" Type="http://schemas.openxmlformats.org/officeDocument/2006/relationships/hyperlink" Target="https://www.nist.gov/publications/framework-improving-critical-infrastructure-cybersecurity-vers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604</Words>
  <Characters>4466</Characters>
  <Application>Microsoft Office Word</Application>
  <DocSecurity>0</DocSecurity>
  <Lines>148</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cp:revision>
  <dcterms:created xsi:type="dcterms:W3CDTF">2025-01-15T00:13:00Z</dcterms:created>
  <dcterms:modified xsi:type="dcterms:W3CDTF">2025-01-15T01:08:00Z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6524f185-db2d-4c36-b6b1-771c4360c553</vt:lpwstr>
  </property>
</Properties>
</file>