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left"/>
      </w:pPr>
      <w:r>
        <w:rPr>
          <w:rFonts w:ascii="Arial" w:hAnsi="Arial"/>
          <w:b/>
          <w:color w:val="183153"/>
          <w:sz w:val="50"/>
        </w:rPr>
        <w:t>Data Pipeline Architecture</w:t>
      </w:r>
    </w:p>
    <w:p>
      <w:pPr>
        <w:spacing w:after="280"/>
      </w:pPr>
      <w:r>
        <w:rPr>
          <w:rFonts w:ascii="Arial" w:hAnsi="Arial"/>
          <w:color w:val="4B5563"/>
          <w:sz w:val="21"/>
        </w:rPr>
        <w:t>Source-specific ingestion, shared normalisation and transformations, schema-enforced JSON exports</w:t>
      </w:r>
    </w:p>
    <w:tbl>
      <w:tblPr>
        <w:tblW w:type="auto" w:w="0"/>
        <w:jc w:val="center"/>
        <w:tblLook w:firstColumn="1" w:firstRow="1" w:lastColumn="0" w:lastRow="0" w:noHBand="0" w:noVBand="1" w:val="04A0"/>
      </w:tblPr>
      <w:tblGrid>
        <w:gridCol w:w="14366"/>
      </w:tblGrid>
      <w:tr>
        <w:tc>
          <w:tcPr>
            <w:tcW w:type="dxa" w:w="14366"/>
            <w:shd w:fill="EAF2FF"/>
            <w:tcMar>
              <w:top w:w="110" w:type="dxa"/>
              <w:start w:w="130" w:type="dxa"/>
              <w:bottom w:w="110" w:type="dxa"/>
              <w:end w:w="130" w:type="dxa"/>
            </w:tcMar>
          </w:tcPr>
          <w:p>
            <w:r>
              <w:rPr>
                <w:rFonts w:ascii="Arial" w:hAnsi="Arial"/>
                <w:b/>
                <w:color w:val="183153"/>
                <w:sz w:val="19"/>
              </w:rPr>
              <w:t xml:space="preserve">Core principle: </w:t>
            </w:r>
            <w:r>
              <w:rPr>
                <w:rFonts w:ascii="Arial" w:hAnsi="Arial"/>
                <w:color w:val="1F2937"/>
                <w:sz w:val="19"/>
              </w:rPr>
              <w:t>Separate pipelines by source at the extraction boundary. Unify them only after raw data has been captured, because the reusable parts are the canonical record model, transformations, validation and export—not the API call itself.</w:t>
            </w:r>
          </w:p>
        </w:tc>
      </w:tr>
    </w:tbl>
    <w:p>
      <w:pPr>
        <w:spacing w:after="40"/>
      </w:pPr>
    </w:p>
    <w:p>
      <w:pPr>
        <w:jc w:val="center"/>
      </w:pPr>
      <w:r>
        <w:drawing>
          <wp:inline xmlns:a="http://schemas.openxmlformats.org/drawingml/2006/main" xmlns:pic="http://schemas.openxmlformats.org/drawingml/2006/picture">
            <wp:extent cx="9180000" cy="2864885"/>
            <wp:docPr id="1" name="Picture 1"/>
            <wp:cNvGraphicFramePr>
              <a:graphicFrameLocks noChangeAspect="1"/>
            </wp:cNvGraphicFramePr>
            <a:graphic>
              <a:graphicData uri="http://schemas.openxmlformats.org/drawingml/2006/picture">
                <pic:pic>
                  <pic:nvPicPr>
                    <pic:cNvPr id="0" name="pipeline_architecture.png"/>
                    <pic:cNvPicPr/>
                  </pic:nvPicPr>
                  <pic:blipFill>
                    <a:blip r:embed="rId10"/>
                    <a:stretch>
                      <a:fillRect/>
                    </a:stretch>
                  </pic:blipFill>
                  <pic:spPr>
                    <a:xfrm>
                      <a:off x="0" y="0"/>
                      <a:ext cx="9180000" cy="2864885"/>
                    </a:xfrm>
                    <a:prstGeom prst="rect"/>
                  </pic:spPr>
                </pic:pic>
              </a:graphicData>
            </a:graphic>
          </wp:inline>
        </w:drawing>
      </w:r>
    </w:p>
    <w:p>
      <w:pPr>
        <w:jc w:val="center"/>
      </w:pPr>
      <w:r>
        <w:rPr>
          <w:rFonts w:ascii="Arial" w:hAnsi="Arial"/>
          <w:i/>
          <w:color w:val="4B5563"/>
          <w:sz w:val="17"/>
        </w:rPr>
        <w:t>Figure 1. End-to-end architecture for the India growth dashboard.</w:t>
      </w:r>
    </w:p>
    <w:p>
      <w:r>
        <w:br w:type="page"/>
      </w:r>
    </w:p>
    <w:p>
      <w:pPr>
        <w:pStyle w:val="Heading1"/>
      </w:pPr>
      <w:r>
        <w:t>Layer responsibilities</w:t>
      </w:r>
    </w:p>
    <w:tbl>
      <w:tblPr>
        <w:tblStyle w:val="TableGrid"/>
        <w:tblW w:type="auto" w:w="0"/>
        <w:jc w:val="center"/>
        <w:tblLook w:firstColumn="1" w:firstRow="1" w:lastColumn="0" w:lastRow="0" w:noHBand="0" w:noVBand="1" w:val="04A0"/>
      </w:tblPr>
      <w:tblGrid>
        <w:gridCol w:w="4789"/>
        <w:gridCol w:w="4789"/>
        <w:gridCol w:w="4789"/>
      </w:tblGrid>
      <w:tr>
        <w:trPr>
          <w:tblHeader w:val="true"/>
        </w:trPr>
        <w:tc>
          <w:tcPr>
            <w:tcW w:type="dxa" w:w="4789"/>
            <w:shd w:fill="183153"/>
          </w:tcPr>
          <w:p>
            <w:r>
              <w:rPr>
                <w:rFonts w:ascii="Arial" w:hAnsi="Arial"/>
                <w:b/>
                <w:color w:val="FFFFFF"/>
                <w:sz w:val="18"/>
              </w:rPr>
              <w:t>Layer</w:t>
            </w:r>
          </w:p>
        </w:tc>
        <w:tc>
          <w:tcPr>
            <w:tcW w:type="dxa" w:w="4789"/>
            <w:shd w:fill="183153"/>
          </w:tcPr>
          <w:p>
            <w:r>
              <w:rPr>
                <w:rFonts w:ascii="Arial" w:hAnsi="Arial"/>
                <w:b/>
                <w:color w:val="FFFFFF"/>
                <w:sz w:val="18"/>
              </w:rPr>
              <w:t>Responsibility</w:t>
            </w:r>
          </w:p>
        </w:tc>
        <w:tc>
          <w:tcPr>
            <w:tcW w:type="dxa" w:w="4789"/>
            <w:shd w:fill="183153"/>
          </w:tcPr>
          <w:p>
            <w:r>
              <w:rPr>
                <w:rFonts w:ascii="Arial" w:hAnsi="Arial"/>
                <w:b/>
                <w:color w:val="FFFFFF"/>
                <w:sz w:val="18"/>
              </w:rPr>
              <w:t>Non-negotiable outputs</w:t>
            </w:r>
          </w:p>
        </w:tc>
      </w:tr>
      <w:tr>
        <w:tc>
          <w:tcPr>
            <w:tcW w:type="dxa" w:w="4789"/>
            <w:tcMar>
              <w:top w:w="85" w:type="dxa"/>
              <w:start w:w="100" w:type="dxa"/>
              <w:bottom w:w="85" w:type="dxa"/>
              <w:end w:w="100" w:type="dxa"/>
            </w:tcMar>
          </w:tcPr>
          <w:p>
            <w:r>
              <w:rPr>
                <w:rFonts w:ascii="Arial" w:hAnsi="Arial"/>
                <w:b/>
                <w:color w:val="1F2937"/>
                <w:sz w:val="17"/>
              </w:rPr>
              <w:t>Indicator registry</w:t>
            </w:r>
          </w:p>
        </w:tc>
        <w:tc>
          <w:tcPr>
            <w:tcW w:type="dxa" w:w="4789"/>
            <w:tcMar>
              <w:top w:w="85" w:type="dxa"/>
              <w:start w:w="100" w:type="dxa"/>
              <w:bottom w:w="85" w:type="dxa"/>
              <w:end w:w="100" w:type="dxa"/>
            </w:tcMar>
          </w:tcPr>
          <w:p>
            <w:r>
              <w:rPr>
                <w:rFonts w:ascii="Arial" w:hAnsi="Arial"/>
                <w:b w:val="0"/>
                <w:color w:val="1F2937"/>
                <w:sz w:val="17"/>
              </w:rPr>
              <w:t>Single source of truth for definitions, source IDs, frequency, units, transformations, peer set and output schema.</w:t>
            </w:r>
          </w:p>
        </w:tc>
        <w:tc>
          <w:tcPr>
            <w:tcW w:type="dxa" w:w="4789"/>
            <w:tcMar>
              <w:top w:w="85" w:type="dxa"/>
              <w:start w:w="100" w:type="dxa"/>
              <w:bottom w:w="85" w:type="dxa"/>
              <w:end w:w="100" w:type="dxa"/>
            </w:tcMar>
          </w:tcPr>
          <w:p>
            <w:r>
              <w:rPr>
                <w:rFonts w:ascii="Arial" w:hAnsi="Arial"/>
                <w:b w:val="0"/>
                <w:color w:val="1F2937"/>
                <w:sz w:val="17"/>
              </w:rPr>
              <w:t>Stable indicator key; source and methodology notes; expected schema filename.</w:t>
            </w:r>
          </w:p>
        </w:tc>
      </w:tr>
      <w:tr>
        <w:tc>
          <w:tcPr>
            <w:tcW w:type="dxa" w:w="4789"/>
            <w:tcMar>
              <w:top w:w="85" w:type="dxa"/>
              <w:start w:w="100" w:type="dxa"/>
              <w:bottom w:w="85" w:type="dxa"/>
              <w:end w:w="100" w:type="dxa"/>
            </w:tcMar>
          </w:tcPr>
          <w:p>
            <w:r>
              <w:rPr>
                <w:rFonts w:ascii="Arial" w:hAnsi="Arial"/>
                <w:b/>
                <w:color w:val="1F2937"/>
                <w:sz w:val="17"/>
              </w:rPr>
              <w:t>Source extractors</w:t>
            </w:r>
          </w:p>
        </w:tc>
        <w:tc>
          <w:tcPr>
            <w:tcW w:type="dxa" w:w="4789"/>
            <w:tcMar>
              <w:top w:w="85" w:type="dxa"/>
              <w:start w:w="100" w:type="dxa"/>
              <w:bottom w:w="85" w:type="dxa"/>
              <w:end w:w="100" w:type="dxa"/>
            </w:tcMar>
          </w:tcPr>
          <w:p>
            <w:r>
              <w:rPr>
                <w:rFonts w:ascii="Arial" w:hAnsi="Arial"/>
                <w:b w:val="0"/>
                <w:color w:val="1F2937"/>
                <w:sz w:val="17"/>
              </w:rPr>
              <w:t>Handle provider-specific HTTP sessions, headers, pagination, spreadsheets, API parameters, date parsing, caching and retries.</w:t>
            </w:r>
          </w:p>
        </w:tc>
        <w:tc>
          <w:tcPr>
            <w:tcW w:type="dxa" w:w="4789"/>
            <w:tcMar>
              <w:top w:w="85" w:type="dxa"/>
              <w:start w:w="100" w:type="dxa"/>
              <w:bottom w:w="85" w:type="dxa"/>
              <w:end w:w="100" w:type="dxa"/>
            </w:tcMar>
          </w:tcPr>
          <w:p>
            <w:r>
              <w:rPr>
                <w:rFonts w:ascii="Arial" w:hAnsi="Arial"/>
                <w:b w:val="0"/>
                <w:color w:val="1F2937"/>
                <w:sz w:val="17"/>
              </w:rPr>
              <w:t>Raw payload/file plus retrieval timestamp and source URL.</w:t>
            </w:r>
          </w:p>
        </w:tc>
      </w:tr>
      <w:tr>
        <w:tc>
          <w:tcPr>
            <w:tcW w:type="dxa" w:w="4789"/>
            <w:tcMar>
              <w:top w:w="85" w:type="dxa"/>
              <w:start w:w="100" w:type="dxa"/>
              <w:bottom w:w="85" w:type="dxa"/>
              <w:end w:w="100" w:type="dxa"/>
            </w:tcMar>
          </w:tcPr>
          <w:p>
            <w:r>
              <w:rPr>
                <w:rFonts w:ascii="Arial" w:hAnsi="Arial"/>
                <w:b/>
                <w:color w:val="1F2937"/>
                <w:sz w:val="17"/>
              </w:rPr>
              <w:t>Raw landing zone</w:t>
            </w:r>
          </w:p>
        </w:tc>
        <w:tc>
          <w:tcPr>
            <w:tcW w:type="dxa" w:w="4789"/>
            <w:tcMar>
              <w:top w:w="85" w:type="dxa"/>
              <w:start w:w="100" w:type="dxa"/>
              <w:bottom w:w="85" w:type="dxa"/>
              <w:end w:w="100" w:type="dxa"/>
            </w:tcMar>
          </w:tcPr>
          <w:p>
            <w:r>
              <w:rPr>
                <w:rFonts w:ascii="Arial" w:hAnsi="Arial"/>
                <w:b w:val="0"/>
                <w:color w:val="1F2937"/>
                <w:sz w:val="17"/>
              </w:rPr>
              <w:t>Preserve source material before cleaning so transformations are reproducible and changes can be audited.</w:t>
            </w:r>
          </w:p>
        </w:tc>
        <w:tc>
          <w:tcPr>
            <w:tcW w:type="dxa" w:w="4789"/>
            <w:tcMar>
              <w:top w:w="85" w:type="dxa"/>
              <w:start w:w="100" w:type="dxa"/>
              <w:bottom w:w="85" w:type="dxa"/>
              <w:end w:w="100" w:type="dxa"/>
            </w:tcMar>
          </w:tcPr>
          <w:p>
            <w:r>
              <w:rPr>
                <w:rFonts w:ascii="Arial" w:hAnsi="Arial"/>
                <w:b w:val="0"/>
                <w:color w:val="1F2937"/>
                <w:sz w:val="17"/>
              </w:rPr>
              <w:t>Immutable date-stamped raw files; checksum; extraction log.</w:t>
            </w:r>
          </w:p>
        </w:tc>
      </w:tr>
      <w:tr>
        <w:tc>
          <w:tcPr>
            <w:tcW w:type="dxa" w:w="4789"/>
            <w:tcMar>
              <w:top w:w="85" w:type="dxa"/>
              <w:start w:w="100" w:type="dxa"/>
              <w:bottom w:w="85" w:type="dxa"/>
              <w:end w:w="100" w:type="dxa"/>
            </w:tcMar>
          </w:tcPr>
          <w:p>
            <w:r>
              <w:rPr>
                <w:rFonts w:ascii="Arial" w:hAnsi="Arial"/>
                <w:b/>
                <w:color w:val="1F2937"/>
                <w:sz w:val="17"/>
              </w:rPr>
              <w:t>Canonical normalisation</w:t>
            </w:r>
          </w:p>
        </w:tc>
        <w:tc>
          <w:tcPr>
            <w:tcW w:type="dxa" w:w="4789"/>
            <w:tcMar>
              <w:top w:w="85" w:type="dxa"/>
              <w:start w:w="100" w:type="dxa"/>
              <w:bottom w:w="85" w:type="dxa"/>
              <w:end w:w="100" w:type="dxa"/>
            </w:tcMar>
          </w:tcPr>
          <w:p>
            <w:r>
              <w:rPr>
                <w:rFonts w:ascii="Arial" w:hAnsi="Arial"/>
                <w:b w:val="0"/>
                <w:color w:val="1F2937"/>
                <w:sz w:val="17"/>
              </w:rPr>
              <w:t>Convert all sources to a shared internal record without erasing source-specific provenance.</w:t>
            </w:r>
          </w:p>
        </w:tc>
        <w:tc>
          <w:tcPr>
            <w:tcW w:type="dxa" w:w="4789"/>
            <w:tcMar>
              <w:top w:w="85" w:type="dxa"/>
              <w:start w:w="100" w:type="dxa"/>
              <w:bottom w:w="85" w:type="dxa"/>
              <w:end w:w="100" w:type="dxa"/>
            </w:tcMar>
          </w:tcPr>
          <w:p>
            <w:r>
              <w:rPr>
                <w:rFonts w:ascii="Arial" w:hAnsi="Arial"/>
                <w:b w:val="0"/>
                <w:color w:val="1F2937"/>
                <w:sz w:val="17"/>
              </w:rPr>
              <w:t>date, entity, indicator, value, unit, frequency, source, status.</w:t>
            </w:r>
          </w:p>
        </w:tc>
      </w:tr>
      <w:tr>
        <w:tc>
          <w:tcPr>
            <w:tcW w:type="dxa" w:w="4789"/>
            <w:tcMar>
              <w:top w:w="85" w:type="dxa"/>
              <w:start w:w="100" w:type="dxa"/>
              <w:bottom w:w="85" w:type="dxa"/>
              <w:end w:w="100" w:type="dxa"/>
            </w:tcMar>
          </w:tcPr>
          <w:p>
            <w:r>
              <w:rPr>
                <w:rFonts w:ascii="Arial" w:hAnsi="Arial"/>
                <w:b/>
                <w:color w:val="1F2937"/>
                <w:sz w:val="17"/>
              </w:rPr>
              <w:t>Shared transformations</w:t>
            </w:r>
          </w:p>
        </w:tc>
        <w:tc>
          <w:tcPr>
            <w:tcW w:type="dxa" w:w="4789"/>
            <w:tcMar>
              <w:top w:w="85" w:type="dxa"/>
              <w:start w:w="100" w:type="dxa"/>
              <w:bottom w:w="85" w:type="dxa"/>
              <w:end w:w="100" w:type="dxa"/>
            </w:tcMar>
          </w:tcPr>
          <w:p>
            <w:r>
              <w:rPr>
                <w:rFonts w:ascii="Arial" w:hAnsi="Arial"/>
                <w:b w:val="0"/>
                <w:color w:val="1F2937"/>
                <w:sz w:val="17"/>
              </w:rPr>
              <w:t>Apply reusable calculations such as YoY growth, ratios, rolling averages, normalised market levels, implied EPS and import cover.</w:t>
            </w:r>
          </w:p>
        </w:tc>
        <w:tc>
          <w:tcPr>
            <w:tcW w:type="dxa" w:w="4789"/>
            <w:tcMar>
              <w:top w:w="85" w:type="dxa"/>
              <w:start w:w="100" w:type="dxa"/>
              <w:bottom w:w="85" w:type="dxa"/>
              <w:end w:w="100" w:type="dxa"/>
            </w:tcMar>
          </w:tcPr>
          <w:p>
            <w:r>
              <w:rPr>
                <w:rFonts w:ascii="Arial" w:hAnsi="Arial"/>
                <w:b w:val="0"/>
                <w:color w:val="1F2937"/>
                <w:sz w:val="17"/>
              </w:rPr>
              <w:t>Derived flag; method name/version; deterministic output.</w:t>
            </w:r>
          </w:p>
        </w:tc>
      </w:tr>
      <w:tr>
        <w:tc>
          <w:tcPr>
            <w:tcW w:type="dxa" w:w="4789"/>
            <w:tcMar>
              <w:top w:w="85" w:type="dxa"/>
              <w:start w:w="100" w:type="dxa"/>
              <w:bottom w:w="85" w:type="dxa"/>
              <w:end w:w="100" w:type="dxa"/>
            </w:tcMar>
          </w:tcPr>
          <w:p>
            <w:r>
              <w:rPr>
                <w:rFonts w:ascii="Arial" w:hAnsi="Arial"/>
                <w:b/>
                <w:color w:val="1F2937"/>
                <w:sz w:val="17"/>
              </w:rPr>
              <w:t>Quality gates</w:t>
            </w:r>
          </w:p>
        </w:tc>
        <w:tc>
          <w:tcPr>
            <w:tcW w:type="dxa" w:w="4789"/>
            <w:tcMar>
              <w:top w:w="85" w:type="dxa"/>
              <w:start w:w="100" w:type="dxa"/>
              <w:bottom w:w="85" w:type="dxa"/>
              <w:end w:w="100" w:type="dxa"/>
            </w:tcMar>
          </w:tcPr>
          <w:p>
            <w:r>
              <w:rPr>
                <w:rFonts w:ascii="Arial" w:hAnsi="Arial"/>
                <w:b w:val="0"/>
                <w:color w:val="1F2937"/>
                <w:sz w:val="17"/>
              </w:rPr>
              <w:t>Detect empty series, duplicate periods, unexpected ranges, missing coverage, frequency drift and schema violations.</w:t>
            </w:r>
          </w:p>
        </w:tc>
        <w:tc>
          <w:tcPr>
            <w:tcW w:type="dxa" w:w="4789"/>
            <w:tcMar>
              <w:top w:w="85" w:type="dxa"/>
              <w:start w:w="100" w:type="dxa"/>
              <w:bottom w:w="85" w:type="dxa"/>
              <w:end w:w="100" w:type="dxa"/>
            </w:tcMar>
          </w:tcPr>
          <w:p>
            <w:r>
              <w:rPr>
                <w:rFonts w:ascii="Arial" w:hAnsi="Arial"/>
                <w:b w:val="0"/>
                <w:color w:val="1F2937"/>
                <w:sz w:val="17"/>
              </w:rPr>
              <w:t>Validation report; fail-fast exit code; no partial production overwrite.</w:t>
            </w:r>
          </w:p>
        </w:tc>
      </w:tr>
      <w:tr>
        <w:tc>
          <w:tcPr>
            <w:tcW w:type="dxa" w:w="4789"/>
            <w:tcMar>
              <w:top w:w="85" w:type="dxa"/>
              <w:start w:w="100" w:type="dxa"/>
              <w:bottom w:w="85" w:type="dxa"/>
              <w:end w:w="100" w:type="dxa"/>
            </w:tcMar>
          </w:tcPr>
          <w:p>
            <w:r>
              <w:rPr>
                <w:rFonts w:ascii="Arial" w:hAnsi="Arial"/>
                <w:b/>
                <w:color w:val="1F2937"/>
                <w:sz w:val="17"/>
              </w:rPr>
              <w:t>JSON export</w:t>
            </w:r>
          </w:p>
        </w:tc>
        <w:tc>
          <w:tcPr>
            <w:tcW w:type="dxa" w:w="4789"/>
            <w:tcMar>
              <w:top w:w="85" w:type="dxa"/>
              <w:start w:w="100" w:type="dxa"/>
              <w:bottom w:w="85" w:type="dxa"/>
              <w:end w:w="100" w:type="dxa"/>
            </w:tcMar>
          </w:tcPr>
          <w:p>
            <w:r>
              <w:rPr>
                <w:rFonts w:ascii="Arial" w:hAnsi="Arial"/>
                <w:b w:val="0"/>
                <w:color w:val="1F2937"/>
                <w:sz w:val="17"/>
              </w:rPr>
              <w:t>Serialise to the smallest suitable contract rather than one universal structure.</w:t>
            </w:r>
          </w:p>
        </w:tc>
        <w:tc>
          <w:tcPr>
            <w:tcW w:type="dxa" w:w="4789"/>
            <w:tcMar>
              <w:top w:w="85" w:type="dxa"/>
              <w:start w:w="100" w:type="dxa"/>
              <w:bottom w:w="85" w:type="dxa"/>
              <w:end w:w="100" w:type="dxa"/>
            </w:tcMar>
          </w:tcPr>
          <w:p>
            <w:r>
              <w:rPr>
                <w:rFonts w:ascii="Arial" w:hAnsi="Arial"/>
                <w:b w:val="0"/>
                <w:color w:val="1F2937"/>
                <w:sz w:val="17"/>
              </w:rPr>
              <w:t>Validated annual, dated multi-series or market-performance JSON.</w:t>
            </w:r>
          </w:p>
        </w:tc>
      </w:tr>
      <w:tr>
        <w:tc>
          <w:tcPr>
            <w:tcW w:type="dxa" w:w="4789"/>
            <w:tcMar>
              <w:top w:w="85" w:type="dxa"/>
              <w:start w:w="100" w:type="dxa"/>
              <w:bottom w:w="85" w:type="dxa"/>
              <w:end w:w="100" w:type="dxa"/>
            </w:tcMar>
          </w:tcPr>
          <w:p>
            <w:r>
              <w:rPr>
                <w:rFonts w:ascii="Arial" w:hAnsi="Arial"/>
                <w:b/>
                <w:color w:val="1F2937"/>
                <w:sz w:val="17"/>
              </w:rPr>
              <w:t>Frontend</w:t>
            </w:r>
          </w:p>
        </w:tc>
        <w:tc>
          <w:tcPr>
            <w:tcW w:type="dxa" w:w="4789"/>
            <w:tcMar>
              <w:top w:w="85" w:type="dxa"/>
              <w:start w:w="100" w:type="dxa"/>
              <w:bottom w:w="85" w:type="dxa"/>
              <w:end w:w="100" w:type="dxa"/>
            </w:tcMar>
          </w:tcPr>
          <w:p>
            <w:r>
              <w:rPr>
                <w:rFonts w:ascii="Arial" w:hAnsi="Arial"/>
                <w:b w:val="0"/>
                <w:color w:val="1F2937"/>
                <w:sz w:val="17"/>
              </w:rPr>
              <w:t>Render charts and source notes without recomputing economic definitions in JavaScript.</w:t>
            </w:r>
          </w:p>
        </w:tc>
        <w:tc>
          <w:tcPr>
            <w:tcW w:type="dxa" w:w="4789"/>
            <w:tcMar>
              <w:top w:w="85" w:type="dxa"/>
              <w:start w:w="100" w:type="dxa"/>
              <w:bottom w:w="85" w:type="dxa"/>
              <w:end w:w="100" w:type="dxa"/>
            </w:tcMar>
          </w:tcPr>
          <w:p>
            <w:r>
              <w:rPr>
                <w:rFonts w:ascii="Arial" w:hAnsi="Arial"/>
                <w:b w:val="0"/>
                <w:color w:val="1F2937"/>
                <w:sz w:val="17"/>
              </w:rPr>
              <w:t>Stable keys, explicit units, null handling and series order.</w:t>
            </w:r>
          </w:p>
        </w:tc>
      </w:tr>
    </w:tbl>
    <w:p>
      <w:r>
        <w:br w:type="page"/>
      </w:r>
    </w:p>
    <w:p>
      <w:pPr>
        <w:pStyle w:val="Heading1"/>
      </w:pPr>
      <w:r>
        <w:t>Recommended repository layout</w:t>
      </w:r>
    </w:p>
    <w:p>
      <w:pPr>
        <w:pStyle w:val="NoSpacing"/>
      </w:pPr>
      <w:r>
        <w:rPr>
          <w:rFonts w:ascii="Liberation Mono" w:hAnsi="Liberation Mono"/>
          <w:color w:val="1F2937"/>
          <w:sz w:val="16"/>
        </w:rPr>
        <w:t>scripts/</w:t>
        <w:br/>
        <w:t xml:space="preserve">  build_world_bank_series.py</w:t>
        <w:br/>
        <w:t xml:space="preserve">  build_yfinance_markets.py</w:t>
        <w:br/>
        <w:t xml:space="preserve">  build_nifty_valuations.py</w:t>
        <w:br/>
        <w:t xml:space="preserve">  build_nse_institutional_flows.py</w:t>
        <w:br/>
        <w:t xml:space="preserve">  build_rbi_series.py</w:t>
        <w:br/>
        <w:t xml:space="preserve">  build_mospi_national_accounts.py</w:t>
        <w:br/>
        <w:t xml:space="preserve">  build_mospi_cpi.py</w:t>
        <w:br/>
        <w:t xml:space="preserve">  build_mospi_plfs.py</w:t>
        <w:br/>
        <w:t xml:space="preserve">  build_union_budget_capex.py</w:t>
        <w:br/>
        <w:t xml:space="preserve">  build_aishe_series.py</w:t>
        <w:br/>
        <w:t xml:space="preserve">  build_npci_upi.py</w:t>
        <w:br/>
        <w:br/>
        <w:t>extractors/      # provider-specific I/O only</w:t>
        <w:br/>
        <w:t>transforms/      # reusable economic and market calculations</w:t>
        <w:br/>
        <w:t>validators/      # coverage, ranges and JSON Schema validation</w:t>
        <w:br/>
        <w:t>exporters/       # atomic JSON writers</w:t>
        <w:br/>
        <w:t>config/indicators.py</w:t>
        <w:br/>
        <w:t>data/raw/&lt;source&gt;/</w:t>
        <w:br/>
        <w:t>data/processed/&lt;indicator&gt;/</w:t>
      </w:r>
    </w:p>
    <w:p>
      <w:pPr>
        <w:pStyle w:val="Heading1"/>
      </w:pPr>
      <w:r>
        <w:t>Run sequence</w:t>
      </w:r>
    </w:p>
    <w:p>
      <w:pPr>
        <w:pStyle w:val="ListBullet"/>
        <w:spacing w:after="40"/>
      </w:pPr>
      <w:r>
        <w:rPr>
          <w:rFonts w:ascii="Arial" w:hAnsi="Arial"/>
          <w:color w:val="1F2937"/>
          <w:sz w:val="19"/>
        </w:rPr>
        <w:t>Load the indicator registry and resolve the source-specific job.</w:t>
      </w:r>
    </w:p>
    <w:p>
      <w:pPr>
        <w:pStyle w:val="ListBullet"/>
        <w:spacing w:after="40"/>
      </w:pPr>
      <w:r>
        <w:rPr>
          <w:rFonts w:ascii="Arial" w:hAnsi="Arial"/>
          <w:color w:val="1F2937"/>
          <w:sz w:val="19"/>
        </w:rPr>
        <w:t>Fetch and cache the source response without modifying it.</w:t>
      </w:r>
    </w:p>
    <w:p>
      <w:pPr>
        <w:pStyle w:val="ListBullet"/>
        <w:spacing w:after="40"/>
      </w:pPr>
      <w:r>
        <w:rPr>
          <w:rFonts w:ascii="Arial" w:hAnsi="Arial"/>
          <w:color w:val="1F2937"/>
          <w:sz w:val="19"/>
        </w:rPr>
        <w:t>Parse into canonical records and attach provenance and revision status.</w:t>
      </w:r>
    </w:p>
    <w:p>
      <w:pPr>
        <w:pStyle w:val="ListBullet"/>
        <w:spacing w:after="40"/>
      </w:pPr>
      <w:r>
        <w:rPr>
          <w:rFonts w:ascii="Arial" w:hAnsi="Arial"/>
          <w:color w:val="1F2937"/>
          <w:sz w:val="19"/>
        </w:rPr>
        <w:t>Apply only the transformations declared for that indicator.</w:t>
      </w:r>
    </w:p>
    <w:p>
      <w:pPr>
        <w:pStyle w:val="ListBullet"/>
        <w:spacing w:after="40"/>
      </w:pPr>
      <w:r>
        <w:rPr>
          <w:rFonts w:ascii="Arial" w:hAnsi="Arial"/>
          <w:color w:val="1F2937"/>
          <w:sz w:val="19"/>
        </w:rPr>
        <w:t>Run coverage, duplicate, range and frequency checks.</w:t>
      </w:r>
    </w:p>
    <w:p>
      <w:pPr>
        <w:pStyle w:val="ListBullet"/>
        <w:spacing w:after="40"/>
      </w:pPr>
      <w:r>
        <w:rPr>
          <w:rFonts w:ascii="Arial" w:hAnsi="Arial"/>
          <w:color w:val="1F2937"/>
          <w:sz w:val="19"/>
        </w:rPr>
        <w:t>Build the appropriate JSON object and validate it against the selected schema.</w:t>
      </w:r>
    </w:p>
    <w:p>
      <w:pPr>
        <w:pStyle w:val="ListBullet"/>
        <w:spacing w:after="40"/>
      </w:pPr>
      <w:r>
        <w:rPr>
          <w:rFonts w:ascii="Arial" w:hAnsi="Arial"/>
          <w:color w:val="1F2937"/>
          <w:sz w:val="19"/>
        </w:rPr>
        <w:t>Atomically publish the file consumed by the React frontend.</w:t>
      </w:r>
    </w:p>
    <w:p>
      <w:pPr>
        <w:pStyle w:val="Heading1"/>
      </w:pPr>
      <w:r>
        <w:t>Operational rules</w:t>
      </w:r>
    </w:p>
    <w:p>
      <w:pPr>
        <w:pStyle w:val="ListBullet"/>
        <w:spacing w:after="40"/>
      </w:pPr>
      <w:r>
        <w:rPr>
          <w:rFonts w:ascii="Arial" w:hAnsi="Arial"/>
          <w:color w:val="1F2937"/>
          <w:sz w:val="19"/>
        </w:rPr>
        <w:t>A source failure should fail only that source job; it should not corrupt unrelated indicators.</w:t>
      </w:r>
    </w:p>
    <w:p>
      <w:pPr>
        <w:pStyle w:val="ListBullet"/>
        <w:spacing w:after="40"/>
      </w:pPr>
      <w:r>
        <w:rPr>
          <w:rFonts w:ascii="Arial" w:hAnsi="Arial"/>
          <w:color w:val="1F2937"/>
          <w:sz w:val="19"/>
        </w:rPr>
        <w:t>Never overwrite the latest valid JSON with an empty or schema-invalid result.</w:t>
      </w:r>
    </w:p>
    <w:p>
      <w:pPr>
        <w:pStyle w:val="ListBullet"/>
        <w:spacing w:after="40"/>
      </w:pPr>
      <w:r>
        <w:rPr>
          <w:rFonts w:ascii="Arial" w:hAnsi="Arial"/>
          <w:color w:val="1F2937"/>
          <w:sz w:val="19"/>
        </w:rPr>
        <w:t>Persist the data vintage or status when official series are revised, provisional or budget estimates.</w:t>
      </w:r>
    </w:p>
    <w:p>
      <w:pPr>
        <w:pStyle w:val="ListBullet"/>
        <w:spacing w:after="40"/>
      </w:pPr>
      <w:r>
        <w:rPr>
          <w:rFonts w:ascii="Arial" w:hAnsi="Arial"/>
          <w:color w:val="1F2937"/>
          <w:sz w:val="19"/>
        </w:rPr>
        <w:t>Keep transformations out of extractors and out of the frontend.</w:t>
      </w:r>
    </w:p>
    <w:p>
      <w:pPr>
        <w:pStyle w:val="ListBullet"/>
        <w:spacing w:after="40"/>
      </w:pPr>
      <w:r>
        <w:rPr>
          <w:rFonts w:ascii="Arial" w:hAnsi="Arial"/>
          <w:color w:val="1F2937"/>
          <w:sz w:val="19"/>
        </w:rPr>
        <w:t>Log row counts before and after each transformation so unexpected data loss is visible.</w:t>
      </w:r>
    </w:p>
    <w:sectPr w:rsidR="00FC693F" w:rsidRPr="0006063C" w:rsidSect="00034616">
      <w:footerReference w:type="default" r:id="rId9"/>
      <w:pgSz w:w="15840" w:h="12240" w:orient="landscape"/>
      <w:pgMar w:top="680" w:right="737" w:bottom="68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India Growth Indicators Architecture Pack  |  16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1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1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15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