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pacing w:after="240"/>
      </w:pPr>
      <w:r>
        <w:rPr>
          <w:b/>
          <w:color w:val="D97706"/>
          <w:sz w:val="18"/>
          <w:szCs w:val="18"/>
        </w:rPr>
        <w:t xml:space="preserve">2026DB RESEARCH PROGRAMME</w:t>
      </w:r>
    </w:p>
    <w:p>
      <w:pPr>
        <w:pStyle w:val="Title"/>
        <w:keepNext/>
      </w:pPr>
      <w:r>
        <w:t xml:space="preserve">India’s Public CapEx Transmission</w:t>
      </w:r>
    </w:p>
    <w:p>
      <w:pPr>
        <w:pStyle w:val="Subtitle"/>
      </w:pPr>
      <w:r>
        <w:t xml:space="preserve">Economic rationale, measurement methodology, interpretation and scenario-model guide</w:t>
      </w:r>
    </w:p>
    <w:p>
      <w:pPr>
        <w:spacing w:after="320"/>
      </w:pPr>
      <w:r>
        <w:t xml:space="preserve"/>
      </w:r>
    </w:p>
    <w:p>
      <w:pPr>
        <w:keepLines/>
        <w:spacing w:before="120" w:after="160"/>
        <w:ind w:left="180"/>
        <w:pBdr>
          <w:left w:val="single" w:sz="18" w:space="10" w:color="1F4E78"/>
        </w:pBdr>
        <w:shd w:val="clear" w:color="auto" w:fill="EAF2F8"/>
      </w:pPr>
      <w:r>
        <w:rPr>
          <w:b/>
          <w:color w:val="1F4E78"/>
        </w:rPr>
        <w:t xml:space="preserve">Purpose  </w:t>
      </w:r>
      <w:r>
        <w:t xml:space="preserve">This document is for economists, research analysts and reviewers. It explains why each stage exists, how every metric is constructed, what a movement means, what it does not mean, and how the final five-year scenario model converts assumptions into conditional GDP and debt paths.</w:t>
      </w:r>
    </w:p>
    <w:tbl>
      <w:tblPr>
        <w:tblStyle w:val="ArchitectureTable"/>
        <w:tblW w:w="0" w:type="auto"/>
        <w:tblLayout w:type="fixed"/>
      </w:tblPr>
      <w:tblGrid>
        <w:gridCol w:w="2600"/>
        <w:gridCol w:w="6400"/>
      </w:tblGrid>
      <w:tr>
        <w:trPr>
          <w:tblHeader/>
          <w:cantSplit/>
        </w:trPr>
        <w:tc>
          <w:tcPr>
            <w:tcW w:w="2600" w:type="dxa"/>
            <w:shd w:val="clear" w:color="auto" w:fill="1F4E78"/>
          </w:tcPr>
          <w:p>
            <w:pPr>
              <w:pStyle w:val="TableText"/>
              <w:keepLines/>
            </w:pPr>
            <w:r>
              <w:rPr>
                <w:b/>
                <w:color w:val="FFFFFF"/>
                <w:sz w:val="18"/>
                <w:szCs w:val="18"/>
              </w:rPr>
              <w:t xml:space="preserve">Document control</w:t>
            </w:r>
          </w:p>
        </w:tc>
        <w:tc>
          <w:tcPr>
            <w:tcW w:w="6400" w:type="dxa"/>
            <w:shd w:val="clear" w:color="auto" w:fill="1F4E78"/>
          </w:tcPr>
          <w:p>
            <w:pPr>
              <w:pStyle w:val="TableText"/>
              <w:keepLines/>
            </w:pPr>
            <w:r>
              <w:rPr>
                <w:b/>
                <w:color w:val="FFFFFF"/>
                <w:sz w:val="18"/>
                <w:szCs w:val="18"/>
              </w:rPr>
              <w:t xml:space="preserve">Value</w:t>
            </w:r>
          </w:p>
        </w:tc>
      </w:tr>
      <w:tr>
        <w:trPr>
          <w:cantSplit/>
        </w:trPr>
        <w:tc>
          <w:tcPr>
            <w:tcW w:w="2600" w:type="dxa"/>
          </w:tcPr>
          <w:p>
            <w:pPr>
              <w:pStyle w:val="TableText"/>
              <w:keepLines/>
            </w:pPr>
            <w:r>
              <w:rPr>
                <w:sz w:val="18"/>
                <w:szCs w:val="18"/>
              </w:rPr>
              <w:t xml:space="preserve">Generated</w:t>
            </w:r>
          </w:p>
        </w:tc>
        <w:tc>
          <w:tcPr>
            <w:tcW w:w="6400" w:type="dxa"/>
          </w:tcPr>
          <w:p>
            <w:pPr>
              <w:pStyle w:val="TableText"/>
              <w:keepLines/>
            </w:pPr>
            <w:r>
              <w:rPr>
                <w:sz w:val="18"/>
                <w:szCs w:val="18"/>
              </w:rPr>
              <w:t xml:space="preserve">03 August 2026, 13:35 UTC</w:t>
            </w:r>
          </w:p>
        </w:tc>
      </w:tr>
      <w:tr>
        <w:trPr>
          <w:cantSplit/>
        </w:trPr>
        <w:tc>
          <w:tcPr>
            <w:tcW w:w="2600" w:type="dxa"/>
          </w:tcPr>
          <w:p>
            <w:pPr>
              <w:pStyle w:val="TableText"/>
              <w:keepLines/>
            </w:pPr>
            <w:r>
              <w:rPr>
                <w:sz w:val="18"/>
                <w:szCs w:val="18"/>
              </w:rPr>
              <w:t xml:space="preserve">Repository revision</w:t>
            </w:r>
          </w:p>
        </w:tc>
        <w:tc>
          <w:tcPr>
            <w:tcW w:w="6400" w:type="dxa"/>
          </w:tcPr>
          <w:p>
            <w:pPr>
              <w:pStyle w:val="TableText"/>
              <w:keepLines/>
            </w:pPr>
            <w:r>
              <w:rPr>
                <w:sz w:val="18"/>
                <w:szCs w:val="18"/>
              </w:rPr>
              <w:t xml:space="preserve">8ed7615</w:t>
            </w:r>
          </w:p>
        </w:tc>
      </w:tr>
      <w:tr>
        <w:trPr>
          <w:cantSplit/>
        </w:trPr>
        <w:tc>
          <w:tcPr>
            <w:tcW w:w="2600" w:type="dxa"/>
          </w:tcPr>
          <w:p>
            <w:pPr>
              <w:pStyle w:val="TableText"/>
              <w:keepLines/>
            </w:pPr>
            <w:r>
              <w:rPr>
                <w:sz w:val="18"/>
                <w:szCs w:val="18"/>
              </w:rPr>
              <w:t xml:space="preserve">Research lens</w:t>
            </w:r>
          </w:p>
        </w:tc>
        <w:tc>
          <w:tcPr>
            <w:tcW w:w="6400" w:type="dxa"/>
          </w:tcPr>
          <w:p>
            <w:pPr>
              <w:pStyle w:val="TableText"/>
              <w:keepLines/>
            </w:pPr>
            <w:r>
              <w:rPr>
                <w:sz w:val="18"/>
                <w:szCs w:val="18"/>
              </w:rPr>
              <w:t xml:space="preserve">India’s public CapEx transmission</w:t>
            </w:r>
          </w:p>
        </w:tc>
      </w:tr>
      <w:tr>
        <w:trPr>
          <w:cantSplit/>
        </w:trPr>
        <w:tc>
          <w:tcPr>
            <w:tcW w:w="2600" w:type="dxa"/>
          </w:tcPr>
          <w:p>
            <w:pPr>
              <w:pStyle w:val="TableText"/>
              <w:keepLines/>
            </w:pPr>
            <w:r>
              <w:rPr>
                <w:sz w:val="18"/>
                <w:szCs w:val="18"/>
              </w:rPr>
              <w:t xml:space="preserve">Status</w:t>
            </w:r>
          </w:p>
        </w:tc>
        <w:tc>
          <w:tcPr>
            <w:tcW w:w="6400" w:type="dxa"/>
          </w:tcPr>
          <w:p>
            <w:pPr>
              <w:pStyle w:val="TableText"/>
              <w:keepLines/>
            </w:pPr>
            <w:r>
              <w:rPr>
                <w:sz w:val="18"/>
                <w:szCs w:val="18"/>
              </w:rPr>
              <w:t xml:space="preserve">Methodology and implementation documentation</w:t>
            </w:r>
          </w:p>
        </w:tc>
      </w:tr>
      <w:tr>
        <w:trPr>
          <w:cantSplit/>
        </w:trPr>
        <w:tc>
          <w:tcPr>
            <w:tcW w:w="2600" w:type="dxa"/>
          </w:tcPr>
          <w:p>
            <w:pPr>
              <w:pStyle w:val="TableText"/>
              <w:keepLines/>
            </w:pPr>
            <w:r>
              <w:rPr>
                <w:sz w:val="18"/>
                <w:szCs w:val="18"/>
              </w:rPr>
              <w:t xml:space="preserve">Primary question</w:t>
            </w:r>
          </w:p>
        </w:tc>
        <w:tc>
          <w:tcPr>
            <w:tcW w:w="6400" w:type="dxa"/>
          </w:tcPr>
          <w:p>
            <w:pPr>
              <w:pStyle w:val="TableText"/>
              <w:keepLines/>
            </w:pPr>
            <w:r>
              <w:rPr>
                <w:sz w:val="18"/>
                <w:szCs w:val="18"/>
              </w:rPr>
              <w:t xml:space="preserve">Did India’s public CapEx push transmit into sectoral and real economic growth strongly enough to justify its fiscal cost?</w:t>
            </w:r>
          </w:p>
        </w:tc>
      </w:tr>
    </w:tbl>
    <w:p>
      <w:pPr>
        <w:spacing w:after="80"/>
      </w:pPr>
      <w:r>
        <w:t xml:space="preserve"/>
      </w:r>
    </w:p>
    <w:p>
      <w:r>
        <w:br w:type="page"/>
      </w:r>
    </w:p>
    <w:p>
      <w:pPr>
        <w:pStyle w:val="Heading1"/>
        <w:keepNext/>
      </w:pPr>
      <w:r>
        <w:t xml:space="preserve">Contents</w:t>
      </w:r>
    </w:p>
    <w:p>
      <w:r>
        <w:t xml:space="preserve">This field updates automatically when the document is opened in Microsoft Word. If it does not, select the field and choose Update Field.</w:t>
      </w:r>
    </w:p>
    <w:p>
      <w:fldSimple w:instr="TOC \o &quot;1-3&quot; \h \z \u">
        <w:r>
          <w:rPr>
            <w:color w:val="64748B"/>
          </w:rPr>
          <w:t>Update this field to generate the table of contents.</w:t>
        </w:r>
      </w:fldSimple>
    </w:p>
    <w:p>
      <w:r>
        <w:br w:type="page"/>
      </w:r>
    </w:p>
    <w:p>
      <w:pPr>
        <w:pStyle w:val="Heading1"/>
        <w:keepNext/>
      </w:pPr>
      <w:r>
        <w:t xml:space="preserve">1. Executive summary</w:t>
      </w:r>
    </w:p>
    <w:p>
      <w:r>
        <w:t xml:space="preserve">The research story asks whether a sustained increase in central-government capital expenditure has travelled through a plausible transmission chain: first into executed public spending, then into sector allocations and physical delivery, market expectations, corporate fundamentals, private investment and productive output, and finally into a fiscal position capable of sustaining the policy. The design deliberately separates these links because a larger budget is not the same thing as a completed asset, a higher equity index is not the same thing as real investment, and a growth effect is not automatically large enough to offset debt-service costs.</w:t>
      </w:r>
    </w:p>
    <w:tbl>
      <w:tblPr>
        <w:tblStyle w:val="ArchitectureTable"/>
        <w:tblW w:w="0" w:type="auto"/>
        <w:tblLayout w:type="fixed"/>
      </w:tblPr>
      <w:tblGrid>
        <w:gridCol w:w="1500"/>
        <w:gridCol w:w="2600"/>
        <w:gridCol w:w="2900"/>
        <w:gridCol w:w="2000"/>
      </w:tblGrid>
      <w:tr>
        <w:trPr>
          <w:tblHeader/>
          <w:cantSplit/>
        </w:trPr>
        <w:tc>
          <w:tcPr>
            <w:tcW w:w="1500" w:type="dxa"/>
            <w:shd w:val="clear" w:color="auto" w:fill="1F4E78"/>
          </w:tcPr>
          <w:p>
            <w:pPr>
              <w:pStyle w:val="TableText"/>
              <w:keepLines/>
            </w:pPr>
            <w:r>
              <w:rPr>
                <w:b/>
                <w:color w:val="FFFFFF"/>
                <w:sz w:val="15"/>
                <w:szCs w:val="15"/>
              </w:rPr>
              <w:t xml:space="preserve">Stage</w:t>
            </w:r>
          </w:p>
        </w:tc>
        <w:tc>
          <w:tcPr>
            <w:tcW w:w="2600" w:type="dxa"/>
            <w:shd w:val="clear" w:color="auto" w:fill="1F4E78"/>
          </w:tcPr>
          <w:p>
            <w:pPr>
              <w:pStyle w:val="TableText"/>
              <w:keepLines/>
            </w:pPr>
            <w:r>
              <w:rPr>
                <w:b/>
                <w:color w:val="FFFFFF"/>
                <w:sz w:val="15"/>
                <w:szCs w:val="15"/>
              </w:rPr>
              <w:t xml:space="preserve">Economic question</w:t>
            </w:r>
          </w:p>
        </w:tc>
        <w:tc>
          <w:tcPr>
            <w:tcW w:w="2900" w:type="dxa"/>
            <w:shd w:val="clear" w:color="auto" w:fill="1F4E78"/>
          </w:tcPr>
          <w:p>
            <w:pPr>
              <w:pStyle w:val="TableText"/>
              <w:keepLines/>
            </w:pPr>
            <w:r>
              <w:rPr>
                <w:b/>
                <w:color w:val="FFFFFF"/>
                <w:sz w:val="15"/>
                <w:szCs w:val="15"/>
              </w:rPr>
              <w:t xml:space="preserve">Principal evidence</w:t>
            </w:r>
          </w:p>
        </w:tc>
        <w:tc>
          <w:tcPr>
            <w:tcW w:w="2000" w:type="dxa"/>
            <w:shd w:val="clear" w:color="auto" w:fill="1F4E78"/>
          </w:tcPr>
          <w:p>
            <w:pPr>
              <w:pStyle w:val="TableText"/>
              <w:keepLines/>
            </w:pPr>
            <w:r>
              <w:rPr>
                <w:b/>
                <w:color w:val="FFFFFF"/>
                <w:sz w:val="15"/>
                <w:szCs w:val="15"/>
              </w:rPr>
              <w:t xml:space="preserve">Current inference</w:t>
            </w:r>
          </w:p>
        </w:tc>
      </w:tr>
      <w:tr>
        <w:trPr>
          <w:cantSplit/>
        </w:trPr>
        <w:tc>
          <w:tcPr>
            <w:tcW w:w="1500" w:type="dxa"/>
          </w:tcPr>
          <w:p>
            <w:pPr>
              <w:pStyle w:val="TableText"/>
              <w:keepLines/>
            </w:pPr>
            <w:r>
              <w:rPr>
                <w:sz w:val="15"/>
                <w:szCs w:val="15"/>
              </w:rPr>
              <w:t xml:space="preserve">1. Policy input</w:t>
            </w:r>
          </w:p>
        </w:tc>
        <w:tc>
          <w:tcPr>
            <w:tcW w:w="2600" w:type="dxa"/>
          </w:tcPr>
          <w:p>
            <w:pPr>
              <w:pStyle w:val="TableText"/>
              <w:keepLines/>
            </w:pPr>
            <w:r>
              <w:rPr>
                <w:sz w:val="15"/>
                <w:szCs w:val="15"/>
              </w:rPr>
              <w:t xml:space="preserve">Did the Centre materially increase CapEx and execute the plan?</w:t>
            </w:r>
          </w:p>
        </w:tc>
        <w:tc>
          <w:tcPr>
            <w:tcW w:w="2900" w:type="dxa"/>
          </w:tcPr>
          <w:p>
            <w:pPr>
              <w:pStyle w:val="TableText"/>
              <w:keepLines/>
            </w:pPr>
            <w:r>
              <w:rPr>
                <w:sz w:val="15"/>
                <w:szCs w:val="15"/>
              </w:rPr>
              <w:t xml:space="preserve">CapEx/GDP, expenditure share, BE–RE–actual, execution ratio</w:t>
            </w:r>
          </w:p>
        </w:tc>
        <w:tc>
          <w:tcPr>
            <w:tcW w:w="2000" w:type="dxa"/>
          </w:tcPr>
          <w:p>
            <w:pPr>
              <w:pStyle w:val="TableText"/>
              <w:keepLines/>
            </w:pPr>
            <w:r>
              <w:rPr>
                <w:sz w:val="15"/>
                <w:szCs w:val="15"/>
              </w:rPr>
              <w:t xml:space="preserve">The intensity hypothesis is classified as supported.</w:t>
            </w:r>
          </w:p>
        </w:tc>
      </w:tr>
      <w:tr>
        <w:trPr>
          <w:cantSplit/>
        </w:trPr>
        <w:tc>
          <w:tcPr>
            <w:tcW w:w="1500" w:type="dxa"/>
          </w:tcPr>
          <w:p>
            <w:pPr>
              <w:pStyle w:val="TableText"/>
              <w:keepLines/>
            </w:pPr>
            <w:r>
              <w:rPr>
                <w:sz w:val="15"/>
                <w:szCs w:val="15"/>
              </w:rPr>
              <w:t xml:space="preserve">1B. Allocation and delivery</w:t>
            </w:r>
          </w:p>
        </w:tc>
        <w:tc>
          <w:tcPr>
            <w:tcW w:w="2600" w:type="dxa"/>
          </w:tcPr>
          <w:p>
            <w:pPr>
              <w:pStyle w:val="TableText"/>
              <w:keepLines/>
            </w:pPr>
            <w:r>
              <w:rPr>
                <w:sz w:val="15"/>
                <w:szCs w:val="15"/>
              </w:rPr>
              <w:t xml:space="preserve">Where was funding directed, and did physical outputs follow?</w:t>
            </w:r>
          </w:p>
        </w:tc>
        <w:tc>
          <w:tcPr>
            <w:tcW w:w="2900" w:type="dxa"/>
          </w:tcPr>
          <w:p>
            <w:pPr>
              <w:pStyle w:val="TableText"/>
              <w:keepLines/>
            </w:pPr>
            <w:r>
              <w:rPr>
                <w:sz w:val="15"/>
                <w:szCs w:val="15"/>
              </w:rPr>
              <w:t xml:space="preserve">Roads/Railways capital BE; highway construction; railway electrification</w:t>
            </w:r>
          </w:p>
        </w:tc>
        <w:tc>
          <w:tcPr>
            <w:tcW w:w="2000" w:type="dxa"/>
          </w:tcPr>
          <w:p>
            <w:pPr>
              <w:pStyle w:val="TableText"/>
              <w:keepLines/>
            </w:pPr>
            <w:r>
              <w:rPr>
                <w:sz w:val="15"/>
                <w:szCs w:val="15"/>
              </w:rPr>
              <w:t xml:space="preserve">Budget scale and selected outputs are visible, but they are not a benefit-cost evaluation.</w:t>
            </w:r>
          </w:p>
        </w:tc>
      </w:tr>
      <w:tr>
        <w:trPr>
          <w:cantSplit/>
        </w:trPr>
        <w:tc>
          <w:tcPr>
            <w:tcW w:w="1500" w:type="dxa"/>
          </w:tcPr>
          <w:p>
            <w:pPr>
              <w:pStyle w:val="TableText"/>
              <w:keepLines/>
            </w:pPr>
            <w:r>
              <w:rPr>
                <w:sz w:val="15"/>
                <w:szCs w:val="15"/>
              </w:rPr>
              <w:t xml:space="preserve">1C. Investment quality</w:t>
            </w:r>
          </w:p>
        </w:tc>
        <w:tc>
          <w:tcPr>
            <w:tcW w:w="2600" w:type="dxa"/>
          </w:tcPr>
          <w:p>
            <w:pPr>
              <w:pStyle w:val="TableText"/>
              <w:keepLines/>
            </w:pPr>
            <w:r>
              <w:rPr>
                <w:sz w:val="15"/>
                <w:szCs w:val="15"/>
              </w:rPr>
              <w:t xml:space="preserve">Were monitored projects delivered on time and near original cost?</w:t>
            </w:r>
          </w:p>
        </w:tc>
        <w:tc>
          <w:tcPr>
            <w:tcW w:w="2900" w:type="dxa"/>
          </w:tcPr>
          <w:p>
            <w:pPr>
              <w:pStyle w:val="TableText"/>
              <w:keepLines/>
            </w:pPr>
            <w:r>
              <w:rPr>
                <w:sz w:val="15"/>
                <w:szCs w:val="15"/>
              </w:rPr>
              <w:t xml:space="preserve">Project status, delay shares and anticipated-versus-original cost</w:t>
            </w:r>
          </w:p>
        </w:tc>
        <w:tc>
          <w:tcPr>
            <w:tcW w:w="2000" w:type="dxa"/>
          </w:tcPr>
          <w:p>
            <w:pPr>
              <w:pStyle w:val="TableText"/>
              <w:keepLines/>
            </w:pPr>
            <w:r>
              <w:rPr>
                <w:sz w:val="15"/>
                <w:szCs w:val="15"/>
              </w:rPr>
              <w:t xml:space="preserve">Delivery quality is now observable by sector, subject to the 2011 coverage break.</w:t>
            </w:r>
          </w:p>
        </w:tc>
      </w:tr>
      <w:tr>
        <w:trPr>
          <w:cantSplit/>
        </w:trPr>
        <w:tc>
          <w:tcPr>
            <w:tcW w:w="1500" w:type="dxa"/>
          </w:tcPr>
          <w:p>
            <w:pPr>
              <w:pStyle w:val="TableText"/>
              <w:keepLines/>
            </w:pPr>
            <w:r>
              <w:rPr>
                <w:sz w:val="15"/>
                <w:szCs w:val="15"/>
              </w:rPr>
              <w:t xml:space="preserve">2A. Market response</w:t>
            </w:r>
          </w:p>
        </w:tc>
        <w:tc>
          <w:tcPr>
            <w:tcW w:w="2600" w:type="dxa"/>
          </w:tcPr>
          <w:p>
            <w:pPr>
              <w:pStyle w:val="TableText"/>
              <w:keepLines/>
            </w:pPr>
            <w:r>
              <w:rPr>
                <w:sz w:val="15"/>
                <w:szCs w:val="15"/>
              </w:rPr>
              <w:t xml:space="preserve">Did CapEx-sensitive sectors re-rate relative to broad and defensive markets?</w:t>
            </w:r>
          </w:p>
        </w:tc>
        <w:tc>
          <w:tcPr>
            <w:tcW w:w="2900" w:type="dxa"/>
          </w:tcPr>
          <w:p>
            <w:pPr>
              <w:pStyle w:val="TableText"/>
              <w:keepLines/>
            </w:pPr>
            <w:r>
              <w:rPr>
                <w:sz w:val="15"/>
                <w:szCs w:val="15"/>
              </w:rPr>
              <w:t xml:space="preserve">Official Nifty total-return indices</w:t>
            </w:r>
          </w:p>
        </w:tc>
        <w:tc>
          <w:tcPr>
            <w:tcW w:w="2000" w:type="dxa"/>
          </w:tcPr>
          <w:p>
            <w:pPr>
              <w:pStyle w:val="TableText"/>
              <w:keepLines/>
            </w:pPr>
            <w:r>
              <w:rPr>
                <w:sz w:val="15"/>
                <w:szCs w:val="15"/>
              </w:rPr>
              <w:t xml:space="preserve">Useful expectation evidence, not real-economy proof.</w:t>
            </w:r>
          </w:p>
        </w:tc>
      </w:tr>
      <w:tr>
        <w:trPr>
          <w:cantSplit/>
        </w:trPr>
        <w:tc>
          <w:tcPr>
            <w:tcW w:w="1500" w:type="dxa"/>
          </w:tcPr>
          <w:p>
            <w:pPr>
              <w:pStyle w:val="TableText"/>
              <w:keepLines/>
            </w:pPr>
            <w:r>
              <w:rPr>
                <w:sz w:val="15"/>
                <w:szCs w:val="15"/>
              </w:rPr>
              <w:t xml:space="preserve">2B. Timing</w:t>
            </w:r>
          </w:p>
        </w:tc>
        <w:tc>
          <w:tcPr>
            <w:tcW w:w="2600" w:type="dxa"/>
          </w:tcPr>
          <w:p>
            <w:pPr>
              <w:pStyle w:val="TableText"/>
              <w:keepLines/>
            </w:pPr>
            <w:r>
              <w:rPr>
                <w:sz w:val="15"/>
                <w:szCs w:val="15"/>
              </w:rPr>
              <w:t xml:space="preserve">Did recorded CapEx precede returns, or did markets move first?</w:t>
            </w:r>
          </w:p>
        </w:tc>
        <w:tc>
          <w:tcPr>
            <w:tcW w:w="2900" w:type="dxa"/>
          </w:tcPr>
          <w:p>
            <w:pPr>
              <w:pStyle w:val="TableText"/>
              <w:keepLines/>
            </w:pPr>
            <w:r>
              <w:rPr>
                <w:sz w:val="15"/>
                <w:szCs w:val="15"/>
              </w:rPr>
              <w:t xml:space="preserve">Lead/lag Pearson and Spearman correlations; scatter plots</w:t>
            </w:r>
          </w:p>
        </w:tc>
        <w:tc>
          <w:tcPr>
            <w:tcW w:w="2000" w:type="dxa"/>
          </w:tcPr>
          <w:p>
            <w:pPr>
              <w:pStyle w:val="TableText"/>
              <w:keepLines/>
            </w:pPr>
            <w:r>
              <w:rPr>
                <w:sz w:val="15"/>
                <w:szCs w:val="15"/>
              </w:rPr>
              <w:t xml:space="preserve">Associational and sample-limited; the forward sector hypothesis remains supported under the deterministic rule.</w:t>
            </w:r>
          </w:p>
        </w:tc>
      </w:tr>
      <w:tr>
        <w:trPr>
          <w:cantSplit/>
        </w:trPr>
        <w:tc>
          <w:tcPr>
            <w:tcW w:w="1500" w:type="dxa"/>
          </w:tcPr>
          <w:p>
            <w:pPr>
              <w:pStyle w:val="TableText"/>
              <w:keepLines/>
            </w:pPr>
            <w:r>
              <w:rPr>
                <w:sz w:val="15"/>
                <w:szCs w:val="15"/>
              </w:rPr>
              <w:t xml:space="preserve">2C. Firms</w:t>
            </w:r>
          </w:p>
        </w:tc>
        <w:tc>
          <w:tcPr>
            <w:tcW w:w="2600" w:type="dxa"/>
          </w:tcPr>
          <w:p>
            <w:pPr>
              <w:pStyle w:val="TableText"/>
              <w:keepLines/>
            </w:pPr>
            <w:r>
              <w:rPr>
                <w:sz w:val="15"/>
                <w:szCs w:val="15"/>
              </w:rPr>
              <w:t xml:space="preserve">Did the re-rating coincide with stronger business fundamentals?</w:t>
            </w:r>
          </w:p>
        </w:tc>
        <w:tc>
          <w:tcPr>
            <w:tcW w:w="2900" w:type="dxa"/>
          </w:tcPr>
          <w:p>
            <w:pPr>
              <w:pStyle w:val="TableText"/>
              <w:keepLines/>
            </w:pPr>
            <w:r>
              <w:rPr>
                <w:sz w:val="15"/>
                <w:szCs w:val="15"/>
              </w:rPr>
              <w:t xml:space="preserve">Frozen ten-company medians</w:t>
            </w:r>
          </w:p>
        </w:tc>
        <w:tc>
          <w:tcPr>
            <w:tcW w:w="2000" w:type="dxa"/>
          </w:tcPr>
          <w:p>
            <w:pPr>
              <w:pStyle w:val="TableText"/>
              <w:keepLines/>
            </w:pPr>
            <w:r>
              <w:rPr>
                <w:sz w:val="15"/>
                <w:szCs w:val="15"/>
              </w:rPr>
              <w:t xml:space="preserve">A case study that reduces size domination but does not represent the full index.</w:t>
            </w:r>
          </w:p>
        </w:tc>
      </w:tr>
      <w:tr>
        <w:trPr>
          <w:cantSplit/>
        </w:trPr>
        <w:tc>
          <w:tcPr>
            <w:tcW w:w="1500" w:type="dxa"/>
          </w:tcPr>
          <w:p>
            <w:pPr>
              <w:pStyle w:val="TableText"/>
              <w:keepLines/>
            </w:pPr>
            <w:r>
              <w:rPr>
                <w:sz w:val="15"/>
                <w:szCs w:val="15"/>
              </w:rPr>
              <w:t xml:space="preserve">2D. Conversion</w:t>
            </w:r>
          </w:p>
        </w:tc>
        <w:tc>
          <w:tcPr>
            <w:tcW w:w="2600" w:type="dxa"/>
          </w:tcPr>
          <w:p>
            <w:pPr>
              <w:pStyle w:val="TableText"/>
              <w:keepLines/>
            </w:pPr>
            <w:r>
              <w:rPr>
                <w:sz w:val="15"/>
                <w:szCs w:val="15"/>
              </w:rPr>
              <w:t xml:space="preserve">Did productive capacity and private fixed investment respond?</w:t>
            </w:r>
          </w:p>
        </w:tc>
        <w:tc>
          <w:tcPr>
            <w:tcW w:w="2900" w:type="dxa"/>
          </w:tcPr>
          <w:p>
            <w:pPr>
              <w:pStyle w:val="TableText"/>
              <w:keepLines/>
            </w:pPr>
            <w:r>
              <w:rPr>
                <w:sz w:val="15"/>
                <w:szCs w:val="15"/>
              </w:rPr>
              <w:t xml:space="preserve">Private corporate GFCF, OBICUS utilisation, capital-goods IIP</w:t>
            </w:r>
          </w:p>
        </w:tc>
        <w:tc>
          <w:tcPr>
            <w:tcW w:w="2000" w:type="dxa"/>
          </w:tcPr>
          <w:p>
            <w:pPr>
              <w:pStyle w:val="TableText"/>
              <w:keepLines/>
            </w:pPr>
            <w:r>
              <w:rPr>
                <w:sz w:val="15"/>
                <w:szCs w:val="15"/>
              </w:rPr>
              <w:t xml:space="preserve">Current aligned evidence remains inconclusive.</w:t>
            </w:r>
          </w:p>
        </w:tc>
      </w:tr>
      <w:tr>
        <w:trPr>
          <w:cantSplit/>
        </w:trPr>
        <w:tc>
          <w:tcPr>
            <w:tcW w:w="1500" w:type="dxa"/>
          </w:tcPr>
          <w:p>
            <w:pPr>
              <w:pStyle w:val="TableText"/>
              <w:keepLines/>
            </w:pPr>
            <w:r>
              <w:rPr>
                <w:sz w:val="15"/>
                <w:szCs w:val="15"/>
              </w:rPr>
              <w:t xml:space="preserve">2E. Crowding-in ladder</w:t>
            </w:r>
          </w:p>
        </w:tc>
        <w:tc>
          <w:tcPr>
            <w:tcW w:w="2600" w:type="dxa"/>
          </w:tcPr>
          <w:p>
            <w:pPr>
              <w:pStyle w:val="TableText"/>
              <w:keepLines/>
            </w:pPr>
            <w:r>
              <w:rPr>
                <w:sz w:val="15"/>
                <w:szCs w:val="15"/>
              </w:rPr>
              <w:t xml:space="preserve">Which private and production outcomes follow CapEx, and at what lag?</w:t>
            </w:r>
          </w:p>
        </w:tc>
        <w:tc>
          <w:tcPr>
            <w:tcW w:w="2900" w:type="dxa"/>
          </w:tcPr>
          <w:p>
            <w:pPr>
              <w:pStyle w:val="TableText"/>
              <w:keepLines/>
            </w:pPr>
            <w:r>
              <w:rPr>
                <w:sz w:val="15"/>
                <w:szCs w:val="15"/>
              </w:rPr>
              <w:t xml:space="preserve">Registered 0–3 year correlations with an eight-observation gate</w:t>
            </w:r>
          </w:p>
        </w:tc>
        <w:tc>
          <w:tcPr>
            <w:tcW w:w="2000" w:type="dxa"/>
          </w:tcPr>
          <w:p>
            <w:pPr>
              <w:pStyle w:val="TableText"/>
              <w:keepLines/>
            </w:pPr>
            <w:r>
              <w:rPr>
                <w:sz w:val="15"/>
                <w:szCs w:val="15"/>
              </w:rPr>
              <w:t xml:space="preserve">National private-investment samples remain insufficient; coefficients are descriptive.</w:t>
            </w:r>
          </w:p>
        </w:tc>
      </w:tr>
      <w:tr>
        <w:trPr>
          <w:cantSplit/>
        </w:trPr>
        <w:tc>
          <w:tcPr>
            <w:tcW w:w="1500" w:type="dxa"/>
          </w:tcPr>
          <w:p>
            <w:pPr>
              <w:pStyle w:val="TableText"/>
              <w:keepLines/>
            </w:pPr>
            <w:r>
              <w:rPr>
                <w:sz w:val="15"/>
                <w:szCs w:val="15"/>
              </w:rPr>
              <w:t xml:space="preserve">2F. State evaluation</w:t>
            </w:r>
          </w:p>
        </w:tc>
        <w:tc>
          <w:tcPr>
            <w:tcW w:w="2600" w:type="dxa"/>
          </w:tcPr>
          <w:p>
            <w:pPr>
              <w:pStyle w:val="TableText"/>
              <w:keepLines/>
            </w:pPr>
            <w:r>
              <w:rPr>
                <w:sz w:val="15"/>
                <w:szCs w:val="15"/>
              </w:rPr>
              <w:t xml:space="preserve">Do within-state capital-outlay changes precede real growth?</w:t>
            </w:r>
          </w:p>
        </w:tc>
        <w:tc>
          <w:tcPr>
            <w:tcW w:w="2900" w:type="dxa"/>
          </w:tcPr>
          <w:p>
            <w:pPr>
              <w:pStyle w:val="TableText"/>
              <w:keepLines/>
            </w:pPr>
            <w:r>
              <w:rPr>
                <w:sz w:val="15"/>
                <w:szCs w:val="15"/>
              </w:rPr>
              <w:t xml:space="preserve">29-state, 12-year two-way fixed-effects panel</w:t>
            </w:r>
          </w:p>
        </w:tc>
        <w:tc>
          <w:tcPr>
            <w:tcW w:w="2000" w:type="dxa"/>
          </w:tcPr>
          <w:p>
            <w:pPr>
              <w:pStyle w:val="TableText"/>
              <w:keepLines/>
            </w:pPr>
            <w:r>
              <w:rPr>
                <w:sz w:val="15"/>
                <w:szCs w:val="15"/>
              </w:rPr>
              <w:t xml:space="preserve">Eligible associational estimate; explicitly not a causal multiplier.</w:t>
            </w:r>
          </w:p>
        </w:tc>
      </w:tr>
      <w:tr>
        <w:trPr>
          <w:cantSplit/>
        </w:trPr>
        <w:tc>
          <w:tcPr>
            <w:tcW w:w="1500" w:type="dxa"/>
          </w:tcPr>
          <w:p>
            <w:pPr>
              <w:pStyle w:val="TableText"/>
              <w:keepLines/>
            </w:pPr>
            <w:r>
              <w:rPr>
                <w:sz w:val="15"/>
                <w:szCs w:val="15"/>
              </w:rPr>
              <w:t xml:space="preserve">3. Fiscal cost</w:t>
            </w:r>
          </w:p>
        </w:tc>
        <w:tc>
          <w:tcPr>
            <w:tcW w:w="2600" w:type="dxa"/>
          </w:tcPr>
          <w:p>
            <w:pPr>
              <w:pStyle w:val="TableText"/>
              <w:keepLines/>
            </w:pPr>
            <w:r>
              <w:rPr>
                <w:sz w:val="15"/>
                <w:szCs w:val="15"/>
              </w:rPr>
              <w:t xml:space="preserve">Can the strategy coexist with debt-service pressure?</w:t>
            </w:r>
          </w:p>
        </w:tc>
        <w:tc>
          <w:tcPr>
            <w:tcW w:w="2900" w:type="dxa"/>
          </w:tcPr>
          <w:p>
            <w:pPr>
              <w:pStyle w:val="TableText"/>
              <w:keepLines/>
            </w:pPr>
            <w:r>
              <w:rPr>
                <w:sz w:val="15"/>
                <w:szCs w:val="15"/>
              </w:rPr>
              <w:t xml:space="preserve">Debt/GDP, interest burden, primary balance, CapEx/interest allocation</w:t>
            </w:r>
          </w:p>
        </w:tc>
        <w:tc>
          <w:tcPr>
            <w:tcW w:w="2000" w:type="dxa"/>
          </w:tcPr>
          <w:p>
            <w:pPr>
              <w:pStyle w:val="TableText"/>
              <w:keepLines/>
            </w:pPr>
            <w:r>
              <w:rPr>
                <w:sz w:val="15"/>
                <w:szCs w:val="15"/>
              </w:rPr>
              <w:t xml:space="preserve">Current evidence is classified as partially supportive.</w:t>
            </w:r>
          </w:p>
        </w:tc>
      </w:tr>
      <w:tr>
        <w:trPr>
          <w:cantSplit/>
        </w:trPr>
        <w:tc>
          <w:tcPr>
            <w:tcW w:w="1500" w:type="dxa"/>
          </w:tcPr>
          <w:p>
            <w:pPr>
              <w:pStyle w:val="TableText"/>
              <w:keepLines/>
            </w:pPr>
            <w:r>
              <w:rPr>
                <w:sz w:val="15"/>
                <w:szCs w:val="15"/>
              </w:rPr>
              <w:t xml:space="preserve">4. Scenario lab</w:t>
            </w:r>
          </w:p>
        </w:tc>
        <w:tc>
          <w:tcPr>
            <w:tcW w:w="2600" w:type="dxa"/>
          </w:tcPr>
          <w:p>
            <w:pPr>
              <w:pStyle w:val="TableText"/>
              <w:keepLines/>
            </w:pPr>
            <w:r>
              <w:rPr>
                <w:sz w:val="15"/>
                <w:szCs w:val="15"/>
              </w:rPr>
              <w:t xml:space="preserve">Under what assumptions could more CapEx improve output without worsening debt/GDP?</w:t>
            </w:r>
          </w:p>
        </w:tc>
        <w:tc>
          <w:tcPr>
            <w:tcW w:w="2900" w:type="dxa"/>
          </w:tcPr>
          <w:p>
            <w:pPr>
              <w:pStyle w:val="TableText"/>
              <w:keepLines/>
            </w:pPr>
            <w:r>
              <w:rPr>
                <w:sz w:val="15"/>
                <w:szCs w:val="15"/>
              </w:rPr>
              <w:t xml:space="preserve">Dynamic debt baseline, uncertainty bands, sensitivity, frontier and backtest</w:t>
            </w:r>
          </w:p>
        </w:tc>
        <w:tc>
          <w:tcPr>
            <w:tcW w:w="2000" w:type="dxa"/>
          </w:tcPr>
          <w:p>
            <w:pPr>
              <w:pStyle w:val="TableText"/>
              <w:keepLines/>
            </w:pPr>
            <w:r>
              <w:rPr>
                <w:sz w:val="15"/>
                <w:szCs w:val="15"/>
              </w:rPr>
              <w:t xml:space="preserve">A reproducible conditional risk model, not an econometric forecast.</w:t>
            </w:r>
          </w:p>
        </w:tc>
      </w:tr>
    </w:tbl>
    <w:p>
      <w:pPr>
        <w:spacing w:after="80"/>
      </w:pPr>
      <w:r>
        <w:t xml:space="preserve"/>
      </w:r>
    </w:p>
    <w:p>
      <w:pPr>
        <w:keepLines/>
        <w:spacing w:before="120" w:after="160"/>
        <w:ind w:left="180"/>
        <w:pBdr>
          <w:left w:val="single" w:sz="18" w:space="10" w:color="A33D4A"/>
        </w:pBdr>
        <w:shd w:val="clear" w:color="auto" w:fill="FFF1F2"/>
      </w:pPr>
      <w:r>
        <w:rPr>
          <w:b/>
          <w:color w:val="A33D4A"/>
        </w:rPr>
        <w:t xml:space="preserve">Central conclusion  </w:t>
      </w:r>
      <w:r>
        <w:t xml:space="preserve">The evidence is strongest for the policy input and market-response links, weaker for private-investment conversion, and conditional for fiscal sustainability. This asymmetry is the substantive finding: the project does not treat a larger budget or higher sector index as proof that the entire transmission chain worked.</w:t>
      </w:r>
    </w:p>
    <w:p>
      <w:pPr>
        <w:pStyle w:val="Heading1"/>
        <w:keepNext/>
      </w:pPr>
      <w:r>
        <w:t xml:space="preserve">2. Economic framework and identification boundary</w:t>
      </w:r>
    </w:p>
    <w:p>
      <w:pPr>
        <w:pStyle w:val="Heading2"/>
        <w:keepNext/>
      </w:pPr>
      <w:r>
        <w:t xml:space="preserve">The transmission chain</w:t>
      </w:r>
    </w:p>
    <w:p>
      <w:pPr>
        <w:pStyle w:val="Code"/>
        <w:keepLines/>
      </w:pPr>
      <w:r>
        <w:t xml:space="preserve">Budgeted public CapEx → execution → sector allocation → completed infrastructure → lower costs / higher capacity → market expectations → corporate revenue and investment → private GFCF and capital-goods output → growth and revenue feedback → debt and interest burden</w:t>
      </w:r>
    </w:p>
    <w:p>
      <w:r>
        <w:t xml:space="preserve">Public investment can raise demand during construction and expand supply after an asset enters service. The short-run channel operates through procurement, wages and intermediate inputs. The medium-run channel can operate through lower logistics costs, improved reliability, network effects, higher expected demand and complementary private investment. Against these benefits sit implementation lags, leakage, cost overruns, low utilisation, crowding out, higher borrowing and interest costs. Each stage therefore tests a distinct necessary or supporting condition rather than assuming one aggregate multiplier.</w:t>
      </w:r>
    </w:p>
    <w:p>
      <w:pPr>
        <w:pStyle w:val="Heading2"/>
        <w:keepNext/>
      </w:pPr>
      <w:r>
        <w:t xml:space="preserve">What this design can and cannot identify</w:t>
      </w:r>
    </w:p>
    <w:p>
      <w:pPr>
        <w:pStyle w:val="ListParagraph"/>
        <w:keepLines/>
        <w:ind w:left="360"/>
      </w:pPr>
      <w:r>
        <w:rPr>
          <w:b/>
          <w:color w:val="D97706"/>
        </w:rPr>
        <w:t xml:space="preserve">•</w:t>
      </w:r>
      <w:r>
        <w:t xml:space="preserve">  Time ordering is informative but not causal identification. Markets can anticipate budgets; governments can raise CapEx in response to weakness; both can respond to a third factor.</w:t>
      </w:r>
    </w:p>
    <w:p>
      <w:pPr>
        <w:pStyle w:val="ListParagraph"/>
        <w:keepLines/>
        <w:ind w:left="360"/>
      </w:pPr>
      <w:r>
        <w:rPr>
          <w:b/>
          <w:color w:val="D97706"/>
        </w:rPr>
        <w:t xml:space="preserve">•</w:t>
      </w:r>
      <w:r>
        <w:t xml:space="preserve">  Correlations describe co-movement. They do not isolate CapEx from monetary policy, commodity cycles, global risk appetite, elections, reforms, corporate leverage or base effects.</w:t>
      </w:r>
    </w:p>
    <w:p>
      <w:pPr>
        <w:pStyle w:val="ListParagraph"/>
        <w:keepLines/>
        <w:ind w:left="360"/>
      </w:pPr>
      <w:r>
        <w:rPr>
          <w:b/>
          <w:color w:val="D97706"/>
        </w:rPr>
        <w:t xml:space="preserve">•</w:t>
      </w:r>
      <w:r>
        <w:t xml:space="preserve">  The physical measures confirm selected outputs, not quality-adjusted capital services. A kilometre of road or electrified route is not homogeneous across terrain, lane width, congestion relief or economic value.</w:t>
      </w:r>
    </w:p>
    <w:p>
      <w:pPr>
        <w:pStyle w:val="ListParagraph"/>
        <w:keepLines/>
        <w:ind w:left="360"/>
      </w:pPr>
      <w:r>
        <w:rPr>
          <w:b/>
          <w:color w:val="D97706"/>
        </w:rPr>
        <w:t xml:space="preserve">•</w:t>
      </w:r>
      <w:r>
        <w:t xml:space="preserve">  Private corporate GFCF is not the entire private sector. Household and unincorporated investment are outside that institutional numerator.</w:t>
      </w:r>
    </w:p>
    <w:p>
      <w:pPr>
        <w:pStyle w:val="ListParagraph"/>
        <w:keepLines/>
        <w:ind w:left="360"/>
      </w:pPr>
      <w:r>
        <w:rPr>
          <w:b/>
          <w:color w:val="D97706"/>
        </w:rPr>
        <w:t xml:space="preserve">•</w:t>
      </w:r>
      <w:r>
        <w:t xml:space="preserve">  The scenario lab is a transparent conditional projection. It is not trained on the small correlation sample and does not claim a statistically estimated multiplier.</w:t>
      </w:r>
    </w:p>
    <w:p>
      <w:pPr>
        <w:pStyle w:val="Heading1"/>
        <w:keepNext/>
      </w:pPr>
      <w:r>
        <w:t xml:space="preserve">3. Measurement conventions</w:t>
      </w:r>
    </w:p>
    <w:tbl>
      <w:tblPr>
        <w:tblStyle w:val="ArchitectureTable"/>
        <w:tblW w:w="0" w:type="auto"/>
        <w:tblLayout w:type="fixed"/>
      </w:tblPr>
      <w:tblGrid>
        <w:gridCol w:w="1700"/>
        <w:gridCol w:w="4300"/>
        <w:gridCol w:w="3000"/>
      </w:tblGrid>
      <w:tr>
        <w:trPr>
          <w:tblHeader/>
          <w:cantSplit/>
        </w:trPr>
        <w:tc>
          <w:tcPr>
            <w:tcW w:w="1700" w:type="dxa"/>
            <w:shd w:val="clear" w:color="auto" w:fill="1F4E78"/>
          </w:tcPr>
          <w:p>
            <w:pPr>
              <w:pStyle w:val="TableText"/>
              <w:keepLines/>
            </w:pPr>
            <w:r>
              <w:rPr>
                <w:b/>
                <w:color w:val="FFFFFF"/>
                <w:sz w:val="18"/>
                <w:szCs w:val="18"/>
              </w:rPr>
              <w:t xml:space="preserve">Convention</w:t>
            </w:r>
          </w:p>
        </w:tc>
        <w:tc>
          <w:tcPr>
            <w:tcW w:w="4300" w:type="dxa"/>
            <w:shd w:val="clear" w:color="auto" w:fill="1F4E78"/>
          </w:tcPr>
          <w:p>
            <w:pPr>
              <w:pStyle w:val="TableText"/>
              <w:keepLines/>
            </w:pPr>
            <w:r>
              <w:rPr>
                <w:b/>
                <w:color w:val="FFFFFF"/>
                <w:sz w:val="18"/>
                <w:szCs w:val="18"/>
              </w:rPr>
              <w:t xml:space="preserve">Meaning in this project</w:t>
            </w:r>
          </w:p>
        </w:tc>
        <w:tc>
          <w:tcPr>
            <w:tcW w:w="3000" w:type="dxa"/>
            <w:shd w:val="clear" w:color="auto" w:fill="1F4E78"/>
          </w:tcPr>
          <w:p>
            <w:pPr>
              <w:pStyle w:val="TableText"/>
              <w:keepLines/>
            </w:pPr>
            <w:r>
              <w:rPr>
                <w:b/>
                <w:color w:val="FFFFFF"/>
                <w:sz w:val="18"/>
                <w:szCs w:val="18"/>
              </w:rPr>
              <w:t xml:space="preserve">Common misreading prevented</w:t>
            </w:r>
          </w:p>
        </w:tc>
      </w:tr>
      <w:tr>
        <w:trPr>
          <w:cantSplit/>
        </w:trPr>
        <w:tc>
          <w:tcPr>
            <w:tcW w:w="1700" w:type="dxa"/>
          </w:tcPr>
          <w:p>
            <w:pPr>
              <w:pStyle w:val="TableText"/>
              <w:keepLines/>
            </w:pPr>
            <w:r>
              <w:rPr>
                <w:sz w:val="18"/>
                <w:szCs w:val="18"/>
              </w:rPr>
              <w:t xml:space="preserve">Fiscal-year date</w:t>
            </w:r>
          </w:p>
        </w:tc>
        <w:tc>
          <w:tcPr>
            <w:tcW w:w="4300" w:type="dxa"/>
          </w:tcPr>
          <w:p>
            <w:pPr>
              <w:pStyle w:val="TableText"/>
              <w:keepLines/>
            </w:pPr>
            <w:r>
              <w:rPr>
                <w:sz w:val="18"/>
                <w:szCs w:val="18"/>
              </w:rPr>
              <w:t xml:space="preserve">FY2024–25 is plotted at 31 March 2025 and retains the FY label.</w:t>
            </w:r>
          </w:p>
        </w:tc>
        <w:tc>
          <w:tcPr>
            <w:tcW w:w="3000" w:type="dxa"/>
          </w:tcPr>
          <w:p>
            <w:pPr>
              <w:pStyle w:val="TableText"/>
              <w:keepLines/>
            </w:pPr>
            <w:r>
              <w:rPr>
                <w:sz w:val="18"/>
                <w:szCs w:val="18"/>
              </w:rPr>
              <w:t xml:space="preserve">Mistaking a fiscal period for calendar-year activity.</w:t>
            </w:r>
          </w:p>
        </w:tc>
      </w:tr>
      <w:tr>
        <w:trPr>
          <w:cantSplit/>
        </w:trPr>
        <w:tc>
          <w:tcPr>
            <w:tcW w:w="1700" w:type="dxa"/>
          </w:tcPr>
          <w:p>
            <w:pPr>
              <w:pStyle w:val="TableText"/>
              <w:keepLines/>
            </w:pPr>
            <w:r>
              <w:rPr>
                <w:sz w:val="18"/>
                <w:szCs w:val="18"/>
              </w:rPr>
              <w:t xml:space="preserve">Status</w:t>
            </w:r>
          </w:p>
        </w:tc>
        <w:tc>
          <w:tcPr>
            <w:tcW w:w="4300" w:type="dxa"/>
          </w:tcPr>
          <w:p>
            <w:pPr>
              <w:pStyle w:val="TableText"/>
              <w:keepLines/>
            </w:pPr>
            <w:r>
              <w:rPr>
                <w:sz w:val="18"/>
                <w:szCs w:val="18"/>
              </w:rPr>
              <w:t xml:space="preserve">Actual, revised, provisional, estimate and budget are retained.</w:t>
            </w:r>
          </w:p>
        </w:tc>
        <w:tc>
          <w:tcPr>
            <w:tcW w:w="3000" w:type="dxa"/>
          </w:tcPr>
          <w:p>
            <w:pPr>
              <w:pStyle w:val="TableText"/>
              <w:keepLines/>
            </w:pPr>
            <w:r>
              <w:rPr>
                <w:sz w:val="18"/>
                <w:szCs w:val="18"/>
              </w:rPr>
              <w:t xml:space="preserve">Treating a plan or early estimate as an out-turn.</w:t>
            </w:r>
          </w:p>
        </w:tc>
      </w:tr>
      <w:tr>
        <w:trPr>
          <w:cantSplit/>
        </w:trPr>
        <w:tc>
          <w:tcPr>
            <w:tcW w:w="1700" w:type="dxa"/>
          </w:tcPr>
          <w:p>
            <w:pPr>
              <w:pStyle w:val="TableText"/>
              <w:keepLines/>
            </w:pPr>
            <w:r>
              <w:rPr>
                <w:sz w:val="18"/>
                <w:szCs w:val="18"/>
              </w:rPr>
              <w:t xml:space="preserve">Nominal</w:t>
            </w:r>
          </w:p>
        </w:tc>
        <w:tc>
          <w:tcPr>
            <w:tcW w:w="4300" w:type="dxa"/>
          </w:tcPr>
          <w:p>
            <w:pPr>
              <w:pStyle w:val="TableText"/>
              <w:keepLines/>
            </w:pPr>
            <w:r>
              <w:rPr>
                <w:sz w:val="18"/>
                <w:szCs w:val="18"/>
              </w:rPr>
              <w:t xml:space="preserve">CapEx growth uses current-price rupees.</w:t>
            </w:r>
          </w:p>
        </w:tc>
        <w:tc>
          <w:tcPr>
            <w:tcW w:w="3000" w:type="dxa"/>
          </w:tcPr>
          <w:p>
            <w:pPr>
              <w:pStyle w:val="TableText"/>
              <w:keepLines/>
            </w:pPr>
            <w:r>
              <w:rPr>
                <w:sz w:val="18"/>
                <w:szCs w:val="18"/>
              </w:rPr>
              <w:t xml:space="preserve">Reading nominal growth as a change in real project volume.</w:t>
            </w:r>
          </w:p>
        </w:tc>
      </w:tr>
      <w:tr>
        <w:trPr>
          <w:cantSplit/>
        </w:trPr>
        <w:tc>
          <w:tcPr>
            <w:tcW w:w="1700" w:type="dxa"/>
          </w:tcPr>
          <w:p>
            <w:pPr>
              <w:pStyle w:val="TableText"/>
              <w:keepLines/>
            </w:pPr>
            <w:r>
              <w:rPr>
                <w:sz w:val="18"/>
                <w:szCs w:val="18"/>
              </w:rPr>
              <w:t xml:space="preserve">Ratio</w:t>
            </w:r>
          </w:p>
        </w:tc>
        <w:tc>
          <w:tcPr>
            <w:tcW w:w="4300" w:type="dxa"/>
          </w:tcPr>
          <w:p>
            <w:pPr>
              <w:pStyle w:val="TableText"/>
              <w:keepLines/>
            </w:pPr>
            <w:r>
              <w:rPr>
                <w:sz w:val="18"/>
                <w:szCs w:val="18"/>
              </w:rPr>
              <w:t xml:space="preserve">Numerator and denominator coverage are stated explicitly.</w:t>
            </w:r>
          </w:p>
        </w:tc>
        <w:tc>
          <w:tcPr>
            <w:tcW w:w="3000" w:type="dxa"/>
          </w:tcPr>
          <w:p>
            <w:pPr>
              <w:pStyle w:val="TableText"/>
              <w:keepLines/>
            </w:pPr>
            <w:r>
              <w:rPr>
                <w:sz w:val="18"/>
                <w:szCs w:val="18"/>
              </w:rPr>
              <w:t xml:space="preserve">Comparing central flows with general-government stocks as if institutional coverage were identical.</w:t>
            </w:r>
          </w:p>
        </w:tc>
      </w:tr>
      <w:tr>
        <w:trPr>
          <w:cantSplit/>
        </w:trPr>
        <w:tc>
          <w:tcPr>
            <w:tcW w:w="1700" w:type="dxa"/>
          </w:tcPr>
          <w:p>
            <w:pPr>
              <w:pStyle w:val="TableText"/>
              <w:keepLines/>
            </w:pPr>
            <w:r>
              <w:rPr>
                <w:sz w:val="18"/>
                <w:szCs w:val="18"/>
              </w:rPr>
              <w:t xml:space="preserve">Index</w:t>
            </w:r>
          </w:p>
        </w:tc>
        <w:tc>
          <w:tcPr>
            <w:tcW w:w="4300" w:type="dxa"/>
          </w:tcPr>
          <w:p>
            <w:pPr>
              <w:pStyle w:val="TableText"/>
              <w:keepLines/>
            </w:pPr>
            <w:r>
              <w:rPr>
                <w:sz w:val="18"/>
                <w:szCs w:val="18"/>
              </w:rPr>
              <w:t xml:space="preserve">A rebased series communicates proportional movement, not rupee value.</w:t>
            </w:r>
          </w:p>
        </w:tc>
        <w:tc>
          <w:tcPr>
            <w:tcW w:w="3000" w:type="dxa"/>
          </w:tcPr>
          <w:p>
            <w:pPr>
              <w:pStyle w:val="TableText"/>
              <w:keepLines/>
            </w:pPr>
            <w:r>
              <w:rPr>
                <w:sz w:val="18"/>
                <w:szCs w:val="18"/>
              </w:rPr>
              <w:t xml:space="preserve">Treating an index level of 150 as a 150% return.</w:t>
            </w:r>
          </w:p>
        </w:tc>
      </w:tr>
      <w:tr>
        <w:trPr>
          <w:cantSplit/>
        </w:trPr>
        <w:tc>
          <w:tcPr>
            <w:tcW w:w="1700" w:type="dxa"/>
          </w:tcPr>
          <w:p>
            <w:pPr>
              <w:pStyle w:val="TableText"/>
              <w:keepLines/>
            </w:pPr>
            <w:r>
              <w:rPr>
                <w:sz w:val="18"/>
                <w:szCs w:val="18"/>
              </w:rPr>
              <w:t xml:space="preserve">Relative wealth</w:t>
            </w:r>
          </w:p>
        </w:tc>
        <w:tc>
          <w:tcPr>
            <w:tcW w:w="4300" w:type="dxa"/>
          </w:tcPr>
          <w:p>
            <w:pPr>
              <w:pStyle w:val="TableText"/>
              <w:keepLines/>
            </w:pPr>
            <w:r>
              <w:rPr>
                <w:sz w:val="18"/>
                <w:szCs w:val="18"/>
              </w:rPr>
              <w:t xml:space="preserve">Sector TRI wealth divided by Nifty 50 TRI wealth, rebased to 100.</w:t>
            </w:r>
          </w:p>
        </w:tc>
        <w:tc>
          <w:tcPr>
            <w:tcW w:w="3000" w:type="dxa"/>
          </w:tcPr>
          <w:p>
            <w:pPr>
              <w:pStyle w:val="TableText"/>
              <w:keepLines/>
            </w:pPr>
            <w:r>
              <w:rPr>
                <w:sz w:val="18"/>
                <w:szCs w:val="18"/>
              </w:rPr>
              <w:t xml:space="preserve">Confusing absolute gains with outperformance.</w:t>
            </w:r>
          </w:p>
        </w:tc>
      </w:tr>
      <w:tr>
        <w:trPr>
          <w:cantSplit/>
        </w:trPr>
        <w:tc>
          <w:tcPr>
            <w:tcW w:w="1700" w:type="dxa"/>
          </w:tcPr>
          <w:p>
            <w:pPr>
              <w:pStyle w:val="TableText"/>
              <w:keepLines/>
            </w:pPr>
            <w:r>
              <w:rPr>
                <w:sz w:val="18"/>
                <w:szCs w:val="18"/>
              </w:rPr>
              <w:t xml:space="preserve">Lead/lag</w:t>
            </w:r>
          </w:p>
        </w:tc>
        <w:tc>
          <w:tcPr>
            <w:tcW w:w="4300" w:type="dxa"/>
          </w:tcPr>
          <w:p>
            <w:pPr>
              <w:pStyle w:val="TableText"/>
              <w:keepLines/>
            </w:pPr>
            <w:r>
              <w:rPr>
                <w:sz w:val="18"/>
                <w:szCs w:val="18"/>
              </w:rPr>
              <w:t xml:space="preserve">Identifies observation order and window separation.</w:t>
            </w:r>
          </w:p>
        </w:tc>
        <w:tc>
          <w:tcPr>
            <w:tcW w:w="3000" w:type="dxa"/>
          </w:tcPr>
          <w:p>
            <w:pPr>
              <w:pStyle w:val="TableText"/>
              <w:keepLines/>
            </w:pPr>
            <w:r>
              <w:rPr>
                <w:sz w:val="18"/>
                <w:szCs w:val="18"/>
              </w:rPr>
              <w:t xml:space="preserve">Interpreting ‘leads’ as causation.</w:t>
            </w:r>
          </w:p>
        </w:tc>
      </w:tr>
      <w:tr>
        <w:trPr>
          <w:cantSplit/>
        </w:trPr>
        <w:tc>
          <w:tcPr>
            <w:tcW w:w="1700" w:type="dxa"/>
          </w:tcPr>
          <w:p>
            <w:pPr>
              <w:pStyle w:val="TableText"/>
              <w:keepLines/>
            </w:pPr>
            <w:r>
              <w:rPr>
                <w:sz w:val="18"/>
                <w:szCs w:val="18"/>
              </w:rPr>
              <w:t xml:space="preserve">Null</w:t>
            </w:r>
          </w:p>
        </w:tc>
        <w:tc>
          <w:tcPr>
            <w:tcW w:w="4300" w:type="dxa"/>
          </w:tcPr>
          <w:p>
            <w:pPr>
              <w:pStyle w:val="TableText"/>
              <w:keepLines/>
            </w:pPr>
            <w:r>
              <w:rPr>
                <w:sz w:val="18"/>
                <w:szCs w:val="18"/>
              </w:rPr>
              <w:t xml:space="preserve">Unavailable or undefined; never converted to zero.</w:t>
            </w:r>
          </w:p>
        </w:tc>
        <w:tc>
          <w:tcPr>
            <w:tcW w:w="3000" w:type="dxa"/>
          </w:tcPr>
          <w:p>
            <w:pPr>
              <w:pStyle w:val="TableText"/>
              <w:keepLines/>
            </w:pPr>
            <w:r>
              <w:rPr>
                <w:sz w:val="18"/>
                <w:szCs w:val="18"/>
              </w:rPr>
              <w:t xml:space="preserve">Creating false observations or joining across gaps.</w:t>
            </w:r>
          </w:p>
        </w:tc>
      </w:tr>
    </w:tbl>
    <w:p>
      <w:pPr>
        <w:spacing w:after="80"/>
      </w:pPr>
      <w:r>
        <w:t xml:space="preserve"/>
      </w:r>
    </w:p>
    <w:p>
      <w:pPr>
        <w:pStyle w:val="Heading1"/>
        <w:keepNext/>
      </w:pPr>
      <w:r>
        <w:t xml:space="preserve">4. Stage 1 — Public CapEx intensity and execution</w:t>
      </w:r>
    </w:p>
    <w:p>
      <w:pPr>
        <w:keepLines/>
        <w:spacing w:before="120" w:after="160"/>
        <w:ind w:left="180"/>
        <w:pBdr>
          <w:left w:val="single" w:sz="18" w:space="10" w:color="2E7D6B"/>
        </w:pBdr>
        <w:shd w:val="clear" w:color="auto" w:fill="ECFDF5"/>
      </w:pPr>
      <w:r>
        <w:rPr>
          <w:b/>
          <w:color w:val="2E7D6B"/>
        </w:rPr>
        <w:t xml:space="preserve">Question answered  </w:t>
      </w:r>
      <w:r>
        <w:t xml:space="preserve">Did central-government capital expenditure become a larger policy input, and was the original plan delivered?</w:t>
      </w:r>
    </w:p>
    <w:p>
      <w:r>
        <w:t xml:space="preserve">This stage establishes the treatment-like policy impulse. Without a material and executed increase in CapEx, downstream market or investment movements cannot plausibly be described as transmission from a CapEx push.</w:t>
      </w:r>
    </w:p>
    <w:tbl>
      <w:tblPr>
        <w:tblStyle w:val="ArchitectureTable"/>
        <w:tblW w:w="0" w:type="auto"/>
        <w:tblLayout w:type="fixed"/>
      </w:tblPr>
      <w:tblGrid>
        <w:gridCol w:w="1500"/>
        <w:gridCol w:w="2300"/>
        <w:gridCol w:w="2700"/>
        <w:gridCol w:w="2500"/>
      </w:tblGrid>
      <w:tr>
        <w:trPr>
          <w:tblHeader/>
          <w:cantSplit/>
        </w:trPr>
        <w:tc>
          <w:tcPr>
            <w:tcW w:w="1500" w:type="dxa"/>
            <w:shd w:val="clear" w:color="auto" w:fill="1F4E78"/>
          </w:tcPr>
          <w:p>
            <w:pPr>
              <w:pStyle w:val="TableText"/>
              <w:keepLines/>
            </w:pPr>
            <w:r>
              <w:rPr>
                <w:b/>
                <w:color w:val="FFFFFF"/>
                <w:sz w:val="15"/>
                <w:szCs w:val="15"/>
              </w:rPr>
              <w:t xml:space="preserve">Metric</w:t>
            </w:r>
          </w:p>
        </w:tc>
        <w:tc>
          <w:tcPr>
            <w:tcW w:w="2300" w:type="dxa"/>
            <w:shd w:val="clear" w:color="auto" w:fill="1F4E78"/>
          </w:tcPr>
          <w:p>
            <w:pPr>
              <w:pStyle w:val="TableText"/>
              <w:keepLines/>
            </w:pPr>
            <w:r>
              <w:rPr>
                <w:b/>
                <w:color w:val="FFFFFF"/>
                <w:sz w:val="15"/>
                <w:szCs w:val="15"/>
              </w:rPr>
              <w:t xml:space="preserve">Economic justification</w:t>
            </w:r>
          </w:p>
        </w:tc>
        <w:tc>
          <w:tcPr>
            <w:tcW w:w="2700" w:type="dxa"/>
            <w:shd w:val="clear" w:color="auto" w:fill="1F4E78"/>
          </w:tcPr>
          <w:p>
            <w:pPr>
              <w:pStyle w:val="TableText"/>
              <w:keepLines/>
            </w:pPr>
            <w:r>
              <w:rPr>
                <w:b/>
                <w:color w:val="FFFFFF"/>
                <w:sz w:val="15"/>
                <w:szCs w:val="15"/>
              </w:rPr>
              <w:t xml:space="preserve">Production and formula</w:t>
            </w:r>
          </w:p>
        </w:tc>
        <w:tc>
          <w:tcPr>
            <w:tcW w:w="2500" w:type="dxa"/>
            <w:shd w:val="clear" w:color="auto" w:fill="1F4E78"/>
          </w:tcPr>
          <w:p>
            <w:pPr>
              <w:pStyle w:val="TableText"/>
              <w:keepLines/>
            </w:pPr>
            <w:r>
              <w:rPr>
                <w:b/>
                <w:color w:val="FFFFFF"/>
                <w:sz w:val="15"/>
                <w:szCs w:val="15"/>
              </w:rPr>
              <w:t xml:space="preserve">Interpretation and limitations</w:t>
            </w:r>
          </w:p>
        </w:tc>
      </w:tr>
      <w:tr>
        <w:trPr>
          <w:cantSplit/>
        </w:trPr>
        <w:tc>
          <w:tcPr>
            <w:tcW w:w="1500" w:type="dxa"/>
          </w:tcPr>
          <w:p>
            <w:pPr>
              <w:pStyle w:val="TableText"/>
              <w:keepLines/>
            </w:pPr>
            <w:r>
              <w:rPr>
                <w:sz w:val="15"/>
                <w:szCs w:val="15"/>
              </w:rPr>
              <w:t xml:space="preserve">Actual CapEx</w:t>
            </w:r>
          </w:p>
        </w:tc>
        <w:tc>
          <w:tcPr>
            <w:tcW w:w="2300" w:type="dxa"/>
          </w:tcPr>
          <w:p>
            <w:pPr>
              <w:pStyle w:val="TableText"/>
              <w:keepLines/>
            </w:pPr>
            <w:r>
              <w:rPr>
                <w:sz w:val="15"/>
                <w:szCs w:val="15"/>
              </w:rPr>
              <w:t xml:space="preserve">The realised fiscal resource committed to asset creation is the core policy input.</w:t>
            </w:r>
          </w:p>
        </w:tc>
        <w:tc>
          <w:tcPr>
            <w:tcW w:w="2700" w:type="dxa"/>
          </w:tcPr>
          <w:p>
            <w:pPr>
              <w:pStyle w:val="TableText"/>
              <w:keepLines/>
            </w:pPr>
            <w:r>
              <w:rPr>
                <w:sz w:val="15"/>
                <w:szCs w:val="15"/>
              </w:rPr>
              <w:t xml:space="preserve">Union Budget actual central capital expenditure, ₹ crore. Multiple budget vintages preserve the final out-turn rather than silently substituting later plans.</w:t>
            </w:r>
          </w:p>
        </w:tc>
        <w:tc>
          <w:tcPr>
            <w:tcW w:w="2500" w:type="dxa"/>
          </w:tcPr>
          <w:p>
            <w:pPr>
              <w:pStyle w:val="TableText"/>
              <w:keepLines/>
            </w:pPr>
            <w:r>
              <w:rPr>
                <w:sz w:val="15"/>
                <w:szCs w:val="15"/>
              </w:rPr>
              <w:t xml:space="preserve">A higher level may reflect scale, inflation or reclassification. It says nothing by itself about GDP intensity, asset quality or completion.</w:t>
            </w:r>
          </w:p>
        </w:tc>
      </w:tr>
      <w:tr>
        <w:trPr>
          <w:cantSplit/>
        </w:trPr>
        <w:tc>
          <w:tcPr>
            <w:tcW w:w="1500" w:type="dxa"/>
          </w:tcPr>
          <w:p>
            <w:pPr>
              <w:pStyle w:val="TableText"/>
              <w:keepLines/>
            </w:pPr>
            <w:r>
              <w:rPr>
                <w:sz w:val="15"/>
                <w:szCs w:val="15"/>
              </w:rPr>
              <w:t xml:space="preserve">Budget Estimate (BE)</w:t>
            </w:r>
          </w:p>
        </w:tc>
        <w:tc>
          <w:tcPr>
            <w:tcW w:w="2300" w:type="dxa"/>
          </w:tcPr>
          <w:p>
            <w:pPr>
              <w:pStyle w:val="TableText"/>
              <w:keepLines/>
            </w:pPr>
            <w:r>
              <w:rPr>
                <w:sz w:val="15"/>
                <w:szCs w:val="15"/>
              </w:rPr>
              <w:t xml:space="preserve">Captures the government’s original policy intention before in-year information and supplementary decisions.</w:t>
            </w:r>
          </w:p>
        </w:tc>
        <w:tc>
          <w:tcPr>
            <w:tcW w:w="2700" w:type="dxa"/>
          </w:tcPr>
          <w:p>
            <w:pPr>
              <w:pStyle w:val="TableText"/>
              <w:keepLines/>
            </w:pPr>
            <w:r>
              <w:rPr>
                <w:sz w:val="15"/>
                <w:szCs w:val="15"/>
              </w:rPr>
              <w:t xml:space="preserve">The original BE is retained from the edition in which that fiscal year was the current budget year.</w:t>
            </w:r>
          </w:p>
        </w:tc>
        <w:tc>
          <w:tcPr>
            <w:tcW w:w="2500" w:type="dxa"/>
          </w:tcPr>
          <w:p>
            <w:pPr>
              <w:pStyle w:val="TableText"/>
              <w:keepLines/>
            </w:pPr>
            <w:r>
              <w:rPr>
                <w:sz w:val="15"/>
                <w:szCs w:val="15"/>
              </w:rPr>
              <w:t xml:space="preserve">Useful for testing execution. It is a plan, not realised demand or completed infrastructure.</w:t>
            </w:r>
          </w:p>
        </w:tc>
      </w:tr>
      <w:tr>
        <w:trPr>
          <w:cantSplit/>
        </w:trPr>
        <w:tc>
          <w:tcPr>
            <w:tcW w:w="1500" w:type="dxa"/>
          </w:tcPr>
          <w:p>
            <w:pPr>
              <w:pStyle w:val="TableText"/>
              <w:keepLines/>
            </w:pPr>
            <w:r>
              <w:rPr>
                <w:sz w:val="15"/>
                <w:szCs w:val="15"/>
              </w:rPr>
              <w:t xml:space="preserve">Revised Estimate (RE)</w:t>
            </w:r>
          </w:p>
        </w:tc>
        <w:tc>
          <w:tcPr>
            <w:tcW w:w="2300" w:type="dxa"/>
          </w:tcPr>
          <w:p>
            <w:pPr>
              <w:pStyle w:val="TableText"/>
              <w:keepLines/>
            </w:pPr>
            <w:r>
              <w:rPr>
                <w:sz w:val="15"/>
                <w:szCs w:val="15"/>
              </w:rPr>
              <w:t xml:space="preserve">Shows the in-year reassessment after early execution information.</w:t>
            </w:r>
          </w:p>
        </w:tc>
        <w:tc>
          <w:tcPr>
            <w:tcW w:w="2700" w:type="dxa"/>
          </w:tcPr>
          <w:p>
            <w:pPr>
              <w:pStyle w:val="TableText"/>
              <w:keepLines/>
            </w:pPr>
            <w:r>
              <w:rPr>
                <w:sz w:val="15"/>
                <w:szCs w:val="15"/>
              </w:rPr>
              <w:t xml:space="preserve">The RE is taken from the following budget vintage for the same fiscal year.</w:t>
            </w:r>
          </w:p>
        </w:tc>
        <w:tc>
          <w:tcPr>
            <w:tcW w:w="2500" w:type="dxa"/>
          </w:tcPr>
          <w:p>
            <w:pPr>
              <w:pStyle w:val="TableText"/>
              <w:keepLines/>
            </w:pPr>
            <w:r>
              <w:rPr>
                <w:sz w:val="15"/>
                <w:szCs w:val="15"/>
              </w:rPr>
              <w:t xml:space="preserve">BE-to-RE changes can reflect implementation, reprioritisation or macro shocks; they are not a clean efficiency measure.</w:t>
            </w:r>
          </w:p>
        </w:tc>
      </w:tr>
      <w:tr>
        <w:trPr>
          <w:cantSplit/>
        </w:trPr>
        <w:tc>
          <w:tcPr>
            <w:tcW w:w="1500" w:type="dxa"/>
          </w:tcPr>
          <w:p>
            <w:pPr>
              <w:pStyle w:val="TableText"/>
              <w:keepLines/>
            </w:pPr>
            <w:r>
              <w:rPr>
                <w:sz w:val="15"/>
                <w:szCs w:val="15"/>
              </w:rPr>
              <w:t xml:space="preserve">CapEx execution ratio</w:t>
            </w:r>
          </w:p>
        </w:tc>
        <w:tc>
          <w:tcPr>
            <w:tcW w:w="2300" w:type="dxa"/>
          </w:tcPr>
          <w:p>
            <w:pPr>
              <w:pStyle w:val="TableText"/>
              <w:keepLines/>
            </w:pPr>
            <w:r>
              <w:rPr>
                <w:sz w:val="15"/>
                <w:szCs w:val="15"/>
              </w:rPr>
              <w:t xml:space="preserve">Separates headline ambition from delivery against the initial allocation.</w:t>
            </w:r>
          </w:p>
        </w:tc>
        <w:tc>
          <w:tcPr>
            <w:tcW w:w="2700" w:type="dxa"/>
          </w:tcPr>
          <w:p>
            <w:pPr>
              <w:pStyle w:val="TableText"/>
              <w:keepLines/>
            </w:pPr>
            <w:r>
              <w:rPr>
                <w:sz w:val="15"/>
                <w:szCs w:val="15"/>
              </w:rPr>
              <w:t xml:space="preserve">100 × Actual CapEx / original BE.</w:t>
            </w:r>
          </w:p>
        </w:tc>
        <w:tc>
          <w:tcPr>
            <w:tcW w:w="2500" w:type="dxa"/>
          </w:tcPr>
          <w:p>
            <w:pPr>
              <w:pStyle w:val="TableText"/>
              <w:keepLines/>
            </w:pPr>
            <w:r>
              <w:rPr>
                <w:sz w:val="15"/>
                <w:szCs w:val="15"/>
              </w:rPr>
              <w:t xml:space="preserve">100% means actual matched BE. Above 100% can follow supplementary appropriations; below 100% can indicate under-execution or changed plans.</w:t>
            </w:r>
          </w:p>
        </w:tc>
      </w:tr>
      <w:tr>
        <w:trPr>
          <w:cantSplit/>
        </w:trPr>
        <w:tc>
          <w:tcPr>
            <w:tcW w:w="1500" w:type="dxa"/>
          </w:tcPr>
          <w:p>
            <w:pPr>
              <w:pStyle w:val="TableText"/>
              <w:keepLines/>
            </w:pPr>
            <w:r>
              <w:rPr>
                <w:sz w:val="15"/>
                <w:szCs w:val="15"/>
              </w:rPr>
              <w:t xml:space="preserve">Actual CapEx / GDP</w:t>
            </w:r>
          </w:p>
        </w:tc>
        <w:tc>
          <w:tcPr>
            <w:tcW w:w="2300" w:type="dxa"/>
          </w:tcPr>
          <w:p>
            <w:pPr>
              <w:pStyle w:val="TableText"/>
              <w:keepLines/>
            </w:pPr>
            <w:r>
              <w:rPr>
                <w:sz w:val="15"/>
                <w:szCs w:val="15"/>
              </w:rPr>
              <w:t xml:space="preserve">Measures macroeconomic effort relative to the size of the economy.</w:t>
            </w:r>
          </w:p>
        </w:tc>
        <w:tc>
          <w:tcPr>
            <w:tcW w:w="2700" w:type="dxa"/>
          </w:tcPr>
          <w:p>
            <w:pPr>
              <w:pStyle w:val="TableText"/>
              <w:keepLines/>
            </w:pPr>
            <w:r>
              <w:rPr>
                <w:sz w:val="15"/>
                <w:szCs w:val="15"/>
              </w:rPr>
              <w:t xml:space="preserve">100 × actual central CapEx / nominal GDP from a compatible fiscal year.</w:t>
            </w:r>
          </w:p>
        </w:tc>
        <w:tc>
          <w:tcPr>
            <w:tcW w:w="2500" w:type="dxa"/>
          </w:tcPr>
          <w:p>
            <w:pPr>
              <w:pStyle w:val="TableText"/>
              <w:keepLines/>
            </w:pPr>
            <w:r>
              <w:rPr>
                <w:sz w:val="15"/>
                <w:szCs w:val="15"/>
              </w:rPr>
              <w:t xml:space="preserve">A rising ratio is stronger evidence of intensification than a rising rupee level, but remains nominal and central-government only.</w:t>
            </w:r>
          </w:p>
        </w:tc>
      </w:tr>
      <w:tr>
        <w:trPr>
          <w:cantSplit/>
        </w:trPr>
        <w:tc>
          <w:tcPr>
            <w:tcW w:w="1500" w:type="dxa"/>
          </w:tcPr>
          <w:p>
            <w:pPr>
              <w:pStyle w:val="TableText"/>
              <w:keepLines/>
            </w:pPr>
            <w:r>
              <w:rPr>
                <w:sz w:val="15"/>
                <w:szCs w:val="15"/>
              </w:rPr>
              <w:t xml:space="preserve">Actual CapEx / total expenditure</w:t>
            </w:r>
          </w:p>
        </w:tc>
        <w:tc>
          <w:tcPr>
            <w:tcW w:w="2300" w:type="dxa"/>
          </w:tcPr>
          <w:p>
            <w:pPr>
              <w:pStyle w:val="TableText"/>
              <w:keepLines/>
            </w:pPr>
            <w:r>
              <w:rPr>
                <w:sz w:val="15"/>
                <w:szCs w:val="15"/>
              </w:rPr>
              <w:t xml:space="preserve">Measures budget composition and the opportunity cost relative to other spending.</w:t>
            </w:r>
          </w:p>
        </w:tc>
        <w:tc>
          <w:tcPr>
            <w:tcW w:w="2700" w:type="dxa"/>
          </w:tcPr>
          <w:p>
            <w:pPr>
              <w:pStyle w:val="TableText"/>
              <w:keepLines/>
            </w:pPr>
            <w:r>
              <w:rPr>
                <w:sz w:val="15"/>
                <w:szCs w:val="15"/>
              </w:rPr>
              <w:t xml:space="preserve">100 × actual central CapEx / actual central total expenditure.</w:t>
            </w:r>
          </w:p>
        </w:tc>
        <w:tc>
          <w:tcPr>
            <w:tcW w:w="2500" w:type="dxa"/>
          </w:tcPr>
          <w:p>
            <w:pPr>
              <w:pStyle w:val="TableText"/>
              <w:keepLines/>
            </w:pPr>
            <w:r>
              <w:rPr>
                <w:sz w:val="15"/>
                <w:szCs w:val="15"/>
              </w:rPr>
              <w:t xml:space="preserve">A higher share indicates greater capital orientation, not necessarily better welfare outcomes.</w:t>
            </w:r>
          </w:p>
        </w:tc>
      </w:tr>
      <w:tr>
        <w:trPr>
          <w:cantSplit/>
        </w:trPr>
        <w:tc>
          <w:tcPr>
            <w:tcW w:w="1500" w:type="dxa"/>
          </w:tcPr>
          <w:p>
            <w:pPr>
              <w:pStyle w:val="TableText"/>
              <w:keepLines/>
            </w:pPr>
            <w:r>
              <w:rPr>
                <w:sz w:val="15"/>
                <w:szCs w:val="15"/>
              </w:rPr>
              <w:t xml:space="preserve">Nominal CapEx growth</w:t>
            </w:r>
          </w:p>
        </w:tc>
        <w:tc>
          <w:tcPr>
            <w:tcW w:w="2300" w:type="dxa"/>
          </w:tcPr>
          <w:p>
            <w:pPr>
              <w:pStyle w:val="TableText"/>
              <w:keepLines/>
            </w:pPr>
            <w:r>
              <w:rPr>
                <w:sz w:val="15"/>
                <w:szCs w:val="15"/>
              </w:rPr>
              <w:t xml:space="preserve">Supplies the annual change used in timing tests.</w:t>
            </w:r>
          </w:p>
        </w:tc>
        <w:tc>
          <w:tcPr>
            <w:tcW w:w="2700" w:type="dxa"/>
          </w:tcPr>
          <w:p>
            <w:pPr>
              <w:pStyle w:val="TableText"/>
              <w:keepLines/>
            </w:pPr>
            <w:r>
              <w:rPr>
                <w:sz w:val="15"/>
                <w:szCs w:val="15"/>
              </w:rPr>
              <w:t xml:space="preserve">100 × (CapExₜ / CapExₜ₋₁ − 1).</w:t>
            </w:r>
          </w:p>
        </w:tc>
        <w:tc>
          <w:tcPr>
            <w:tcW w:w="2500" w:type="dxa"/>
          </w:tcPr>
          <w:p>
            <w:pPr>
              <w:pStyle w:val="TableText"/>
              <w:keepLines/>
            </w:pPr>
            <w:r>
              <w:rPr>
                <w:sz w:val="15"/>
                <w:szCs w:val="15"/>
              </w:rPr>
              <w:t xml:space="preserve">Contains inflation and base effects. The project never labels it real CapEx growth.</w:t>
            </w:r>
          </w:p>
        </w:tc>
      </w:tr>
    </w:tbl>
    <w:p>
      <w:pPr>
        <w:spacing w:after="80"/>
      </w:pPr>
      <w:r>
        <w:t xml:space="preserve"/>
      </w:r>
    </w:p>
    <w:p>
      <w:r>
        <w:t xml:space="preserve">The current execution artifact contains 7 series from 2018-03-31 to 2027-03-31. Its hypothesis rule asks whether both CapEx/GDP and the CapEx expenditure share are higher at the end of the observed comparison than at the beginning. This is a directional classification, not a significance test.</w:t>
      </w:r>
    </w:p>
    <w:p>
      <w:pPr>
        <w:pStyle w:val="Heading1"/>
        <w:keepNext/>
      </w:pPr>
      <w:r>
        <w:t xml:space="preserve">5. Stage 1B — Sector allocation and physical delivery</w:t>
      </w:r>
    </w:p>
    <w:p>
      <w:pPr>
        <w:keepLines/>
        <w:spacing w:before="120" w:after="160"/>
        <w:ind w:left="180"/>
        <w:pBdr>
          <w:left w:val="single" w:sz="18" w:space="10" w:color="2E7D6B"/>
        </w:pBdr>
        <w:shd w:val="clear" w:color="auto" w:fill="ECFDF5"/>
      </w:pPr>
      <w:r>
        <w:rPr>
          <w:b/>
          <w:color w:val="2E7D6B"/>
        </w:rPr>
        <w:t xml:space="preserve">Question answered  </w:t>
      </w:r>
      <w:r>
        <w:t xml:space="preserve">How much central-budget capital support went to Roads and Railways, and did selected physical outputs materialise?</w:t>
      </w:r>
    </w:p>
    <w:p>
      <w:r>
        <w:t xml:space="preserve">This bridge was added to prevent a leap from aggregate public spending directly to equity-market performance. It distinguishes financial input from observable infrastructure delivery.</w:t>
      </w:r>
    </w:p>
    <w:tbl>
      <w:tblPr>
        <w:tblStyle w:val="ArchitectureTable"/>
        <w:tblW w:w="0" w:type="auto"/>
        <w:tblLayout w:type="fixed"/>
      </w:tblPr>
      <w:tblGrid>
        <w:gridCol w:w="1500"/>
        <w:gridCol w:w="2300"/>
        <w:gridCol w:w="2700"/>
        <w:gridCol w:w="2500"/>
      </w:tblGrid>
      <w:tr>
        <w:trPr>
          <w:tblHeader/>
          <w:cantSplit/>
        </w:trPr>
        <w:tc>
          <w:tcPr>
            <w:tcW w:w="1500" w:type="dxa"/>
            <w:shd w:val="clear" w:color="auto" w:fill="1F4E78"/>
          </w:tcPr>
          <w:p>
            <w:pPr>
              <w:pStyle w:val="TableText"/>
              <w:keepLines/>
            </w:pPr>
            <w:r>
              <w:rPr>
                <w:b/>
                <w:color w:val="FFFFFF"/>
                <w:sz w:val="15"/>
                <w:szCs w:val="15"/>
              </w:rPr>
              <w:t xml:space="preserve">Metric</w:t>
            </w:r>
          </w:p>
        </w:tc>
        <w:tc>
          <w:tcPr>
            <w:tcW w:w="2300" w:type="dxa"/>
            <w:shd w:val="clear" w:color="auto" w:fill="1F4E78"/>
          </w:tcPr>
          <w:p>
            <w:pPr>
              <w:pStyle w:val="TableText"/>
              <w:keepLines/>
            </w:pPr>
            <w:r>
              <w:rPr>
                <w:b/>
                <w:color w:val="FFFFFF"/>
                <w:sz w:val="15"/>
                <w:szCs w:val="15"/>
              </w:rPr>
              <w:t xml:space="preserve">Economic justification</w:t>
            </w:r>
          </w:p>
        </w:tc>
        <w:tc>
          <w:tcPr>
            <w:tcW w:w="2700" w:type="dxa"/>
            <w:shd w:val="clear" w:color="auto" w:fill="1F4E78"/>
          </w:tcPr>
          <w:p>
            <w:pPr>
              <w:pStyle w:val="TableText"/>
              <w:keepLines/>
            </w:pPr>
            <w:r>
              <w:rPr>
                <w:b/>
                <w:color w:val="FFFFFF"/>
                <w:sz w:val="15"/>
                <w:szCs w:val="15"/>
              </w:rPr>
              <w:t xml:space="preserve">Production and formula</w:t>
            </w:r>
          </w:p>
        </w:tc>
        <w:tc>
          <w:tcPr>
            <w:tcW w:w="2500" w:type="dxa"/>
            <w:shd w:val="clear" w:color="auto" w:fill="1F4E78"/>
          </w:tcPr>
          <w:p>
            <w:pPr>
              <w:pStyle w:val="TableText"/>
              <w:keepLines/>
            </w:pPr>
            <w:r>
              <w:rPr>
                <w:b/>
                <w:color w:val="FFFFFF"/>
                <w:sz w:val="15"/>
                <w:szCs w:val="15"/>
              </w:rPr>
              <w:t xml:space="preserve">Interpretation and limitations</w:t>
            </w:r>
          </w:p>
        </w:tc>
      </w:tr>
      <w:tr>
        <w:trPr>
          <w:cantSplit/>
        </w:trPr>
        <w:tc>
          <w:tcPr>
            <w:tcW w:w="1500" w:type="dxa"/>
          </w:tcPr>
          <w:p>
            <w:pPr>
              <w:pStyle w:val="TableText"/>
              <w:keepLines/>
            </w:pPr>
            <w:r>
              <w:rPr>
                <w:sz w:val="15"/>
                <w:szCs w:val="15"/>
              </w:rPr>
              <w:t xml:space="preserve">Railways central-budget CapEx</w:t>
            </w:r>
          </w:p>
        </w:tc>
        <w:tc>
          <w:tcPr>
            <w:tcW w:w="2300" w:type="dxa"/>
          </w:tcPr>
          <w:p>
            <w:pPr>
              <w:pStyle w:val="TableText"/>
              <w:keepLines/>
            </w:pPr>
            <w:r>
              <w:rPr>
                <w:sz w:val="15"/>
                <w:szCs w:val="15"/>
              </w:rPr>
              <w:t xml:space="preserve">Railways are a major network-infrastructure channel through which public capital can affect freight capacity, travel time, energy use and regional connectivity.</w:t>
            </w:r>
          </w:p>
        </w:tc>
        <w:tc>
          <w:tcPr>
            <w:tcW w:w="2700" w:type="dxa"/>
          </w:tcPr>
          <w:p>
            <w:pPr>
              <w:pStyle w:val="TableText"/>
              <w:keepLines/>
            </w:pPr>
            <w:r>
              <w:rPr>
                <w:sz w:val="15"/>
                <w:szCs w:val="15"/>
              </w:rPr>
              <w:t xml:space="preserve">Budget Estimate from the capital column of Union Budget Expenditure Profile Statement 3. Internal resources and extra-budgetary resources are excluded for comparability with Roads.</w:t>
            </w:r>
          </w:p>
        </w:tc>
        <w:tc>
          <w:tcPr>
            <w:tcW w:w="2500" w:type="dxa"/>
          </w:tcPr>
          <w:p>
            <w:pPr>
              <w:pStyle w:val="TableText"/>
              <w:keepLines/>
            </w:pPr>
            <w:r>
              <w:rPr>
                <w:sz w:val="15"/>
                <w:szCs w:val="15"/>
              </w:rPr>
              <w:t xml:space="preserve">Shows central-budget support, not total railway capital outlay and not actual execution.</w:t>
            </w:r>
          </w:p>
        </w:tc>
      </w:tr>
      <w:tr>
        <w:trPr>
          <w:cantSplit/>
        </w:trPr>
        <w:tc>
          <w:tcPr>
            <w:tcW w:w="1500" w:type="dxa"/>
          </w:tcPr>
          <w:p>
            <w:pPr>
              <w:pStyle w:val="TableText"/>
              <w:keepLines/>
            </w:pPr>
            <w:r>
              <w:rPr>
                <w:sz w:val="15"/>
                <w:szCs w:val="15"/>
              </w:rPr>
              <w:t xml:space="preserve">Roads central-budget CapEx</w:t>
            </w:r>
          </w:p>
        </w:tc>
        <w:tc>
          <w:tcPr>
            <w:tcW w:w="2300" w:type="dxa"/>
          </w:tcPr>
          <w:p>
            <w:pPr>
              <w:pStyle w:val="TableText"/>
              <w:keepLines/>
            </w:pPr>
            <w:r>
              <w:rPr>
                <w:sz w:val="15"/>
                <w:szCs w:val="15"/>
              </w:rPr>
              <w:t xml:space="preserve">Road investment can lower travel time and logistics costs, expand market access and complement industrial investment.</w:t>
            </w:r>
          </w:p>
        </w:tc>
        <w:tc>
          <w:tcPr>
            <w:tcW w:w="2700" w:type="dxa"/>
          </w:tcPr>
          <w:p>
            <w:pPr>
              <w:pStyle w:val="TableText"/>
              <w:keepLines/>
            </w:pPr>
            <w:r>
              <w:rPr>
                <w:sz w:val="15"/>
                <w:szCs w:val="15"/>
              </w:rPr>
              <w:t xml:space="preserve">Budget Estimate from the capital—not total—column for the Ministry of Road Transport and Highways.</w:t>
            </w:r>
          </w:p>
        </w:tc>
        <w:tc>
          <w:tcPr>
            <w:tcW w:w="2500" w:type="dxa"/>
          </w:tcPr>
          <w:p>
            <w:pPr>
              <w:pStyle w:val="TableText"/>
              <w:keepLines/>
            </w:pPr>
            <w:r>
              <w:rPr>
                <w:sz w:val="15"/>
                <w:szCs w:val="15"/>
              </w:rPr>
              <w:t xml:space="preserve">The historical series was reconciled across four budget vintages. Revenue expenditure is excluded.</w:t>
            </w:r>
          </w:p>
        </w:tc>
      </w:tr>
      <w:tr>
        <w:trPr>
          <w:cantSplit/>
        </w:trPr>
        <w:tc>
          <w:tcPr>
            <w:tcW w:w="1500" w:type="dxa"/>
          </w:tcPr>
          <w:p>
            <w:pPr>
              <w:pStyle w:val="TableText"/>
              <w:keepLines/>
            </w:pPr>
            <w:r>
              <w:rPr>
                <w:sz w:val="15"/>
                <w:szCs w:val="15"/>
              </w:rPr>
              <w:t xml:space="preserve">National highways constructed</w:t>
            </w:r>
          </w:p>
        </w:tc>
        <w:tc>
          <w:tcPr>
            <w:tcW w:w="2300" w:type="dxa"/>
          </w:tcPr>
          <w:p>
            <w:pPr>
              <w:pStyle w:val="TableText"/>
              <w:keepLines/>
            </w:pPr>
            <w:r>
              <w:rPr>
                <w:sz w:val="15"/>
                <w:szCs w:val="15"/>
              </w:rPr>
              <w:t xml:space="preserve">A physical output tests whether funding coincided with completed road length.</w:t>
            </w:r>
          </w:p>
        </w:tc>
        <w:tc>
          <w:tcPr>
            <w:tcW w:w="2700" w:type="dxa"/>
          </w:tcPr>
          <w:p>
            <w:pPr>
              <w:pStyle w:val="TableText"/>
              <w:keepLines/>
            </w:pPr>
            <w:r>
              <w:rPr>
                <w:sz w:val="15"/>
                <w:szCs w:val="15"/>
              </w:rPr>
              <w:t xml:space="preserve">Fiscal-year kilometres reported by MoRTH.</w:t>
            </w:r>
          </w:p>
        </w:tc>
        <w:tc>
          <w:tcPr>
            <w:tcW w:w="2500" w:type="dxa"/>
          </w:tcPr>
          <w:p>
            <w:pPr>
              <w:pStyle w:val="TableText"/>
              <w:keepLines/>
            </w:pPr>
            <w:r>
              <w:rPr>
                <w:sz w:val="15"/>
                <w:szCs w:val="15"/>
              </w:rPr>
              <w:t xml:space="preserve">Does not adjust for lane width, strengthening versus greenfield construction, terrain, quality, maintenance or economic usage.</w:t>
            </w:r>
          </w:p>
        </w:tc>
      </w:tr>
      <w:tr>
        <w:trPr>
          <w:cantSplit/>
        </w:trPr>
        <w:tc>
          <w:tcPr>
            <w:tcW w:w="1500" w:type="dxa"/>
          </w:tcPr>
          <w:p>
            <w:pPr>
              <w:pStyle w:val="TableText"/>
              <w:keepLines/>
            </w:pPr>
            <w:r>
              <w:rPr>
                <w:sz w:val="15"/>
                <w:szCs w:val="15"/>
              </w:rPr>
              <w:t xml:space="preserve">Railway route kilometres electrified</w:t>
            </w:r>
          </w:p>
        </w:tc>
        <w:tc>
          <w:tcPr>
            <w:tcW w:w="2300" w:type="dxa"/>
          </w:tcPr>
          <w:p>
            <w:pPr>
              <w:pStyle w:val="TableText"/>
              <w:keepLines/>
            </w:pPr>
            <w:r>
              <w:rPr>
                <w:sz w:val="15"/>
                <w:szCs w:val="15"/>
              </w:rPr>
              <w:t xml:space="preserve">Electrification is a measurable railway-modernisation output with potential operating-cost and energy implications.</w:t>
            </w:r>
          </w:p>
        </w:tc>
        <w:tc>
          <w:tcPr>
            <w:tcW w:w="2700" w:type="dxa"/>
          </w:tcPr>
          <w:p>
            <w:pPr>
              <w:pStyle w:val="TableText"/>
              <w:keepLines/>
            </w:pPr>
            <w:r>
              <w:rPr>
                <w:sz w:val="15"/>
                <w:szCs w:val="15"/>
              </w:rPr>
              <w:t xml:space="preserve">Broad-gauge route kilometres electrified during the fiscal year, reported by Indian Railways.</w:t>
            </w:r>
          </w:p>
        </w:tc>
        <w:tc>
          <w:tcPr>
            <w:tcW w:w="2500" w:type="dxa"/>
          </w:tcPr>
          <w:p>
            <w:pPr>
              <w:pStyle w:val="TableText"/>
              <w:keepLines/>
            </w:pPr>
            <w:r>
              <w:rPr>
                <w:sz w:val="15"/>
                <w:szCs w:val="15"/>
              </w:rPr>
              <w:t xml:space="preserve">It is not new track, freight capacity, punctuality or total railway output. Completion naturally slows as the network approaches saturation.</w:t>
            </w:r>
          </w:p>
        </w:tc>
      </w:tr>
    </w:tbl>
    <w:p>
      <w:pPr>
        <w:spacing w:after="80"/>
      </w:pPr>
      <w:r>
        <w:t xml:space="preserve"/>
      </w:r>
    </w:p>
    <w:p>
      <w:pPr>
        <w:keepLines/>
        <w:spacing w:before="120" w:after="160"/>
        <w:ind w:left="180"/>
        <w:pBdr>
          <w:left w:val="single" w:sz="18" w:space="10" w:color="2E7D6B"/>
        </w:pBdr>
        <w:shd w:val="clear" w:color="auto" w:fill="ECFDF5"/>
      </w:pPr>
      <w:r>
        <w:rPr>
          <w:b/>
          <w:color w:val="2E7D6B"/>
        </w:rPr>
        <w:t xml:space="preserve">Unit separation  </w:t>
      </w:r>
      <w:r>
        <w:t xml:space="preserve">Financial allocations and physical kilometres are separate artifacts and separate views. They cannot be activated on one chart. This is both a visual-design decision and a methodological safeguard against implying a cardinal relationship between incomparable units.</w:t>
      </w:r>
    </w:p>
    <w:p>
      <w:r>
        <w:t xml:space="preserve">The allocation asset has 16 observations; the delivery asset has 12. Neither series estimates rupees per kilometre because the spending categories and delivered outputs do not map one-to-one by project, vintage or completion year.</w:t>
      </w:r>
    </w:p>
    <w:p>
      <w:pPr>
        <w:pStyle w:val="Heading2"/>
        <w:keepNext/>
      </w:pPr>
      <w:r>
        <w:t xml:space="preserve">Published allocation observations</w:t>
      </w:r>
    </w:p>
    <w:tbl>
      <w:tblPr>
        <w:tblStyle w:val="ArchitectureTable"/>
        <w:tblW w:w="0" w:type="auto"/>
        <w:tblLayout w:type="fixed"/>
      </w:tblPr>
      <w:tblGrid>
        <w:gridCol w:w="1800"/>
        <w:gridCol w:w="2800"/>
        <w:gridCol w:w="2800"/>
        <w:gridCol w:w="1600"/>
      </w:tblGrid>
      <w:tr>
        <w:trPr>
          <w:tblHeader/>
          <w:cantSplit/>
        </w:trPr>
        <w:tc>
          <w:tcPr>
            <w:tcW w:w="1800" w:type="dxa"/>
            <w:shd w:val="clear" w:color="auto" w:fill="1F4E78"/>
          </w:tcPr>
          <w:p>
            <w:pPr>
              <w:pStyle w:val="TableText"/>
              <w:keepLines/>
            </w:pPr>
            <w:r>
              <w:rPr>
                <w:b/>
                <w:color w:val="FFFFFF"/>
                <w:sz w:val="18"/>
                <w:szCs w:val="18"/>
              </w:rPr>
              <w:t xml:space="preserve">Fiscal year</w:t>
            </w:r>
          </w:p>
        </w:tc>
        <w:tc>
          <w:tcPr>
            <w:tcW w:w="2800" w:type="dxa"/>
            <w:shd w:val="clear" w:color="auto" w:fill="1F4E78"/>
          </w:tcPr>
          <w:p>
            <w:pPr>
              <w:pStyle w:val="TableText"/>
              <w:keepLines/>
            </w:pPr>
            <w:r>
              <w:rPr>
                <w:b/>
                <w:color w:val="FFFFFF"/>
                <w:sz w:val="18"/>
                <w:szCs w:val="18"/>
              </w:rPr>
              <w:t xml:space="preserve">Railways capital BE (₹ crore)</w:t>
            </w:r>
          </w:p>
        </w:tc>
        <w:tc>
          <w:tcPr>
            <w:tcW w:w="2800" w:type="dxa"/>
            <w:shd w:val="clear" w:color="auto" w:fill="1F4E78"/>
          </w:tcPr>
          <w:p>
            <w:pPr>
              <w:pStyle w:val="TableText"/>
              <w:keepLines/>
            </w:pPr>
            <w:r>
              <w:rPr>
                <w:b/>
                <w:color w:val="FFFFFF"/>
                <w:sz w:val="18"/>
                <w:szCs w:val="18"/>
              </w:rPr>
              <w:t xml:space="preserve">Roads capital BE (₹ crore)</w:t>
            </w:r>
          </w:p>
        </w:tc>
        <w:tc>
          <w:tcPr>
            <w:tcW w:w="1600" w:type="dxa"/>
            <w:shd w:val="clear" w:color="auto" w:fill="1F4E78"/>
          </w:tcPr>
          <w:p>
            <w:pPr>
              <w:pStyle w:val="TableText"/>
              <w:keepLines/>
            </w:pPr>
            <w:r>
              <w:rPr>
                <w:b/>
                <w:color w:val="FFFFFF"/>
                <w:sz w:val="18"/>
                <w:szCs w:val="18"/>
              </w:rPr>
              <w:t xml:space="preserve">Status</w:t>
            </w:r>
          </w:p>
        </w:tc>
      </w:tr>
      <w:tr>
        <w:trPr>
          <w:cantSplit/>
        </w:trPr>
        <w:tc>
          <w:tcPr>
            <w:tcW w:w="1800" w:type="dxa"/>
          </w:tcPr>
          <w:p>
            <w:pPr>
              <w:pStyle w:val="TableText"/>
              <w:keepLines/>
            </w:pPr>
            <w:r>
              <w:rPr>
                <w:sz w:val="18"/>
                <w:szCs w:val="18"/>
              </w:rPr>
              <w:t xml:space="preserve">FY2018-19</w:t>
            </w:r>
          </w:p>
        </w:tc>
        <w:tc>
          <w:tcPr>
            <w:tcW w:w="2800" w:type="dxa"/>
          </w:tcPr>
          <w:p>
            <w:pPr>
              <w:pStyle w:val="TableText"/>
              <w:keepLines/>
            </w:pPr>
            <w:r>
              <w:rPr>
                <w:sz w:val="18"/>
                <w:szCs w:val="18"/>
              </w:rPr>
              <w:t xml:space="preserve">53,060.00</w:t>
            </w:r>
          </w:p>
        </w:tc>
        <w:tc>
          <w:tcPr>
            <w:tcW w:w="2800" w:type="dxa"/>
          </w:tcPr>
          <w:p>
            <w:pPr>
              <w:pStyle w:val="TableText"/>
              <w:keepLines/>
            </w:pPr>
            <w:r>
              <w:rPr>
                <w:sz w:val="18"/>
                <w:szCs w:val="18"/>
              </w:rPr>
              <w:t xml:space="preserve">59,440.25</w:t>
            </w:r>
          </w:p>
        </w:tc>
        <w:tc>
          <w:tcPr>
            <w:tcW w:w="1600" w:type="dxa"/>
          </w:tcPr>
          <w:p>
            <w:pPr>
              <w:pStyle w:val="TableText"/>
              <w:keepLines/>
            </w:pPr>
            <w:r>
              <w:rPr>
                <w:sz w:val="18"/>
                <w:szCs w:val="18"/>
              </w:rPr>
              <w:t xml:space="preserve">Budget Estimate</w:t>
            </w:r>
          </w:p>
        </w:tc>
      </w:tr>
      <w:tr>
        <w:trPr>
          <w:cantSplit/>
        </w:trPr>
        <w:tc>
          <w:tcPr>
            <w:tcW w:w="1800" w:type="dxa"/>
          </w:tcPr>
          <w:p>
            <w:pPr>
              <w:pStyle w:val="TableText"/>
              <w:keepLines/>
            </w:pPr>
            <w:r>
              <w:rPr>
                <w:sz w:val="18"/>
                <w:szCs w:val="18"/>
              </w:rPr>
              <w:t xml:space="preserve">FY2019-20</w:t>
            </w:r>
          </w:p>
        </w:tc>
        <w:tc>
          <w:tcPr>
            <w:tcW w:w="2800" w:type="dxa"/>
          </w:tcPr>
          <w:p>
            <w:pPr>
              <w:pStyle w:val="TableText"/>
              <w:keepLines/>
            </w:pPr>
            <w:r>
              <w:rPr>
                <w:sz w:val="18"/>
                <w:szCs w:val="18"/>
              </w:rPr>
              <w:t xml:space="preserve">65,837.00</w:t>
            </w:r>
          </w:p>
        </w:tc>
        <w:tc>
          <w:tcPr>
            <w:tcW w:w="2800" w:type="dxa"/>
          </w:tcPr>
          <w:p>
            <w:pPr>
              <w:pStyle w:val="TableText"/>
              <w:keepLines/>
            </w:pPr>
            <w:r>
              <w:rPr>
                <w:sz w:val="18"/>
                <w:szCs w:val="18"/>
              </w:rPr>
              <w:t xml:space="preserve">72,058.58</w:t>
            </w:r>
          </w:p>
        </w:tc>
        <w:tc>
          <w:tcPr>
            <w:tcW w:w="1600" w:type="dxa"/>
          </w:tcPr>
          <w:p>
            <w:pPr>
              <w:pStyle w:val="TableText"/>
              <w:keepLines/>
            </w:pPr>
            <w:r>
              <w:rPr>
                <w:sz w:val="18"/>
                <w:szCs w:val="18"/>
              </w:rPr>
              <w:t xml:space="preserve">Budget Estimate</w:t>
            </w:r>
          </w:p>
        </w:tc>
      </w:tr>
      <w:tr>
        <w:trPr>
          <w:cantSplit/>
        </w:trPr>
        <w:tc>
          <w:tcPr>
            <w:tcW w:w="1800" w:type="dxa"/>
          </w:tcPr>
          <w:p>
            <w:pPr>
              <w:pStyle w:val="TableText"/>
              <w:keepLines/>
            </w:pPr>
            <w:r>
              <w:rPr>
                <w:sz w:val="18"/>
                <w:szCs w:val="18"/>
              </w:rPr>
              <w:t xml:space="preserve">FY2020-21</w:t>
            </w:r>
          </w:p>
        </w:tc>
        <w:tc>
          <w:tcPr>
            <w:tcW w:w="2800" w:type="dxa"/>
          </w:tcPr>
          <w:p>
            <w:pPr>
              <w:pStyle w:val="TableText"/>
              <w:keepLines/>
            </w:pPr>
            <w:r>
              <w:rPr>
                <w:sz w:val="18"/>
                <w:szCs w:val="18"/>
              </w:rPr>
              <w:t xml:space="preserve">70,000.00</w:t>
            </w:r>
          </w:p>
        </w:tc>
        <w:tc>
          <w:tcPr>
            <w:tcW w:w="2800" w:type="dxa"/>
          </w:tcPr>
          <w:p>
            <w:pPr>
              <w:pStyle w:val="TableText"/>
              <w:keepLines/>
            </w:pPr>
            <w:r>
              <w:rPr>
                <w:sz w:val="18"/>
                <w:szCs w:val="18"/>
              </w:rPr>
              <w:t xml:space="preserve">81,974.71</w:t>
            </w:r>
          </w:p>
        </w:tc>
        <w:tc>
          <w:tcPr>
            <w:tcW w:w="1600" w:type="dxa"/>
          </w:tcPr>
          <w:p>
            <w:pPr>
              <w:pStyle w:val="TableText"/>
              <w:keepLines/>
            </w:pPr>
            <w:r>
              <w:rPr>
                <w:sz w:val="18"/>
                <w:szCs w:val="18"/>
              </w:rPr>
              <w:t xml:space="preserve">Budget Estimate</w:t>
            </w:r>
          </w:p>
        </w:tc>
      </w:tr>
      <w:tr>
        <w:trPr>
          <w:cantSplit/>
        </w:trPr>
        <w:tc>
          <w:tcPr>
            <w:tcW w:w="1800" w:type="dxa"/>
          </w:tcPr>
          <w:p>
            <w:pPr>
              <w:pStyle w:val="TableText"/>
              <w:keepLines/>
            </w:pPr>
            <w:r>
              <w:rPr>
                <w:sz w:val="18"/>
                <w:szCs w:val="18"/>
              </w:rPr>
              <w:t xml:space="preserve">FY2021-22</w:t>
            </w:r>
          </w:p>
        </w:tc>
        <w:tc>
          <w:tcPr>
            <w:tcW w:w="2800" w:type="dxa"/>
          </w:tcPr>
          <w:p>
            <w:pPr>
              <w:pStyle w:val="TableText"/>
              <w:keepLines/>
            </w:pPr>
            <w:r>
              <w:rPr>
                <w:sz w:val="18"/>
                <w:szCs w:val="18"/>
              </w:rPr>
              <w:t xml:space="preserve">107,100.00</w:t>
            </w:r>
          </w:p>
        </w:tc>
        <w:tc>
          <w:tcPr>
            <w:tcW w:w="2800" w:type="dxa"/>
          </w:tcPr>
          <w:p>
            <w:pPr>
              <w:pStyle w:val="TableText"/>
              <w:keepLines/>
            </w:pPr>
            <w:r>
              <w:rPr>
                <w:sz w:val="18"/>
                <w:szCs w:val="18"/>
              </w:rPr>
              <w:t xml:space="preserve">108,230.11</w:t>
            </w:r>
          </w:p>
        </w:tc>
        <w:tc>
          <w:tcPr>
            <w:tcW w:w="1600" w:type="dxa"/>
          </w:tcPr>
          <w:p>
            <w:pPr>
              <w:pStyle w:val="TableText"/>
              <w:keepLines/>
            </w:pPr>
            <w:r>
              <w:rPr>
                <w:sz w:val="18"/>
                <w:szCs w:val="18"/>
              </w:rPr>
              <w:t xml:space="preserve">Budget Estimate</w:t>
            </w:r>
          </w:p>
        </w:tc>
      </w:tr>
      <w:tr>
        <w:trPr>
          <w:cantSplit/>
        </w:trPr>
        <w:tc>
          <w:tcPr>
            <w:tcW w:w="1800" w:type="dxa"/>
          </w:tcPr>
          <w:p>
            <w:pPr>
              <w:pStyle w:val="TableText"/>
              <w:keepLines/>
            </w:pPr>
            <w:r>
              <w:rPr>
                <w:sz w:val="18"/>
                <w:szCs w:val="18"/>
              </w:rPr>
              <w:t xml:space="preserve">FY2022-23</w:t>
            </w:r>
          </w:p>
        </w:tc>
        <w:tc>
          <w:tcPr>
            <w:tcW w:w="2800" w:type="dxa"/>
          </w:tcPr>
          <w:p>
            <w:pPr>
              <w:pStyle w:val="TableText"/>
              <w:keepLines/>
            </w:pPr>
            <w:r>
              <w:rPr>
                <w:sz w:val="18"/>
                <w:szCs w:val="18"/>
              </w:rPr>
              <w:t xml:space="preserve">137,100.00</w:t>
            </w:r>
          </w:p>
        </w:tc>
        <w:tc>
          <w:tcPr>
            <w:tcW w:w="2800" w:type="dxa"/>
          </w:tcPr>
          <w:p>
            <w:pPr>
              <w:pStyle w:val="TableText"/>
              <w:keepLines/>
            </w:pPr>
            <w:r>
              <w:rPr>
                <w:sz w:val="18"/>
                <w:szCs w:val="18"/>
              </w:rPr>
              <w:t xml:space="preserve">187,744.00</w:t>
            </w:r>
          </w:p>
        </w:tc>
        <w:tc>
          <w:tcPr>
            <w:tcW w:w="1600" w:type="dxa"/>
          </w:tcPr>
          <w:p>
            <w:pPr>
              <w:pStyle w:val="TableText"/>
              <w:keepLines/>
            </w:pPr>
            <w:r>
              <w:rPr>
                <w:sz w:val="18"/>
                <w:szCs w:val="18"/>
              </w:rPr>
              <w:t xml:space="preserve">Budget Estimate</w:t>
            </w:r>
          </w:p>
        </w:tc>
      </w:tr>
      <w:tr>
        <w:trPr>
          <w:cantSplit/>
        </w:trPr>
        <w:tc>
          <w:tcPr>
            <w:tcW w:w="1800" w:type="dxa"/>
          </w:tcPr>
          <w:p>
            <w:pPr>
              <w:pStyle w:val="TableText"/>
              <w:keepLines/>
            </w:pPr>
            <w:r>
              <w:rPr>
                <w:sz w:val="18"/>
                <w:szCs w:val="18"/>
              </w:rPr>
              <w:t xml:space="preserve">FY2023-24</w:t>
            </w:r>
          </w:p>
        </w:tc>
        <w:tc>
          <w:tcPr>
            <w:tcW w:w="2800" w:type="dxa"/>
          </w:tcPr>
          <w:p>
            <w:pPr>
              <w:pStyle w:val="TableText"/>
              <w:keepLines/>
            </w:pPr>
            <w:r>
              <w:rPr>
                <w:sz w:val="18"/>
                <w:szCs w:val="18"/>
              </w:rPr>
              <w:t xml:space="preserve">240,000.00</w:t>
            </w:r>
          </w:p>
        </w:tc>
        <w:tc>
          <w:tcPr>
            <w:tcW w:w="2800" w:type="dxa"/>
          </w:tcPr>
          <w:p>
            <w:pPr>
              <w:pStyle w:val="TableText"/>
              <w:keepLines/>
            </w:pPr>
            <w:r>
              <w:rPr>
                <w:sz w:val="18"/>
                <w:szCs w:val="18"/>
              </w:rPr>
              <w:t xml:space="preserve">258,605.53</w:t>
            </w:r>
          </w:p>
        </w:tc>
        <w:tc>
          <w:tcPr>
            <w:tcW w:w="1600" w:type="dxa"/>
          </w:tcPr>
          <w:p>
            <w:pPr>
              <w:pStyle w:val="TableText"/>
              <w:keepLines/>
            </w:pPr>
            <w:r>
              <w:rPr>
                <w:sz w:val="18"/>
                <w:szCs w:val="18"/>
              </w:rPr>
              <w:t xml:space="preserve">Budget Estimate</w:t>
            </w:r>
          </w:p>
        </w:tc>
      </w:tr>
      <w:tr>
        <w:trPr>
          <w:cantSplit/>
        </w:trPr>
        <w:tc>
          <w:tcPr>
            <w:tcW w:w="1800" w:type="dxa"/>
          </w:tcPr>
          <w:p>
            <w:pPr>
              <w:pStyle w:val="TableText"/>
              <w:keepLines/>
            </w:pPr>
            <w:r>
              <w:rPr>
                <w:sz w:val="18"/>
                <w:szCs w:val="18"/>
              </w:rPr>
              <w:t xml:space="preserve">FY2024-25</w:t>
            </w:r>
          </w:p>
        </w:tc>
        <w:tc>
          <w:tcPr>
            <w:tcW w:w="2800" w:type="dxa"/>
          </w:tcPr>
          <w:p>
            <w:pPr>
              <w:pStyle w:val="TableText"/>
              <w:keepLines/>
            </w:pPr>
            <w:r>
              <w:rPr>
                <w:sz w:val="18"/>
                <w:szCs w:val="18"/>
              </w:rPr>
              <w:t xml:space="preserve">252,000.00</w:t>
            </w:r>
          </w:p>
        </w:tc>
        <w:tc>
          <w:tcPr>
            <w:tcW w:w="2800" w:type="dxa"/>
          </w:tcPr>
          <w:p>
            <w:pPr>
              <w:pStyle w:val="TableText"/>
              <w:keepLines/>
            </w:pPr>
            <w:r>
              <w:rPr>
                <w:sz w:val="18"/>
                <w:szCs w:val="18"/>
              </w:rPr>
              <w:t xml:space="preserve">272,241.15</w:t>
            </w:r>
          </w:p>
        </w:tc>
        <w:tc>
          <w:tcPr>
            <w:tcW w:w="1600" w:type="dxa"/>
          </w:tcPr>
          <w:p>
            <w:pPr>
              <w:pStyle w:val="TableText"/>
              <w:keepLines/>
            </w:pPr>
            <w:r>
              <w:rPr>
                <w:sz w:val="18"/>
                <w:szCs w:val="18"/>
              </w:rPr>
              <w:t xml:space="preserve">Budget Estimate</w:t>
            </w:r>
          </w:p>
        </w:tc>
      </w:tr>
      <w:tr>
        <w:trPr>
          <w:cantSplit/>
        </w:trPr>
        <w:tc>
          <w:tcPr>
            <w:tcW w:w="1800" w:type="dxa"/>
          </w:tcPr>
          <w:p>
            <w:pPr>
              <w:pStyle w:val="TableText"/>
              <w:keepLines/>
            </w:pPr>
            <w:r>
              <w:rPr>
                <w:sz w:val="18"/>
                <w:szCs w:val="18"/>
              </w:rPr>
              <w:t xml:space="preserve">FY2025-26</w:t>
            </w:r>
          </w:p>
        </w:tc>
        <w:tc>
          <w:tcPr>
            <w:tcW w:w="2800" w:type="dxa"/>
          </w:tcPr>
          <w:p>
            <w:pPr>
              <w:pStyle w:val="TableText"/>
              <w:keepLines/>
            </w:pPr>
            <w:r>
              <w:rPr>
                <w:sz w:val="18"/>
                <w:szCs w:val="18"/>
              </w:rPr>
              <w:t xml:space="preserve">252,000.00</w:t>
            </w:r>
          </w:p>
        </w:tc>
        <w:tc>
          <w:tcPr>
            <w:tcW w:w="2800" w:type="dxa"/>
          </w:tcPr>
          <w:p>
            <w:pPr>
              <w:pStyle w:val="TableText"/>
              <w:keepLines/>
            </w:pPr>
            <w:r>
              <w:rPr>
                <w:sz w:val="18"/>
                <w:szCs w:val="18"/>
              </w:rPr>
              <w:t xml:space="preserve">272,241.15</w:t>
            </w:r>
          </w:p>
        </w:tc>
        <w:tc>
          <w:tcPr>
            <w:tcW w:w="1600" w:type="dxa"/>
          </w:tcPr>
          <w:p>
            <w:pPr>
              <w:pStyle w:val="TableText"/>
              <w:keepLines/>
            </w:pPr>
            <w:r>
              <w:rPr>
                <w:sz w:val="18"/>
                <w:szCs w:val="18"/>
              </w:rPr>
              <w:t xml:space="preserve">Budget Estimate</w:t>
            </w:r>
          </w:p>
        </w:tc>
      </w:tr>
    </w:tbl>
    <w:p>
      <w:pPr>
        <w:spacing w:after="80"/>
      </w:pPr>
      <w:r>
        <w:t xml:space="preserve"/>
      </w:r>
    </w:p>
    <w:p>
      <w:pPr>
        <w:pStyle w:val="Heading2"/>
        <w:keepNext/>
      </w:pPr>
      <w:r>
        <w:t xml:space="preserve">Published physical-delivery observations</w:t>
      </w:r>
    </w:p>
    <w:tbl>
      <w:tblPr>
        <w:tblStyle w:val="ArchitectureTable"/>
        <w:tblW w:w="0" w:type="auto"/>
        <w:tblLayout w:type="fixed"/>
      </w:tblPr>
      <w:tblGrid>
        <w:gridCol w:w="2000"/>
        <w:gridCol w:w="3700"/>
        <w:gridCol w:w="3300"/>
      </w:tblGrid>
      <w:tr>
        <w:trPr>
          <w:tblHeader/>
          <w:cantSplit/>
        </w:trPr>
        <w:tc>
          <w:tcPr>
            <w:tcW w:w="2000" w:type="dxa"/>
            <w:shd w:val="clear" w:color="auto" w:fill="1F4E78"/>
          </w:tcPr>
          <w:p>
            <w:pPr>
              <w:pStyle w:val="TableText"/>
              <w:keepLines/>
            </w:pPr>
            <w:r>
              <w:rPr>
                <w:b/>
                <w:color w:val="FFFFFF"/>
                <w:sz w:val="18"/>
                <w:szCs w:val="18"/>
              </w:rPr>
              <w:t xml:space="preserve">Fiscal year</w:t>
            </w:r>
          </w:p>
        </w:tc>
        <w:tc>
          <w:tcPr>
            <w:tcW w:w="3700" w:type="dxa"/>
            <w:shd w:val="clear" w:color="auto" w:fill="1F4E78"/>
          </w:tcPr>
          <w:p>
            <w:pPr>
              <w:pStyle w:val="TableText"/>
              <w:keepLines/>
            </w:pPr>
            <w:r>
              <w:rPr>
                <w:b/>
                <w:color w:val="FFFFFF"/>
                <w:sz w:val="18"/>
                <w:szCs w:val="18"/>
              </w:rPr>
              <w:t xml:space="preserve">National highways constructed (km)</w:t>
            </w:r>
          </w:p>
        </w:tc>
        <w:tc>
          <w:tcPr>
            <w:tcW w:w="3300" w:type="dxa"/>
            <w:shd w:val="clear" w:color="auto" w:fill="1F4E78"/>
          </w:tcPr>
          <w:p>
            <w:pPr>
              <w:pStyle w:val="TableText"/>
              <w:keepLines/>
            </w:pPr>
            <w:r>
              <w:rPr>
                <w:b/>
                <w:color w:val="FFFFFF"/>
                <w:sz w:val="18"/>
                <w:szCs w:val="18"/>
              </w:rPr>
              <w:t xml:space="preserve">Railway route electrified (Rkm)</w:t>
            </w:r>
          </w:p>
        </w:tc>
      </w:tr>
      <w:tr>
        <w:trPr>
          <w:cantSplit/>
        </w:trPr>
        <w:tc>
          <w:tcPr>
            <w:tcW w:w="2000" w:type="dxa"/>
          </w:tcPr>
          <w:p>
            <w:pPr>
              <w:pStyle w:val="TableText"/>
              <w:keepLines/>
            </w:pPr>
            <w:r>
              <w:rPr>
                <w:sz w:val="18"/>
                <w:szCs w:val="18"/>
              </w:rPr>
              <w:t xml:space="preserve">FY2018-19</w:t>
            </w:r>
          </w:p>
        </w:tc>
        <w:tc>
          <w:tcPr>
            <w:tcW w:w="3700" w:type="dxa"/>
          </w:tcPr>
          <w:p>
            <w:pPr>
              <w:pStyle w:val="TableText"/>
              <w:keepLines/>
            </w:pPr>
            <w:r>
              <w:rPr>
                <w:sz w:val="18"/>
                <w:szCs w:val="18"/>
              </w:rPr>
              <w:t xml:space="preserve">10,855</w:t>
            </w:r>
          </w:p>
        </w:tc>
        <w:tc>
          <w:tcPr>
            <w:tcW w:w="3300" w:type="dxa"/>
          </w:tcPr>
          <w:p>
            <w:pPr>
              <w:pStyle w:val="TableText"/>
              <w:keepLines/>
            </w:pPr>
            <w:r>
              <w:rPr>
                <w:sz w:val="18"/>
                <w:szCs w:val="18"/>
              </w:rPr>
              <w:t xml:space="preserve">5,276</w:t>
            </w:r>
          </w:p>
        </w:tc>
      </w:tr>
      <w:tr>
        <w:trPr>
          <w:cantSplit/>
        </w:trPr>
        <w:tc>
          <w:tcPr>
            <w:tcW w:w="2000" w:type="dxa"/>
          </w:tcPr>
          <w:p>
            <w:pPr>
              <w:pStyle w:val="TableText"/>
              <w:keepLines/>
            </w:pPr>
            <w:r>
              <w:rPr>
                <w:sz w:val="18"/>
                <w:szCs w:val="18"/>
              </w:rPr>
              <w:t xml:space="preserve">FY2019-20</w:t>
            </w:r>
          </w:p>
        </w:tc>
        <w:tc>
          <w:tcPr>
            <w:tcW w:w="3700" w:type="dxa"/>
          </w:tcPr>
          <w:p>
            <w:pPr>
              <w:pStyle w:val="TableText"/>
              <w:keepLines/>
            </w:pPr>
            <w:r>
              <w:rPr>
                <w:sz w:val="18"/>
                <w:szCs w:val="18"/>
              </w:rPr>
              <w:t xml:space="preserve">10,237</w:t>
            </w:r>
          </w:p>
        </w:tc>
        <w:tc>
          <w:tcPr>
            <w:tcW w:w="3300" w:type="dxa"/>
          </w:tcPr>
          <w:p>
            <w:pPr>
              <w:pStyle w:val="TableText"/>
              <w:keepLines/>
            </w:pPr>
            <w:r>
              <w:rPr>
                <w:sz w:val="18"/>
                <w:szCs w:val="18"/>
              </w:rPr>
              <w:t xml:space="preserve">4,378</w:t>
            </w:r>
          </w:p>
        </w:tc>
      </w:tr>
      <w:tr>
        <w:trPr>
          <w:cantSplit/>
        </w:trPr>
        <w:tc>
          <w:tcPr>
            <w:tcW w:w="2000" w:type="dxa"/>
          </w:tcPr>
          <w:p>
            <w:pPr>
              <w:pStyle w:val="TableText"/>
              <w:keepLines/>
            </w:pPr>
            <w:r>
              <w:rPr>
                <w:sz w:val="18"/>
                <w:szCs w:val="18"/>
              </w:rPr>
              <w:t xml:space="preserve">FY2020-21</w:t>
            </w:r>
          </w:p>
        </w:tc>
        <w:tc>
          <w:tcPr>
            <w:tcW w:w="3700" w:type="dxa"/>
          </w:tcPr>
          <w:p>
            <w:pPr>
              <w:pStyle w:val="TableText"/>
              <w:keepLines/>
            </w:pPr>
            <w:r>
              <w:rPr>
                <w:sz w:val="18"/>
                <w:szCs w:val="18"/>
              </w:rPr>
              <w:t xml:space="preserve">13,327</w:t>
            </w:r>
          </w:p>
        </w:tc>
        <w:tc>
          <w:tcPr>
            <w:tcW w:w="3300" w:type="dxa"/>
          </w:tcPr>
          <w:p>
            <w:pPr>
              <w:pStyle w:val="TableText"/>
              <w:keepLines/>
            </w:pPr>
            <w:r>
              <w:rPr>
                <w:sz w:val="18"/>
                <w:szCs w:val="18"/>
              </w:rPr>
              <w:t xml:space="preserve">6,015</w:t>
            </w:r>
          </w:p>
        </w:tc>
      </w:tr>
      <w:tr>
        <w:trPr>
          <w:cantSplit/>
        </w:trPr>
        <w:tc>
          <w:tcPr>
            <w:tcW w:w="2000" w:type="dxa"/>
          </w:tcPr>
          <w:p>
            <w:pPr>
              <w:pStyle w:val="TableText"/>
              <w:keepLines/>
            </w:pPr>
            <w:r>
              <w:rPr>
                <w:sz w:val="18"/>
                <w:szCs w:val="18"/>
              </w:rPr>
              <w:t xml:space="preserve">FY2021-22</w:t>
            </w:r>
          </w:p>
        </w:tc>
        <w:tc>
          <w:tcPr>
            <w:tcW w:w="3700" w:type="dxa"/>
          </w:tcPr>
          <w:p>
            <w:pPr>
              <w:pStyle w:val="TableText"/>
              <w:keepLines/>
            </w:pPr>
            <w:r>
              <w:rPr>
                <w:sz w:val="18"/>
                <w:szCs w:val="18"/>
              </w:rPr>
              <w:t xml:space="preserve">10,457</w:t>
            </w:r>
          </w:p>
        </w:tc>
        <w:tc>
          <w:tcPr>
            <w:tcW w:w="3300" w:type="dxa"/>
          </w:tcPr>
          <w:p>
            <w:pPr>
              <w:pStyle w:val="TableText"/>
              <w:keepLines/>
            </w:pPr>
            <w:r>
              <w:rPr>
                <w:sz w:val="18"/>
                <w:szCs w:val="18"/>
              </w:rPr>
              <w:t xml:space="preserve">6,366</w:t>
            </w:r>
          </w:p>
        </w:tc>
      </w:tr>
      <w:tr>
        <w:trPr>
          <w:cantSplit/>
        </w:trPr>
        <w:tc>
          <w:tcPr>
            <w:tcW w:w="2000" w:type="dxa"/>
          </w:tcPr>
          <w:p>
            <w:pPr>
              <w:pStyle w:val="TableText"/>
              <w:keepLines/>
            </w:pPr>
            <w:r>
              <w:rPr>
                <w:sz w:val="18"/>
                <w:szCs w:val="18"/>
              </w:rPr>
              <w:t xml:space="preserve">FY2022-23</w:t>
            </w:r>
          </w:p>
        </w:tc>
        <w:tc>
          <w:tcPr>
            <w:tcW w:w="3700" w:type="dxa"/>
          </w:tcPr>
          <w:p>
            <w:pPr>
              <w:pStyle w:val="TableText"/>
              <w:keepLines/>
            </w:pPr>
            <w:r>
              <w:rPr>
                <w:sz w:val="18"/>
                <w:szCs w:val="18"/>
              </w:rPr>
              <w:t xml:space="preserve">10,331</w:t>
            </w:r>
          </w:p>
        </w:tc>
        <w:tc>
          <w:tcPr>
            <w:tcW w:w="3300" w:type="dxa"/>
          </w:tcPr>
          <w:p>
            <w:pPr>
              <w:pStyle w:val="TableText"/>
              <w:keepLines/>
            </w:pPr>
            <w:r>
              <w:rPr>
                <w:sz w:val="18"/>
                <w:szCs w:val="18"/>
              </w:rPr>
              <w:t xml:space="preserve">6,565</w:t>
            </w:r>
          </w:p>
        </w:tc>
      </w:tr>
      <w:tr>
        <w:trPr>
          <w:cantSplit/>
        </w:trPr>
        <w:tc>
          <w:tcPr>
            <w:tcW w:w="2000" w:type="dxa"/>
          </w:tcPr>
          <w:p>
            <w:pPr>
              <w:pStyle w:val="TableText"/>
              <w:keepLines/>
            </w:pPr>
            <w:r>
              <w:rPr>
                <w:sz w:val="18"/>
                <w:szCs w:val="18"/>
              </w:rPr>
              <w:t xml:space="preserve">FY2023-24</w:t>
            </w:r>
          </w:p>
        </w:tc>
        <w:tc>
          <w:tcPr>
            <w:tcW w:w="3700" w:type="dxa"/>
          </w:tcPr>
          <w:p>
            <w:pPr>
              <w:pStyle w:val="TableText"/>
              <w:keepLines/>
            </w:pPr>
            <w:r>
              <w:rPr>
                <w:sz w:val="18"/>
                <w:szCs w:val="18"/>
              </w:rPr>
              <w:t xml:space="preserve">12,349</w:t>
            </w:r>
          </w:p>
        </w:tc>
        <w:tc>
          <w:tcPr>
            <w:tcW w:w="3300" w:type="dxa"/>
          </w:tcPr>
          <w:p>
            <w:pPr>
              <w:pStyle w:val="TableText"/>
              <w:keepLines/>
            </w:pPr>
            <w:r>
              <w:rPr>
                <w:sz w:val="18"/>
                <w:szCs w:val="18"/>
              </w:rPr>
              <w:t xml:space="preserve">4,644</w:t>
            </w:r>
          </w:p>
        </w:tc>
      </w:tr>
    </w:tbl>
    <w:p>
      <w:pPr>
        <w:spacing w:after="80"/>
      </w:pPr>
      <w:r>
        <w:t xml:space="preserve"/>
      </w:r>
    </w:p>
    <w:p>
      <w:pPr>
        <w:pStyle w:val="Heading1"/>
        <w:keepNext/>
      </w:pPr>
      <w:r>
        <w:t xml:space="preserve">6. Stage 2A — CapEx-sensitive market response</w:t>
      </w:r>
    </w:p>
    <w:p>
      <w:pPr>
        <w:keepLines/>
        <w:spacing w:before="120" w:after="160"/>
        <w:ind w:left="180"/>
        <w:pBdr>
          <w:left w:val="single" w:sz="18" w:space="10" w:color="2E7D6B"/>
        </w:pBdr>
        <w:shd w:val="clear" w:color="auto" w:fill="ECFDF5"/>
      </w:pPr>
      <w:r>
        <w:rPr>
          <w:b/>
          <w:color w:val="2E7D6B"/>
        </w:rPr>
        <w:t xml:space="preserve">Question answered  </w:t>
      </w:r>
      <w:r>
        <w:t xml:space="preserve">Did sectors expected to benefit from the CapEx cycle outperform the broad market, and did they differ from a defensive control?</w:t>
      </w:r>
    </w:p>
    <w:p>
      <w:r>
        <w:t xml:space="preserve">Markets aggregate expectations about future cash flows, discount rates and risk. They can react before expenditure appears in annual accounts, which makes them informative about expectations but unsuitable as proof of realised productive investment.</w:t>
      </w:r>
    </w:p>
    <w:tbl>
      <w:tblPr>
        <w:tblStyle w:val="ArchitectureTable"/>
        <w:tblW w:w="0" w:type="auto"/>
        <w:tblLayout w:type="fixed"/>
      </w:tblPr>
      <w:tblGrid>
        <w:gridCol w:w="1500"/>
        <w:gridCol w:w="2300"/>
        <w:gridCol w:w="2700"/>
        <w:gridCol w:w="2500"/>
      </w:tblGrid>
      <w:tr>
        <w:trPr>
          <w:tblHeader/>
          <w:cantSplit/>
        </w:trPr>
        <w:tc>
          <w:tcPr>
            <w:tcW w:w="1500" w:type="dxa"/>
            <w:shd w:val="clear" w:color="auto" w:fill="1F4E78"/>
          </w:tcPr>
          <w:p>
            <w:pPr>
              <w:pStyle w:val="TableText"/>
              <w:keepLines/>
            </w:pPr>
            <w:r>
              <w:rPr>
                <w:b/>
                <w:color w:val="FFFFFF"/>
                <w:sz w:val="15"/>
                <w:szCs w:val="15"/>
              </w:rPr>
              <w:t xml:space="preserve">Metric</w:t>
            </w:r>
          </w:p>
        </w:tc>
        <w:tc>
          <w:tcPr>
            <w:tcW w:w="2300" w:type="dxa"/>
            <w:shd w:val="clear" w:color="auto" w:fill="1F4E78"/>
          </w:tcPr>
          <w:p>
            <w:pPr>
              <w:pStyle w:val="TableText"/>
              <w:keepLines/>
            </w:pPr>
            <w:r>
              <w:rPr>
                <w:b/>
                <w:color w:val="FFFFFF"/>
                <w:sz w:val="15"/>
                <w:szCs w:val="15"/>
              </w:rPr>
              <w:t xml:space="preserve">Economic justification</w:t>
            </w:r>
          </w:p>
        </w:tc>
        <w:tc>
          <w:tcPr>
            <w:tcW w:w="2700" w:type="dxa"/>
            <w:shd w:val="clear" w:color="auto" w:fill="1F4E78"/>
          </w:tcPr>
          <w:p>
            <w:pPr>
              <w:pStyle w:val="TableText"/>
              <w:keepLines/>
            </w:pPr>
            <w:r>
              <w:rPr>
                <w:b/>
                <w:color w:val="FFFFFF"/>
                <w:sz w:val="15"/>
                <w:szCs w:val="15"/>
              </w:rPr>
              <w:t xml:space="preserve">Production and formula</w:t>
            </w:r>
          </w:p>
        </w:tc>
        <w:tc>
          <w:tcPr>
            <w:tcW w:w="2500" w:type="dxa"/>
            <w:shd w:val="clear" w:color="auto" w:fill="1F4E78"/>
          </w:tcPr>
          <w:p>
            <w:pPr>
              <w:pStyle w:val="TableText"/>
              <w:keepLines/>
            </w:pPr>
            <w:r>
              <w:rPr>
                <w:b/>
                <w:color w:val="FFFFFF"/>
                <w:sz w:val="15"/>
                <w:szCs w:val="15"/>
              </w:rPr>
              <w:t xml:space="preserve">Interpretation and limitations</w:t>
            </w:r>
          </w:p>
        </w:tc>
      </w:tr>
      <w:tr>
        <w:trPr>
          <w:cantSplit/>
        </w:trPr>
        <w:tc>
          <w:tcPr>
            <w:tcW w:w="1500" w:type="dxa"/>
          </w:tcPr>
          <w:p>
            <w:pPr>
              <w:pStyle w:val="TableText"/>
              <w:keepLines/>
            </w:pPr>
            <w:r>
              <w:rPr>
                <w:sz w:val="15"/>
                <w:szCs w:val="15"/>
              </w:rPr>
              <w:t xml:space="preserve">Nifty Capital Goods TRI</w:t>
            </w:r>
          </w:p>
        </w:tc>
        <w:tc>
          <w:tcPr>
            <w:tcW w:w="2300" w:type="dxa"/>
          </w:tcPr>
          <w:p>
            <w:pPr>
              <w:pStyle w:val="TableText"/>
              <w:keepLines/>
            </w:pPr>
            <w:r>
              <w:rPr>
                <w:sz w:val="15"/>
                <w:szCs w:val="15"/>
              </w:rPr>
              <w:t xml:space="preserve">Direct exposure to machinery, electrical equipment, engineering and investment-cycle demand.</w:t>
            </w:r>
          </w:p>
        </w:tc>
        <w:tc>
          <w:tcPr>
            <w:tcW w:w="2700" w:type="dxa"/>
          </w:tcPr>
          <w:p>
            <w:pPr>
              <w:pStyle w:val="TableText"/>
              <w:keepLines/>
            </w:pPr>
            <w:r>
              <w:rPr>
                <w:sz w:val="15"/>
                <w:szCs w:val="15"/>
              </w:rPr>
              <w:t xml:space="preserve">Official total-return index including reinvested distributions; sampled at the last available observation of each month.</w:t>
            </w:r>
          </w:p>
        </w:tc>
        <w:tc>
          <w:tcPr>
            <w:tcW w:w="2500" w:type="dxa"/>
          </w:tcPr>
          <w:p>
            <w:pPr>
              <w:pStyle w:val="TableText"/>
              <w:keepLines/>
            </w:pPr>
            <w:r>
              <w:rPr>
                <w:sz w:val="15"/>
                <w:szCs w:val="15"/>
              </w:rPr>
              <w:t xml:space="preserve">Strong performance may reflect domestic investment expectations, order cycles or valuation changes; attribution to government CapEx is not automatic.</w:t>
            </w:r>
          </w:p>
        </w:tc>
      </w:tr>
      <w:tr>
        <w:trPr>
          <w:cantSplit/>
        </w:trPr>
        <w:tc>
          <w:tcPr>
            <w:tcW w:w="1500" w:type="dxa"/>
          </w:tcPr>
          <w:p>
            <w:pPr>
              <w:pStyle w:val="TableText"/>
              <w:keepLines/>
            </w:pPr>
            <w:r>
              <w:rPr>
                <w:sz w:val="15"/>
                <w:szCs w:val="15"/>
              </w:rPr>
              <w:t xml:space="preserve">Nifty Infrastructure TRI</w:t>
            </w:r>
          </w:p>
        </w:tc>
        <w:tc>
          <w:tcPr>
            <w:tcW w:w="2300" w:type="dxa"/>
          </w:tcPr>
          <w:p>
            <w:pPr>
              <w:pStyle w:val="TableText"/>
              <w:keepLines/>
            </w:pPr>
            <w:r>
              <w:rPr>
                <w:sz w:val="15"/>
                <w:szCs w:val="15"/>
              </w:rPr>
              <w:t xml:space="preserve">Broader exposure to infrastructure operators, builders and related sectors.</w:t>
            </w:r>
          </w:p>
        </w:tc>
        <w:tc>
          <w:tcPr>
            <w:tcW w:w="2700" w:type="dxa"/>
          </w:tcPr>
          <w:p>
            <w:pPr>
              <w:pStyle w:val="TableText"/>
              <w:keepLines/>
            </w:pPr>
            <w:r>
              <w:rPr>
                <w:sz w:val="15"/>
                <w:szCs w:val="15"/>
              </w:rPr>
              <w:t xml:space="preserve">Official TRI, aligned to the common monthly sample.</w:t>
            </w:r>
          </w:p>
        </w:tc>
        <w:tc>
          <w:tcPr>
            <w:tcW w:w="2500" w:type="dxa"/>
          </w:tcPr>
          <w:p>
            <w:pPr>
              <w:pStyle w:val="TableText"/>
              <w:keepLines/>
            </w:pPr>
            <w:r>
              <w:rPr>
                <w:sz w:val="15"/>
                <w:szCs w:val="15"/>
              </w:rPr>
              <w:t xml:space="preserve">Composition is heterogeneous and can respond to regulation, commodity prices and financing conditions.</w:t>
            </w:r>
          </w:p>
        </w:tc>
      </w:tr>
      <w:tr>
        <w:trPr>
          <w:cantSplit/>
        </w:trPr>
        <w:tc>
          <w:tcPr>
            <w:tcW w:w="1500" w:type="dxa"/>
          </w:tcPr>
          <w:p>
            <w:pPr>
              <w:pStyle w:val="TableText"/>
              <w:keepLines/>
            </w:pPr>
            <w:r>
              <w:rPr>
                <w:sz w:val="15"/>
                <w:szCs w:val="15"/>
              </w:rPr>
              <w:t xml:space="preserve">Nifty India Manufacturing TRI</w:t>
            </w:r>
          </w:p>
        </w:tc>
        <w:tc>
          <w:tcPr>
            <w:tcW w:w="2300" w:type="dxa"/>
          </w:tcPr>
          <w:p>
            <w:pPr>
              <w:pStyle w:val="TableText"/>
              <w:keepLines/>
            </w:pPr>
            <w:r>
              <w:rPr>
                <w:sz w:val="15"/>
                <w:szCs w:val="15"/>
              </w:rPr>
              <w:t xml:space="preserve">Tests whether the investment narrative extends beyond a narrow capital-goods basket.</w:t>
            </w:r>
          </w:p>
        </w:tc>
        <w:tc>
          <w:tcPr>
            <w:tcW w:w="2700" w:type="dxa"/>
          </w:tcPr>
          <w:p>
            <w:pPr>
              <w:pStyle w:val="TableText"/>
              <w:keepLines/>
            </w:pPr>
            <w:r>
              <w:rPr>
                <w:sz w:val="15"/>
                <w:szCs w:val="15"/>
              </w:rPr>
              <w:t xml:space="preserve">Official TRI on the same common dates.</w:t>
            </w:r>
          </w:p>
        </w:tc>
        <w:tc>
          <w:tcPr>
            <w:tcW w:w="2500" w:type="dxa"/>
          </w:tcPr>
          <w:p>
            <w:pPr>
              <w:pStyle w:val="TableText"/>
              <w:keepLines/>
            </w:pPr>
            <w:r>
              <w:rPr>
                <w:sz w:val="15"/>
                <w:szCs w:val="15"/>
              </w:rPr>
              <w:t xml:space="preserve">Captures wider manufacturing expectations and may dilute direct CapEx sensitivity.</w:t>
            </w:r>
          </w:p>
        </w:tc>
      </w:tr>
      <w:tr>
        <w:trPr>
          <w:cantSplit/>
        </w:trPr>
        <w:tc>
          <w:tcPr>
            <w:tcW w:w="1500" w:type="dxa"/>
          </w:tcPr>
          <w:p>
            <w:pPr>
              <w:pStyle w:val="TableText"/>
              <w:keepLines/>
            </w:pPr>
            <w:r>
              <w:rPr>
                <w:sz w:val="15"/>
                <w:szCs w:val="15"/>
              </w:rPr>
              <w:t xml:space="preserve">Nifty 50 TRI</w:t>
            </w:r>
          </w:p>
        </w:tc>
        <w:tc>
          <w:tcPr>
            <w:tcW w:w="2300" w:type="dxa"/>
          </w:tcPr>
          <w:p>
            <w:pPr>
              <w:pStyle w:val="TableText"/>
              <w:keepLines/>
            </w:pPr>
            <w:r>
              <w:rPr>
                <w:sz w:val="15"/>
                <w:szCs w:val="15"/>
              </w:rPr>
              <w:t xml:space="preserve">Provides the broad-market opportunity-cost benchmark.</w:t>
            </w:r>
          </w:p>
        </w:tc>
        <w:tc>
          <w:tcPr>
            <w:tcW w:w="2700" w:type="dxa"/>
          </w:tcPr>
          <w:p>
            <w:pPr>
              <w:pStyle w:val="TableText"/>
              <w:keepLines/>
            </w:pPr>
            <w:r>
              <w:rPr>
                <w:sz w:val="15"/>
                <w:szCs w:val="15"/>
              </w:rPr>
              <w:t xml:space="preserve">Official TRI. Standalone series are independently rebased to 100; relative wealth divides sector wealth by Nifty 50 wealth.</w:t>
            </w:r>
          </w:p>
        </w:tc>
        <w:tc>
          <w:tcPr>
            <w:tcW w:w="2500" w:type="dxa"/>
          </w:tcPr>
          <w:p>
            <w:pPr>
              <w:pStyle w:val="TableText"/>
              <w:keepLines/>
            </w:pPr>
            <w:r>
              <w:rPr>
                <w:sz w:val="15"/>
                <w:szCs w:val="15"/>
              </w:rPr>
              <w:t xml:space="preserve">A sector can rise in rupees yet underperform the broad market.</w:t>
            </w:r>
          </w:p>
        </w:tc>
      </w:tr>
      <w:tr>
        <w:trPr>
          <w:cantSplit/>
        </w:trPr>
        <w:tc>
          <w:tcPr>
            <w:tcW w:w="1500" w:type="dxa"/>
          </w:tcPr>
          <w:p>
            <w:pPr>
              <w:pStyle w:val="TableText"/>
              <w:keepLines/>
            </w:pPr>
            <w:r>
              <w:rPr>
                <w:sz w:val="15"/>
                <w:szCs w:val="15"/>
              </w:rPr>
              <w:t xml:space="preserve">Nifty FMCG TRI</w:t>
            </w:r>
          </w:p>
        </w:tc>
        <w:tc>
          <w:tcPr>
            <w:tcW w:w="2300" w:type="dxa"/>
          </w:tcPr>
          <w:p>
            <w:pPr>
              <w:pStyle w:val="TableText"/>
              <w:keepLines/>
            </w:pPr>
            <w:r>
              <w:rPr>
                <w:sz w:val="15"/>
                <w:szCs w:val="15"/>
              </w:rPr>
              <w:t xml:space="preserve">Provides a defensive, consumption-oriented comparison less directly linked to infrastructure investment.</w:t>
            </w:r>
          </w:p>
        </w:tc>
        <w:tc>
          <w:tcPr>
            <w:tcW w:w="2700" w:type="dxa"/>
          </w:tcPr>
          <w:p>
            <w:pPr>
              <w:pStyle w:val="TableText"/>
              <w:keepLines/>
            </w:pPr>
            <w:r>
              <w:rPr>
                <w:sz w:val="15"/>
                <w:szCs w:val="15"/>
              </w:rPr>
              <w:t xml:space="preserve">Official TRI displayed as a standalone rebased line; target-minus-FMCG returns are computed only inside the timing analysis.</w:t>
            </w:r>
          </w:p>
        </w:tc>
        <w:tc>
          <w:tcPr>
            <w:tcW w:w="2500" w:type="dxa"/>
          </w:tcPr>
          <w:p>
            <w:pPr>
              <w:pStyle w:val="TableText"/>
              <w:keepLines/>
            </w:pPr>
            <w:r>
              <w:rPr>
                <w:sz w:val="15"/>
                <w:szCs w:val="15"/>
              </w:rPr>
              <w:t xml:space="preserve">FMCG is a control comparison, not a formal untreated counterfactual.</w:t>
            </w:r>
          </w:p>
        </w:tc>
      </w:tr>
      <w:tr>
        <w:trPr>
          <w:cantSplit/>
        </w:trPr>
        <w:tc>
          <w:tcPr>
            <w:tcW w:w="1500" w:type="dxa"/>
          </w:tcPr>
          <w:p>
            <w:pPr>
              <w:pStyle w:val="TableText"/>
              <w:keepLines/>
            </w:pPr>
            <w:r>
              <w:rPr>
                <w:sz w:val="15"/>
                <w:szCs w:val="15"/>
              </w:rPr>
              <w:t xml:space="preserve">Relative wealth index</w:t>
            </w:r>
          </w:p>
        </w:tc>
        <w:tc>
          <w:tcPr>
            <w:tcW w:w="2300" w:type="dxa"/>
          </w:tcPr>
          <w:p>
            <w:pPr>
              <w:pStyle w:val="TableText"/>
              <w:keepLines/>
            </w:pPr>
            <w:r>
              <w:rPr>
                <w:sz w:val="15"/>
                <w:szCs w:val="15"/>
              </w:rPr>
              <w:t xml:space="preserve">Measures compounded outperformance rather than a single-period return gap.</w:t>
            </w:r>
          </w:p>
        </w:tc>
        <w:tc>
          <w:tcPr>
            <w:tcW w:w="2700" w:type="dxa"/>
          </w:tcPr>
          <w:p>
            <w:pPr>
              <w:pStyle w:val="TableText"/>
              <w:keepLines/>
            </w:pPr>
            <w:r>
              <w:rPr>
                <w:sz w:val="15"/>
                <w:szCs w:val="15"/>
              </w:rPr>
              <w:t xml:space="preserve">100 × cumulative product[(1+r_sector)/(1+r_Nifty50)].</w:t>
            </w:r>
          </w:p>
        </w:tc>
        <w:tc>
          <w:tcPr>
            <w:tcW w:w="2500" w:type="dxa"/>
          </w:tcPr>
          <w:p>
            <w:pPr>
              <w:pStyle w:val="TableText"/>
              <w:keepLines/>
            </w:pPr>
            <w:r>
              <w:rPr>
                <w:sz w:val="15"/>
                <w:szCs w:val="15"/>
              </w:rPr>
              <w:t xml:space="preserve">Above 100 means cumulative outperformance since the common start; it does not imply causal gains from CapEx.</w:t>
            </w:r>
          </w:p>
        </w:tc>
      </w:tr>
    </w:tbl>
    <w:p>
      <w:pPr>
        <w:spacing w:after="80"/>
      </w:pPr>
      <w:r>
        <w:t xml:space="preserve"/>
      </w:r>
    </w:p>
    <w:p>
      <w:r>
        <w:t xml:space="preserve">The common market sample runs from 2018-04-30 to 2026-07-30 across 5 official TRI histories. Using one common date matrix prevents an index with shorter coverage from being compared over a more favourable interval.</w:t>
      </w:r>
    </w:p>
    <w:p>
      <w:pPr>
        <w:pStyle w:val="Heading1"/>
        <w:keepNext/>
      </w:pPr>
      <w:r>
        <w:t xml:space="preserve">7. Stage 2B — Timing and correlation explorer</w:t>
      </w:r>
    </w:p>
    <w:p>
      <w:pPr>
        <w:keepLines/>
        <w:spacing w:before="120" w:after="160"/>
        <w:ind w:left="180"/>
        <w:pBdr>
          <w:left w:val="single" w:sz="18" w:space="10" w:color="2E7D6B"/>
        </w:pBdr>
        <w:shd w:val="clear" w:color="auto" w:fill="ECFDF5"/>
      </w:pPr>
      <w:r>
        <w:rPr>
          <w:b/>
          <w:color w:val="2E7D6B"/>
        </w:rPr>
        <w:t xml:space="preserve">Question answered  </w:t>
      </w:r>
      <w:r>
        <w:t xml:space="preserve">Does CapEx growth occur before sector returns, or do market returns occur before the recorded fiscal observation?</w:t>
      </w:r>
    </w:p>
    <w:p>
      <w:r>
        <w:t xml:space="preserve">This stage replaces a visually persuasive dual-axis line chart with explicit paired fiscal-year observations, correlation coefficients, sample counts, sensitivity checks and scatter plots.</w:t>
      </w:r>
    </w:p>
    <w:p>
      <w:pPr>
        <w:pStyle w:val="Heading2"/>
        <w:keepNext/>
      </w:pPr>
      <w:r>
        <w:t xml:space="preserve">Window construction</w:t>
      </w:r>
    </w:p>
    <w:tbl>
      <w:tblPr>
        <w:tblStyle w:val="ArchitectureTable"/>
        <w:tblW w:w="0" w:type="auto"/>
        <w:tblLayout w:type="fixed"/>
      </w:tblPr>
      <w:tblGrid>
        <w:gridCol w:w="1700"/>
        <w:gridCol w:w="1800"/>
        <w:gridCol w:w="3100"/>
        <w:gridCol w:w="2400"/>
      </w:tblGrid>
      <w:tr>
        <w:trPr>
          <w:tblHeader/>
          <w:cantSplit/>
        </w:trPr>
        <w:tc>
          <w:tcPr>
            <w:tcW w:w="1700" w:type="dxa"/>
            <w:shd w:val="clear" w:color="auto" w:fill="1F4E78"/>
          </w:tcPr>
          <w:p>
            <w:pPr>
              <w:pStyle w:val="TableText"/>
              <w:keepLines/>
            </w:pPr>
            <w:r>
              <w:rPr>
                <w:b/>
                <w:color w:val="FFFFFF"/>
                <w:sz w:val="18"/>
                <w:szCs w:val="18"/>
              </w:rPr>
              <w:t xml:space="preserve">Direction</w:t>
            </w:r>
          </w:p>
        </w:tc>
        <w:tc>
          <w:tcPr>
            <w:tcW w:w="1800" w:type="dxa"/>
            <w:shd w:val="clear" w:color="auto" w:fill="1F4E78"/>
          </w:tcPr>
          <w:p>
            <w:pPr>
              <w:pStyle w:val="TableText"/>
              <w:keepLines/>
            </w:pPr>
            <w:r>
              <w:rPr>
                <w:b/>
                <w:color w:val="FFFFFF"/>
                <w:sz w:val="18"/>
                <w:szCs w:val="18"/>
              </w:rPr>
              <w:t xml:space="preserve">Registered windows</w:t>
            </w:r>
          </w:p>
        </w:tc>
        <w:tc>
          <w:tcPr>
            <w:tcW w:w="3100" w:type="dxa"/>
            <w:shd w:val="clear" w:color="auto" w:fill="1F4E78"/>
          </w:tcPr>
          <w:p>
            <w:pPr>
              <w:pStyle w:val="TableText"/>
              <w:keepLines/>
            </w:pPr>
            <w:r>
              <w:rPr>
                <w:b/>
                <w:color w:val="FFFFFF"/>
                <w:sz w:val="18"/>
                <w:szCs w:val="18"/>
              </w:rPr>
              <w:t xml:space="preserve">Outcome construction</w:t>
            </w:r>
          </w:p>
        </w:tc>
        <w:tc>
          <w:tcPr>
            <w:tcW w:w="2400" w:type="dxa"/>
            <w:shd w:val="clear" w:color="auto" w:fill="1F4E78"/>
          </w:tcPr>
          <w:p>
            <w:pPr>
              <w:pStyle w:val="TableText"/>
              <w:keepLines/>
            </w:pPr>
            <w:r>
              <w:rPr>
                <w:b/>
                <w:color w:val="FFFFFF"/>
                <w:sz w:val="18"/>
                <w:szCs w:val="18"/>
              </w:rPr>
              <w:t xml:space="preserve">Economic interpretation</w:t>
            </w:r>
          </w:p>
        </w:tc>
      </w:tr>
      <w:tr>
        <w:trPr>
          <w:cantSplit/>
        </w:trPr>
        <w:tc>
          <w:tcPr>
            <w:tcW w:w="1700" w:type="dxa"/>
          </w:tcPr>
          <w:p>
            <w:pPr>
              <w:pStyle w:val="TableText"/>
              <w:keepLines/>
            </w:pPr>
            <w:r>
              <w:rPr>
                <w:sz w:val="18"/>
                <w:szCs w:val="18"/>
              </w:rPr>
              <w:t xml:space="preserve">CapEx leads</w:t>
            </w:r>
          </w:p>
        </w:tc>
        <w:tc>
          <w:tcPr>
            <w:tcW w:w="1800" w:type="dxa"/>
          </w:tcPr>
          <w:p>
            <w:pPr>
              <w:pStyle w:val="TableText"/>
              <w:keepLines/>
            </w:pPr>
            <w:r>
              <w:rPr>
                <w:sz w:val="18"/>
                <w:szCs w:val="18"/>
              </w:rPr>
              <w:t xml:space="preserve">0, 6 and 12 months</w:t>
            </w:r>
          </w:p>
        </w:tc>
        <w:tc>
          <w:tcPr>
            <w:tcW w:w="3100" w:type="dxa"/>
          </w:tcPr>
          <w:p>
            <w:pPr>
              <w:pStyle w:val="TableText"/>
              <w:keepLines/>
            </w:pPr>
            <w:r>
              <w:rPr>
                <w:sz w:val="18"/>
                <w:szCs w:val="18"/>
              </w:rPr>
              <w:t xml:space="preserve">Compound monthly return over the subsequent 12 months after the selected delay.</w:t>
            </w:r>
          </w:p>
        </w:tc>
        <w:tc>
          <w:tcPr>
            <w:tcW w:w="2400" w:type="dxa"/>
          </w:tcPr>
          <w:p>
            <w:pPr>
              <w:pStyle w:val="TableText"/>
              <w:keepLines/>
            </w:pPr>
            <w:r>
              <w:rPr>
                <w:sz w:val="18"/>
                <w:szCs w:val="18"/>
              </w:rPr>
              <w:t xml:space="preserve">Tests whether stronger recorded CapEx growth is followed by stronger market performance.</w:t>
            </w:r>
          </w:p>
        </w:tc>
      </w:tr>
      <w:tr>
        <w:trPr>
          <w:cantSplit/>
        </w:trPr>
        <w:tc>
          <w:tcPr>
            <w:tcW w:w="1700" w:type="dxa"/>
          </w:tcPr>
          <w:p>
            <w:pPr>
              <w:pStyle w:val="TableText"/>
              <w:keepLines/>
            </w:pPr>
            <w:r>
              <w:rPr>
                <w:sz w:val="18"/>
                <w:szCs w:val="18"/>
              </w:rPr>
              <w:t xml:space="preserve">Market leads</w:t>
            </w:r>
          </w:p>
        </w:tc>
        <w:tc>
          <w:tcPr>
            <w:tcW w:w="1800" w:type="dxa"/>
          </w:tcPr>
          <w:p>
            <w:pPr>
              <w:pStyle w:val="TableText"/>
              <w:keepLines/>
            </w:pPr>
            <w:r>
              <w:rPr>
                <w:sz w:val="18"/>
                <w:szCs w:val="18"/>
              </w:rPr>
              <w:t xml:space="preserve">3, 6 and 12 months</w:t>
            </w:r>
          </w:p>
        </w:tc>
        <w:tc>
          <w:tcPr>
            <w:tcW w:w="3100" w:type="dxa"/>
          </w:tcPr>
          <w:p>
            <w:pPr>
              <w:pStyle w:val="TableText"/>
              <w:keepLines/>
            </w:pPr>
            <w:r>
              <w:rPr>
                <w:sz w:val="18"/>
                <w:szCs w:val="18"/>
              </w:rPr>
              <w:t xml:space="preserve">Compound monthly return over the 12-month window ending before the fiscal-year CapEx observation.</w:t>
            </w:r>
          </w:p>
        </w:tc>
        <w:tc>
          <w:tcPr>
            <w:tcW w:w="2400" w:type="dxa"/>
          </w:tcPr>
          <w:p>
            <w:pPr>
              <w:pStyle w:val="TableText"/>
              <w:keepLines/>
            </w:pPr>
            <w:r>
              <w:rPr>
                <w:sz w:val="18"/>
                <w:szCs w:val="18"/>
              </w:rPr>
              <w:t xml:space="preserve">Tests anticipation, prior budget information or reverse timing.</w:t>
            </w:r>
          </w:p>
        </w:tc>
      </w:tr>
      <w:tr>
        <w:trPr>
          <w:cantSplit/>
        </w:trPr>
        <w:tc>
          <w:tcPr>
            <w:tcW w:w="1700" w:type="dxa"/>
          </w:tcPr>
          <w:p>
            <w:pPr>
              <w:pStyle w:val="TableText"/>
              <w:keepLines/>
            </w:pPr>
            <w:r>
              <w:rPr>
                <w:sz w:val="18"/>
                <w:szCs w:val="18"/>
              </w:rPr>
              <w:t xml:space="preserve">Private GFCF</w:t>
            </w:r>
          </w:p>
        </w:tc>
        <w:tc>
          <w:tcPr>
            <w:tcW w:w="1800" w:type="dxa"/>
          </w:tcPr>
          <w:p>
            <w:pPr>
              <w:pStyle w:val="TableText"/>
              <w:keepLines/>
            </w:pPr>
            <w:r>
              <w:rPr>
                <w:sz w:val="18"/>
                <w:szCs w:val="18"/>
              </w:rPr>
              <w:t xml:space="preserve">0, 1 and 2 fiscal years</w:t>
            </w:r>
          </w:p>
        </w:tc>
        <w:tc>
          <w:tcPr>
            <w:tcW w:w="3100" w:type="dxa"/>
          </w:tcPr>
          <w:p>
            <w:pPr>
              <w:pStyle w:val="TableText"/>
              <w:keepLines/>
            </w:pPr>
            <w:r>
              <w:rPr>
                <w:sz w:val="18"/>
                <w:szCs w:val="18"/>
              </w:rPr>
              <w:t xml:space="preserve">Private corporate GFCF/GDP aligned to the CapEx year at the fixed annual lag.</w:t>
            </w:r>
          </w:p>
        </w:tc>
        <w:tc>
          <w:tcPr>
            <w:tcW w:w="2400" w:type="dxa"/>
          </w:tcPr>
          <w:p>
            <w:pPr>
              <w:pStyle w:val="TableText"/>
              <w:keepLines/>
            </w:pPr>
            <w:r>
              <w:rPr>
                <w:sz w:val="18"/>
                <w:szCs w:val="18"/>
              </w:rPr>
              <w:t xml:space="preserve">A real-economy lag test, currently too short for a reliable inference.</w:t>
            </w:r>
          </w:p>
        </w:tc>
      </w:tr>
    </w:tbl>
    <w:p>
      <w:pPr>
        <w:spacing w:after="80"/>
      </w:pPr>
      <w:r>
        <w:t xml:space="preserve"/>
      </w:r>
    </w:p>
    <w:tbl>
      <w:tblPr>
        <w:tblStyle w:val="ArchitectureTable"/>
        <w:tblW w:w="0" w:type="auto"/>
        <w:tblLayout w:type="fixed"/>
      </w:tblPr>
      <w:tblGrid>
        <w:gridCol w:w="1500"/>
        <w:gridCol w:w="2300"/>
        <w:gridCol w:w="2700"/>
        <w:gridCol w:w="2500"/>
      </w:tblGrid>
      <w:tr>
        <w:trPr>
          <w:tblHeader/>
          <w:cantSplit/>
        </w:trPr>
        <w:tc>
          <w:tcPr>
            <w:tcW w:w="1500" w:type="dxa"/>
            <w:shd w:val="clear" w:color="auto" w:fill="1F4E78"/>
          </w:tcPr>
          <w:p>
            <w:pPr>
              <w:pStyle w:val="TableText"/>
              <w:keepLines/>
            </w:pPr>
            <w:r>
              <w:rPr>
                <w:b/>
                <w:color w:val="FFFFFF"/>
                <w:sz w:val="15"/>
                <w:szCs w:val="15"/>
              </w:rPr>
              <w:t xml:space="preserve">Metric</w:t>
            </w:r>
          </w:p>
        </w:tc>
        <w:tc>
          <w:tcPr>
            <w:tcW w:w="2300" w:type="dxa"/>
            <w:shd w:val="clear" w:color="auto" w:fill="1F4E78"/>
          </w:tcPr>
          <w:p>
            <w:pPr>
              <w:pStyle w:val="TableText"/>
              <w:keepLines/>
            </w:pPr>
            <w:r>
              <w:rPr>
                <w:b/>
                <w:color w:val="FFFFFF"/>
                <w:sz w:val="15"/>
                <w:szCs w:val="15"/>
              </w:rPr>
              <w:t xml:space="preserve">Economic justification</w:t>
            </w:r>
          </w:p>
        </w:tc>
        <w:tc>
          <w:tcPr>
            <w:tcW w:w="2700" w:type="dxa"/>
            <w:shd w:val="clear" w:color="auto" w:fill="1F4E78"/>
          </w:tcPr>
          <w:p>
            <w:pPr>
              <w:pStyle w:val="TableText"/>
              <w:keepLines/>
            </w:pPr>
            <w:r>
              <w:rPr>
                <w:b/>
                <w:color w:val="FFFFFF"/>
                <w:sz w:val="15"/>
                <w:szCs w:val="15"/>
              </w:rPr>
              <w:t xml:space="preserve">Production and formula</w:t>
            </w:r>
          </w:p>
        </w:tc>
        <w:tc>
          <w:tcPr>
            <w:tcW w:w="2500" w:type="dxa"/>
            <w:shd w:val="clear" w:color="auto" w:fill="1F4E78"/>
          </w:tcPr>
          <w:p>
            <w:pPr>
              <w:pStyle w:val="TableText"/>
              <w:keepLines/>
            </w:pPr>
            <w:r>
              <w:rPr>
                <w:b/>
                <w:color w:val="FFFFFF"/>
                <w:sz w:val="15"/>
                <w:szCs w:val="15"/>
              </w:rPr>
              <w:t xml:space="preserve">Interpretation and limitations</w:t>
            </w:r>
          </w:p>
        </w:tc>
      </w:tr>
      <w:tr>
        <w:trPr>
          <w:cantSplit/>
        </w:trPr>
        <w:tc>
          <w:tcPr>
            <w:tcW w:w="1500" w:type="dxa"/>
          </w:tcPr>
          <w:p>
            <w:pPr>
              <w:pStyle w:val="TableText"/>
              <w:keepLines/>
            </w:pPr>
            <w:r>
              <w:rPr>
                <w:sz w:val="15"/>
                <w:szCs w:val="15"/>
              </w:rPr>
              <w:t xml:space="preserve">Pearson correlation</w:t>
            </w:r>
          </w:p>
        </w:tc>
        <w:tc>
          <w:tcPr>
            <w:tcW w:w="2300" w:type="dxa"/>
          </w:tcPr>
          <w:p>
            <w:pPr>
              <w:pStyle w:val="TableText"/>
              <w:keepLines/>
            </w:pPr>
            <w:r>
              <w:rPr>
                <w:sz w:val="15"/>
                <w:szCs w:val="15"/>
              </w:rPr>
              <w:t xml:space="preserve">Measures linear co-movement and is directly related to the slope of a standardised linear fit.</w:t>
            </w:r>
          </w:p>
        </w:tc>
        <w:tc>
          <w:tcPr>
            <w:tcW w:w="2700" w:type="dxa"/>
          </w:tcPr>
          <w:p>
            <w:pPr>
              <w:pStyle w:val="TableText"/>
              <w:keepLines/>
            </w:pPr>
            <w:r>
              <w:rPr>
                <w:sz w:val="15"/>
                <w:szCs w:val="15"/>
              </w:rPr>
              <w:t xml:space="preserve">Cov(X,Y)/(σXσY) on complete fiscal-year pairs.</w:t>
            </w:r>
          </w:p>
        </w:tc>
        <w:tc>
          <w:tcPr>
            <w:tcW w:w="2500" w:type="dxa"/>
          </w:tcPr>
          <w:p>
            <w:pPr>
              <w:pStyle w:val="TableText"/>
              <w:keepLines/>
            </w:pPr>
            <w:r>
              <w:rPr>
                <w:sz w:val="15"/>
                <w:szCs w:val="15"/>
              </w:rPr>
              <w:t xml:space="preserve">+1 is perfect positive linear association, −1 perfect negative, 0 no linear association. Highly sensitive to outliers in small samples.</w:t>
            </w:r>
          </w:p>
        </w:tc>
      </w:tr>
      <w:tr>
        <w:trPr>
          <w:cantSplit/>
        </w:trPr>
        <w:tc>
          <w:tcPr>
            <w:tcW w:w="1500" w:type="dxa"/>
          </w:tcPr>
          <w:p>
            <w:pPr>
              <w:pStyle w:val="TableText"/>
              <w:keepLines/>
            </w:pPr>
            <w:r>
              <w:rPr>
                <w:sz w:val="15"/>
                <w:szCs w:val="15"/>
              </w:rPr>
              <w:t xml:space="preserve">Spearman correlation</w:t>
            </w:r>
          </w:p>
        </w:tc>
        <w:tc>
          <w:tcPr>
            <w:tcW w:w="2300" w:type="dxa"/>
          </w:tcPr>
          <w:p>
            <w:pPr>
              <w:pStyle w:val="TableText"/>
              <w:keepLines/>
            </w:pPr>
            <w:r>
              <w:rPr>
                <w:sz w:val="15"/>
                <w:szCs w:val="15"/>
              </w:rPr>
              <w:t xml:space="preserve">Checks whether the relationship is broadly monotonic without requiring linear spacing.</w:t>
            </w:r>
          </w:p>
        </w:tc>
        <w:tc>
          <w:tcPr>
            <w:tcW w:w="2700" w:type="dxa"/>
          </w:tcPr>
          <w:p>
            <w:pPr>
              <w:pStyle w:val="TableText"/>
              <w:keepLines/>
            </w:pPr>
            <w:r>
              <w:rPr>
                <w:sz w:val="15"/>
                <w:szCs w:val="15"/>
              </w:rPr>
              <w:t xml:space="preserve">Pearson correlation of the ranked observations.</w:t>
            </w:r>
          </w:p>
        </w:tc>
        <w:tc>
          <w:tcPr>
            <w:tcW w:w="2500" w:type="dxa"/>
          </w:tcPr>
          <w:p>
            <w:pPr>
              <w:pStyle w:val="TableText"/>
              <w:keepLines/>
            </w:pPr>
            <w:r>
              <w:rPr>
                <w:sz w:val="15"/>
                <w:szCs w:val="15"/>
              </w:rPr>
              <w:t xml:space="preserve">More resistant to extreme magnitudes, but still unstable with few years and does not establish causality.</w:t>
            </w:r>
          </w:p>
        </w:tc>
      </w:tr>
      <w:tr>
        <w:trPr>
          <w:cantSplit/>
        </w:trPr>
        <w:tc>
          <w:tcPr>
            <w:tcW w:w="1500" w:type="dxa"/>
          </w:tcPr>
          <w:p>
            <w:pPr>
              <w:pStyle w:val="TableText"/>
              <w:keepLines/>
            </w:pPr>
            <w:r>
              <w:rPr>
                <w:sz w:val="15"/>
                <w:szCs w:val="15"/>
              </w:rPr>
              <w:t xml:space="preserve">Pandemic exclusion</w:t>
            </w:r>
          </w:p>
        </w:tc>
        <w:tc>
          <w:tcPr>
            <w:tcW w:w="2300" w:type="dxa"/>
          </w:tcPr>
          <w:p>
            <w:pPr>
              <w:pStyle w:val="TableText"/>
              <w:keepLines/>
            </w:pPr>
            <w:r>
              <w:rPr>
                <w:sz w:val="15"/>
                <w:szCs w:val="15"/>
              </w:rPr>
              <w:t xml:space="preserve">Tests whether exceptional FY2020–21 and FY2021–22 observations dominate the coefficient.</w:t>
            </w:r>
          </w:p>
        </w:tc>
        <w:tc>
          <w:tcPr>
            <w:tcW w:w="2700" w:type="dxa"/>
          </w:tcPr>
          <w:p>
            <w:pPr>
              <w:pStyle w:val="TableText"/>
              <w:keepLines/>
            </w:pPr>
            <w:r>
              <w:rPr>
                <w:sz w:val="15"/>
                <w:szCs w:val="15"/>
              </w:rPr>
              <w:t xml:space="preserve">Recompute Pearson after removing fiscal ends 2021 and 2022.</w:t>
            </w:r>
          </w:p>
        </w:tc>
        <w:tc>
          <w:tcPr>
            <w:tcW w:w="2500" w:type="dxa"/>
          </w:tcPr>
          <w:p>
            <w:pPr>
              <w:pStyle w:val="TableText"/>
              <w:keepLines/>
            </w:pPr>
            <w:r>
              <w:rPr>
                <w:sz w:val="15"/>
                <w:szCs w:val="15"/>
              </w:rPr>
              <w:t xml:space="preserve">A sensitivity check, not permission to discard inconvenient observations. Spearman uses the full sample in the interface.</w:t>
            </w:r>
          </w:p>
        </w:tc>
      </w:tr>
      <w:tr>
        <w:trPr>
          <w:cantSplit/>
        </w:trPr>
        <w:tc>
          <w:tcPr>
            <w:tcW w:w="1500" w:type="dxa"/>
          </w:tcPr>
          <w:p>
            <w:pPr>
              <w:pStyle w:val="TableText"/>
              <w:keepLines/>
            </w:pPr>
            <w:r>
              <w:rPr>
                <w:sz w:val="15"/>
                <w:szCs w:val="15"/>
              </w:rPr>
              <w:t xml:space="preserve">OLS line of best fit</w:t>
            </w:r>
          </w:p>
        </w:tc>
        <w:tc>
          <w:tcPr>
            <w:tcW w:w="2300" w:type="dxa"/>
          </w:tcPr>
          <w:p>
            <w:pPr>
              <w:pStyle w:val="TableText"/>
              <w:keepLines/>
            </w:pPr>
            <w:r>
              <w:rPr>
                <w:sz w:val="15"/>
                <w:szCs w:val="15"/>
              </w:rPr>
              <w:t xml:space="preserve">Provides a visual summary of direction and influential points.</w:t>
            </w:r>
          </w:p>
        </w:tc>
        <w:tc>
          <w:tcPr>
            <w:tcW w:w="2700" w:type="dxa"/>
          </w:tcPr>
          <w:p>
            <w:pPr>
              <w:pStyle w:val="TableText"/>
              <w:keepLines/>
            </w:pPr>
            <w:r>
              <w:rPr>
                <w:sz w:val="15"/>
                <w:szCs w:val="15"/>
              </w:rPr>
              <w:t xml:space="preserve">ŷ = α + βx fitted to the currently displayed scatter sample.</w:t>
            </w:r>
          </w:p>
        </w:tc>
        <w:tc>
          <w:tcPr>
            <w:tcW w:w="2500" w:type="dxa"/>
          </w:tcPr>
          <w:p>
            <w:pPr>
              <w:pStyle w:val="TableText"/>
              <w:keepLines/>
            </w:pPr>
            <w:r>
              <w:rPr>
                <w:sz w:val="15"/>
                <w:szCs w:val="15"/>
              </w:rPr>
              <w:t xml:space="preserve">The line is descriptive; no confidence interval or causal interpretation is attached.</w:t>
            </w:r>
          </w:p>
        </w:tc>
      </w:tr>
      <w:tr>
        <w:trPr>
          <w:cantSplit/>
        </w:trPr>
        <w:tc>
          <w:tcPr>
            <w:tcW w:w="1500" w:type="dxa"/>
          </w:tcPr>
          <w:p>
            <w:pPr>
              <w:pStyle w:val="TableText"/>
              <w:keepLines/>
            </w:pPr>
            <w:r>
              <w:rPr>
                <w:sz w:val="15"/>
                <w:szCs w:val="15"/>
              </w:rPr>
              <w:t xml:space="preserve">Sample size n</w:t>
            </w:r>
          </w:p>
        </w:tc>
        <w:tc>
          <w:tcPr>
            <w:tcW w:w="2300" w:type="dxa"/>
          </w:tcPr>
          <w:p>
            <w:pPr>
              <w:pStyle w:val="TableText"/>
              <w:keepLines/>
            </w:pPr>
            <w:r>
              <w:rPr>
                <w:sz w:val="15"/>
                <w:szCs w:val="15"/>
              </w:rPr>
              <w:t xml:space="preserve">Makes the evidence constraint visible.</w:t>
            </w:r>
          </w:p>
        </w:tc>
        <w:tc>
          <w:tcPr>
            <w:tcW w:w="2700" w:type="dxa"/>
          </w:tcPr>
          <w:p>
            <w:pPr>
              <w:pStyle w:val="TableText"/>
              <w:keepLines/>
            </w:pPr>
            <w:r>
              <w:rPr>
                <w:sz w:val="15"/>
                <w:szCs w:val="15"/>
              </w:rPr>
              <w:t xml:space="preserve">Count of complete aligned pairs after the selected window and exclusions.</w:t>
            </w:r>
          </w:p>
        </w:tc>
        <w:tc>
          <w:tcPr>
            <w:tcW w:w="2500" w:type="dxa"/>
          </w:tcPr>
          <w:p>
            <w:pPr>
              <w:pStyle w:val="TableText"/>
              <w:keepLines/>
            </w:pPr>
            <w:r>
              <w:rPr>
                <w:sz w:val="15"/>
                <w:szCs w:val="15"/>
              </w:rPr>
              <w:t xml:space="preserve">Cells with n &lt; 4 are labelled insufficient. Even n ≥ 4 remains exploratory.</w:t>
            </w:r>
          </w:p>
        </w:tc>
      </w:tr>
    </w:tbl>
    <w:p>
      <w:pPr>
        <w:spacing w:after="80"/>
      </w:pPr>
      <w:r>
        <w:t xml:space="preserve"/>
      </w:r>
    </w:p>
    <w:p>
      <w:r>
        <w:t xml:space="preserve">The artifact contains 45 registered estimates: forward market windows, reverse market windows and private-GFCF windows. The summary verdict uses only forward, sector-level market relationships with at least four pairs. Reverse leads and Nifty 50 are excluded from the forward-transmission classification.</w:t>
      </w:r>
    </w:p>
    <w:p>
      <w:pPr>
        <w:keepLines/>
        <w:spacing w:before="120" w:after="160"/>
        <w:ind w:left="180"/>
        <w:pBdr>
          <w:left w:val="single" w:sz="18" w:space="10" w:color="A33D4A"/>
        </w:pBdr>
        <w:shd w:val="clear" w:color="auto" w:fill="FFF1F2"/>
      </w:pPr>
      <w:r>
        <w:rPr>
          <w:b/>
          <w:color w:val="A33D4A"/>
        </w:rPr>
        <w:t xml:space="preserve">Why both directions are retained  </w:t>
      </w:r>
      <w:r>
        <w:t xml:space="preserve">If the market-leads coefficient is stronger than the CapEx-leads coefficient, the evidence may be more consistent with anticipation than with a return generated after expenditure. Keeping both directions therefore weakens overclaiming; it does not duplicate the same question.</w:t>
      </w:r>
    </w:p>
    <w:p>
      <w:pPr>
        <w:pStyle w:val="Heading1"/>
        <w:keepNext/>
      </w:pPr>
      <w:r>
        <w:t xml:space="preserve">8. Stage 2C — Corporate fundamentals case study</w:t>
      </w:r>
    </w:p>
    <w:p>
      <w:pPr>
        <w:keepLines/>
        <w:spacing w:before="120" w:after="160"/>
        <w:ind w:left="180"/>
        <w:pBdr>
          <w:left w:val="single" w:sz="18" w:space="10" w:color="2E7D6B"/>
        </w:pBdr>
        <w:shd w:val="clear" w:color="auto" w:fill="ECFDF5"/>
      </w:pPr>
      <w:r>
        <w:rPr>
          <w:b/>
          <w:color w:val="2E7D6B"/>
        </w:rPr>
        <w:t xml:space="preserve">Question answered  </w:t>
      </w:r>
      <w:r>
        <w:t xml:space="preserve">Did sector optimism coincide with stronger revenue, earnings, company investment and productive assets?</w:t>
      </w:r>
    </w:p>
    <w:p>
      <w:r>
        <w:t xml:space="preserve">Market prices can rise without a corresponding improvement in operating performance. The corporate layer checks a frozen group of firms without pretending to reconstruct the full indices.</w:t>
      </w:r>
    </w:p>
    <w:tbl>
      <w:tblPr>
        <w:tblStyle w:val="ArchitectureTable"/>
        <w:tblW w:w="0" w:type="auto"/>
        <w:tblLayout w:type="fixed"/>
      </w:tblPr>
      <w:tblGrid>
        <w:gridCol w:w="1500"/>
        <w:gridCol w:w="2300"/>
        <w:gridCol w:w="2700"/>
        <w:gridCol w:w="2500"/>
      </w:tblGrid>
      <w:tr>
        <w:trPr>
          <w:tblHeader/>
          <w:cantSplit/>
        </w:trPr>
        <w:tc>
          <w:tcPr>
            <w:tcW w:w="1500" w:type="dxa"/>
            <w:shd w:val="clear" w:color="auto" w:fill="1F4E78"/>
          </w:tcPr>
          <w:p>
            <w:pPr>
              <w:pStyle w:val="TableText"/>
              <w:keepLines/>
            </w:pPr>
            <w:r>
              <w:rPr>
                <w:b/>
                <w:color w:val="FFFFFF"/>
                <w:sz w:val="15"/>
                <w:szCs w:val="15"/>
              </w:rPr>
              <w:t xml:space="preserve">Metric</w:t>
            </w:r>
          </w:p>
        </w:tc>
        <w:tc>
          <w:tcPr>
            <w:tcW w:w="2300" w:type="dxa"/>
            <w:shd w:val="clear" w:color="auto" w:fill="1F4E78"/>
          </w:tcPr>
          <w:p>
            <w:pPr>
              <w:pStyle w:val="TableText"/>
              <w:keepLines/>
            </w:pPr>
            <w:r>
              <w:rPr>
                <w:b/>
                <w:color w:val="FFFFFF"/>
                <w:sz w:val="15"/>
                <w:szCs w:val="15"/>
              </w:rPr>
              <w:t xml:space="preserve">Economic justification</w:t>
            </w:r>
          </w:p>
        </w:tc>
        <w:tc>
          <w:tcPr>
            <w:tcW w:w="2700" w:type="dxa"/>
            <w:shd w:val="clear" w:color="auto" w:fill="1F4E78"/>
          </w:tcPr>
          <w:p>
            <w:pPr>
              <w:pStyle w:val="TableText"/>
              <w:keepLines/>
            </w:pPr>
            <w:r>
              <w:rPr>
                <w:b/>
                <w:color w:val="FFFFFF"/>
                <w:sz w:val="15"/>
                <w:szCs w:val="15"/>
              </w:rPr>
              <w:t xml:space="preserve">Production and formula</w:t>
            </w:r>
          </w:p>
        </w:tc>
        <w:tc>
          <w:tcPr>
            <w:tcW w:w="2500" w:type="dxa"/>
            <w:shd w:val="clear" w:color="auto" w:fill="1F4E78"/>
          </w:tcPr>
          <w:p>
            <w:pPr>
              <w:pStyle w:val="TableText"/>
              <w:keepLines/>
            </w:pPr>
            <w:r>
              <w:rPr>
                <w:b/>
                <w:color w:val="FFFFFF"/>
                <w:sz w:val="15"/>
                <w:szCs w:val="15"/>
              </w:rPr>
              <w:t xml:space="preserve">Interpretation and limitations</w:t>
            </w:r>
          </w:p>
        </w:tc>
      </w:tr>
      <w:tr>
        <w:trPr>
          <w:cantSplit/>
        </w:trPr>
        <w:tc>
          <w:tcPr>
            <w:tcW w:w="1500" w:type="dxa"/>
          </w:tcPr>
          <w:p>
            <w:pPr>
              <w:pStyle w:val="TableText"/>
              <w:keepLines/>
            </w:pPr>
            <w:r>
              <w:rPr>
                <w:sz w:val="15"/>
                <w:szCs w:val="15"/>
              </w:rPr>
              <w:t xml:space="preserve">Revenue growth</w:t>
            </w:r>
          </w:p>
        </w:tc>
        <w:tc>
          <w:tcPr>
            <w:tcW w:w="2300" w:type="dxa"/>
          </w:tcPr>
          <w:p>
            <w:pPr>
              <w:pStyle w:val="TableText"/>
              <w:keepLines/>
            </w:pPr>
            <w:r>
              <w:rPr>
                <w:sz w:val="15"/>
                <w:szCs w:val="15"/>
              </w:rPr>
              <w:t xml:space="preserve">Tests whether demand and project activity reached company sales.</w:t>
            </w:r>
          </w:p>
        </w:tc>
        <w:tc>
          <w:tcPr>
            <w:tcW w:w="2700" w:type="dxa"/>
          </w:tcPr>
          <w:p>
            <w:pPr>
              <w:pStyle w:val="TableText"/>
              <w:keepLines/>
            </w:pPr>
            <w:r>
              <w:rPr>
                <w:sz w:val="15"/>
                <w:szCs w:val="15"/>
              </w:rPr>
              <w:t xml:space="preserve">Company-level year-on-year total-revenue growth; unweighted median by group and reporting year.</w:t>
            </w:r>
          </w:p>
        </w:tc>
        <w:tc>
          <w:tcPr>
            <w:tcW w:w="2500" w:type="dxa"/>
          </w:tcPr>
          <w:p>
            <w:pPr>
              <w:pStyle w:val="TableText"/>
              <w:keepLines/>
            </w:pPr>
            <w:r>
              <w:rPr>
                <w:sz w:val="15"/>
                <w:szCs w:val="15"/>
              </w:rPr>
              <w:t xml:space="preserve">Can be nominal, acquisition-driven or affected by reporting dates. Median growth is not aggregate sector revenue.</w:t>
            </w:r>
          </w:p>
        </w:tc>
      </w:tr>
      <w:tr>
        <w:trPr>
          <w:cantSplit/>
        </w:trPr>
        <w:tc>
          <w:tcPr>
            <w:tcW w:w="1500" w:type="dxa"/>
          </w:tcPr>
          <w:p>
            <w:pPr>
              <w:pStyle w:val="TableText"/>
              <w:keepLines/>
            </w:pPr>
            <w:r>
              <w:rPr>
                <w:sz w:val="15"/>
                <w:szCs w:val="15"/>
              </w:rPr>
              <w:t xml:space="preserve">EBITDA growth</w:t>
            </w:r>
          </w:p>
        </w:tc>
        <w:tc>
          <w:tcPr>
            <w:tcW w:w="2300" w:type="dxa"/>
          </w:tcPr>
          <w:p>
            <w:pPr>
              <w:pStyle w:val="TableText"/>
              <w:keepLines/>
            </w:pPr>
            <w:r>
              <w:rPr>
                <w:sz w:val="15"/>
                <w:szCs w:val="15"/>
              </w:rPr>
              <w:t xml:space="preserve">Adds an operating-earnings check to revenue growth.</w:t>
            </w:r>
          </w:p>
        </w:tc>
        <w:tc>
          <w:tcPr>
            <w:tcW w:w="2700" w:type="dxa"/>
          </w:tcPr>
          <w:p>
            <w:pPr>
              <w:pStyle w:val="TableText"/>
              <w:keepLines/>
            </w:pPr>
            <w:r>
              <w:rPr>
                <w:sz w:val="15"/>
                <w:szCs w:val="15"/>
              </w:rPr>
              <w:t xml:space="preserve">Company-level EBITDA or documented fallback operating measure, then group median.</w:t>
            </w:r>
          </w:p>
        </w:tc>
        <w:tc>
          <w:tcPr>
            <w:tcW w:w="2500" w:type="dxa"/>
          </w:tcPr>
          <w:p>
            <w:pPr>
              <w:pStyle w:val="TableText"/>
              <w:keepLines/>
            </w:pPr>
            <w:r>
              <w:rPr>
                <w:sz w:val="15"/>
                <w:szCs w:val="15"/>
              </w:rPr>
              <w:t xml:space="preserve">Accounting definitions and exceptional items vary across providers and companies.</w:t>
            </w:r>
          </w:p>
        </w:tc>
      </w:tr>
      <w:tr>
        <w:trPr>
          <w:cantSplit/>
        </w:trPr>
        <w:tc>
          <w:tcPr>
            <w:tcW w:w="1500" w:type="dxa"/>
          </w:tcPr>
          <w:p>
            <w:pPr>
              <w:pStyle w:val="TableText"/>
              <w:keepLines/>
            </w:pPr>
            <w:r>
              <w:rPr>
                <w:sz w:val="15"/>
                <w:szCs w:val="15"/>
              </w:rPr>
              <w:t xml:space="preserve">Company CapEx growth</w:t>
            </w:r>
          </w:p>
        </w:tc>
        <w:tc>
          <w:tcPr>
            <w:tcW w:w="2300" w:type="dxa"/>
          </w:tcPr>
          <w:p>
            <w:pPr>
              <w:pStyle w:val="TableText"/>
              <w:keepLines/>
            </w:pPr>
            <w:r>
              <w:rPr>
                <w:sz w:val="15"/>
                <w:szCs w:val="15"/>
              </w:rPr>
              <w:t xml:space="preserve">Tests whether exposed firms themselves increased investment.</w:t>
            </w:r>
          </w:p>
        </w:tc>
        <w:tc>
          <w:tcPr>
            <w:tcW w:w="2700" w:type="dxa"/>
          </w:tcPr>
          <w:p>
            <w:pPr>
              <w:pStyle w:val="TableText"/>
              <w:keepLines/>
            </w:pPr>
            <w:r>
              <w:rPr>
                <w:sz w:val="15"/>
                <w:szCs w:val="15"/>
              </w:rPr>
              <w:t xml:space="preserve">Absolute cash-flow capital expenditure; within-company growth before aggregation.</w:t>
            </w:r>
          </w:p>
        </w:tc>
        <w:tc>
          <w:tcPr>
            <w:tcW w:w="2500" w:type="dxa"/>
          </w:tcPr>
          <w:p>
            <w:pPr>
              <w:pStyle w:val="TableText"/>
              <w:keepLines/>
            </w:pPr>
            <w:r>
              <w:rPr>
                <w:sz w:val="15"/>
                <w:szCs w:val="15"/>
              </w:rPr>
              <w:t xml:space="preserve">Cash-flow classification may vary and growth can be extreme from a small base.</w:t>
            </w:r>
          </w:p>
        </w:tc>
      </w:tr>
      <w:tr>
        <w:trPr>
          <w:cantSplit/>
        </w:trPr>
        <w:tc>
          <w:tcPr>
            <w:tcW w:w="1500" w:type="dxa"/>
          </w:tcPr>
          <w:p>
            <w:pPr>
              <w:pStyle w:val="TableText"/>
              <w:keepLines/>
            </w:pPr>
            <w:r>
              <w:rPr>
                <w:sz w:val="15"/>
                <w:szCs w:val="15"/>
              </w:rPr>
              <w:t xml:space="preserve">Net PPE growth</w:t>
            </w:r>
          </w:p>
        </w:tc>
        <w:tc>
          <w:tcPr>
            <w:tcW w:w="2300" w:type="dxa"/>
          </w:tcPr>
          <w:p>
            <w:pPr>
              <w:pStyle w:val="TableText"/>
              <w:keepLines/>
            </w:pPr>
            <w:r>
              <w:rPr>
                <w:sz w:val="15"/>
                <w:szCs w:val="15"/>
              </w:rPr>
              <w:t xml:space="preserve">Measures growth in the productive-asset stock after depreciation and disposals.</w:t>
            </w:r>
          </w:p>
        </w:tc>
        <w:tc>
          <w:tcPr>
            <w:tcW w:w="2700" w:type="dxa"/>
          </w:tcPr>
          <w:p>
            <w:pPr>
              <w:pStyle w:val="TableText"/>
              <w:keepLines/>
            </w:pPr>
            <w:r>
              <w:rPr>
                <w:sz w:val="15"/>
                <w:szCs w:val="15"/>
              </w:rPr>
              <w:t xml:space="preserve">Year-on-year net property, plant and equipment growth; group median.</w:t>
            </w:r>
          </w:p>
        </w:tc>
        <w:tc>
          <w:tcPr>
            <w:tcW w:w="2500" w:type="dxa"/>
          </w:tcPr>
          <w:p>
            <w:pPr>
              <w:pStyle w:val="TableText"/>
              <w:keepLines/>
            </w:pPr>
            <w:r>
              <w:rPr>
                <w:sz w:val="15"/>
                <w:szCs w:val="15"/>
              </w:rPr>
              <w:t xml:space="preserve">Net PPE can fall despite gross investment when depreciation or disposals are high.</w:t>
            </w:r>
          </w:p>
        </w:tc>
      </w:tr>
      <w:tr>
        <w:trPr>
          <w:cantSplit/>
        </w:trPr>
        <w:tc>
          <w:tcPr>
            <w:tcW w:w="1500" w:type="dxa"/>
          </w:tcPr>
          <w:p>
            <w:pPr>
              <w:pStyle w:val="TableText"/>
              <w:keepLines/>
            </w:pPr>
            <w:r>
              <w:rPr>
                <w:sz w:val="15"/>
                <w:szCs w:val="15"/>
              </w:rPr>
              <w:t xml:space="preserve">Debt growth</w:t>
            </w:r>
          </w:p>
        </w:tc>
        <w:tc>
          <w:tcPr>
            <w:tcW w:w="2300" w:type="dxa"/>
          </w:tcPr>
          <w:p>
            <w:pPr>
              <w:pStyle w:val="TableText"/>
              <w:keepLines/>
            </w:pPr>
            <w:r>
              <w:rPr>
                <w:sz w:val="15"/>
                <w:szCs w:val="15"/>
              </w:rPr>
              <w:t xml:space="preserve">Shows whether expansion was accompanied by greater leverage.</w:t>
            </w:r>
          </w:p>
        </w:tc>
        <w:tc>
          <w:tcPr>
            <w:tcW w:w="2700" w:type="dxa"/>
          </w:tcPr>
          <w:p>
            <w:pPr>
              <w:pStyle w:val="TableText"/>
              <w:keepLines/>
            </w:pPr>
            <w:r>
              <w:rPr>
                <w:sz w:val="15"/>
                <w:szCs w:val="15"/>
              </w:rPr>
              <w:t xml:space="preserve">Year-on-year total-debt growth; group median.</w:t>
            </w:r>
          </w:p>
        </w:tc>
        <w:tc>
          <w:tcPr>
            <w:tcW w:w="2500" w:type="dxa"/>
          </w:tcPr>
          <w:p>
            <w:pPr>
              <w:pStyle w:val="TableText"/>
              <w:keepLines/>
            </w:pPr>
            <w:r>
              <w:rPr>
                <w:sz w:val="15"/>
                <w:szCs w:val="15"/>
              </w:rPr>
              <w:t xml:space="preserve">Debt can finance working capital, acquisitions or refinancing rather than productive CapEx.</w:t>
            </w:r>
          </w:p>
        </w:tc>
      </w:tr>
      <w:tr>
        <w:trPr>
          <w:cantSplit/>
        </w:trPr>
        <w:tc>
          <w:tcPr>
            <w:tcW w:w="1500" w:type="dxa"/>
          </w:tcPr>
          <w:p>
            <w:pPr>
              <w:pStyle w:val="TableText"/>
              <w:keepLines/>
            </w:pPr>
            <w:r>
              <w:rPr>
                <w:sz w:val="15"/>
                <w:szCs w:val="15"/>
              </w:rPr>
              <w:t xml:space="preserve">ROCE proxy</w:t>
            </w:r>
          </w:p>
        </w:tc>
        <w:tc>
          <w:tcPr>
            <w:tcW w:w="2300" w:type="dxa"/>
          </w:tcPr>
          <w:p>
            <w:pPr>
              <w:pStyle w:val="TableText"/>
              <w:keepLines/>
            </w:pPr>
            <w:r>
              <w:rPr>
                <w:sz w:val="15"/>
                <w:szCs w:val="15"/>
              </w:rPr>
              <w:t xml:space="preserve">Introduces an efficiency measure rather than focusing only on scale.</w:t>
            </w:r>
          </w:p>
        </w:tc>
        <w:tc>
          <w:tcPr>
            <w:tcW w:w="2700" w:type="dxa"/>
          </w:tcPr>
          <w:p>
            <w:pPr>
              <w:pStyle w:val="TableText"/>
              <w:keepLines/>
            </w:pPr>
            <w:r>
              <w:rPr>
                <w:sz w:val="15"/>
                <w:szCs w:val="15"/>
              </w:rPr>
              <w:t xml:space="preserve">100 × EBIT / (total assets − current liabilities).</w:t>
            </w:r>
          </w:p>
        </w:tc>
        <w:tc>
          <w:tcPr>
            <w:tcW w:w="2500" w:type="dxa"/>
          </w:tcPr>
          <w:p>
            <w:pPr>
              <w:pStyle w:val="TableText"/>
              <w:keepLines/>
            </w:pPr>
            <w:r>
              <w:rPr>
                <w:sz w:val="15"/>
                <w:szCs w:val="15"/>
              </w:rPr>
              <w:t xml:space="preserve">A provider-based proxy, not the company’s own reported ROCE; denominator definitions differ.</w:t>
            </w:r>
          </w:p>
        </w:tc>
      </w:tr>
    </w:tbl>
    <w:p>
      <w:pPr>
        <w:spacing w:after="80"/>
      </w:pPr>
      <w:r>
        <w:t xml:space="preserve"/>
      </w:r>
    </w:p>
    <w:p>
      <w:r>
        <w:t xml:space="preserve">The frozen basket contains 10 companies: five capital-goods and five infrastructure cases. Growth is calculated inside each company before taking the median, which avoids allowing the largest company to determine the group rate. It does not solve survivorship, selection or accounting-comparability concerns.</w:t>
      </w:r>
    </w:p>
    <w:p>
      <w:pPr>
        <w:pStyle w:val="Heading1"/>
        <w:keepNext/>
      </w:pPr>
      <w:r>
        <w:t xml:space="preserve">9. Stage 2D — Private investment and productive conversion</w:t>
      </w:r>
    </w:p>
    <w:p>
      <w:pPr>
        <w:keepLines/>
        <w:spacing w:before="120" w:after="160"/>
        <w:ind w:left="180"/>
        <w:pBdr>
          <w:left w:val="single" w:sz="18" w:space="10" w:color="2E7D6B"/>
        </w:pBdr>
        <w:shd w:val="clear" w:color="auto" w:fill="ECFDF5"/>
      </w:pPr>
      <w:r>
        <w:rPr>
          <w:b/>
          <w:color w:val="2E7D6B"/>
        </w:rPr>
        <w:t xml:space="preserve">Question answered  </w:t>
      </w:r>
      <w:r>
        <w:t xml:space="preserve">Did public investment coincide with higher private fixed investment, tighter capacity and capital-goods output?</w:t>
      </w:r>
    </w:p>
    <w:p>
      <w:r>
        <w:t xml:space="preserve">This is the most demanding transmission stage. It asks whether market expectations and public infrastructure were converted into realised private investment and production.</w:t>
      </w:r>
    </w:p>
    <w:tbl>
      <w:tblPr>
        <w:tblStyle w:val="ArchitectureTable"/>
        <w:tblW w:w="0" w:type="auto"/>
        <w:tblLayout w:type="fixed"/>
      </w:tblPr>
      <w:tblGrid>
        <w:gridCol w:w="1500"/>
        <w:gridCol w:w="2300"/>
        <w:gridCol w:w="2700"/>
        <w:gridCol w:w="2500"/>
      </w:tblGrid>
      <w:tr>
        <w:trPr>
          <w:tblHeader/>
          <w:cantSplit/>
        </w:trPr>
        <w:tc>
          <w:tcPr>
            <w:tcW w:w="1500" w:type="dxa"/>
            <w:shd w:val="clear" w:color="auto" w:fill="1F4E78"/>
          </w:tcPr>
          <w:p>
            <w:pPr>
              <w:pStyle w:val="TableText"/>
              <w:keepLines/>
            </w:pPr>
            <w:r>
              <w:rPr>
                <w:b/>
                <w:color w:val="FFFFFF"/>
                <w:sz w:val="15"/>
                <w:szCs w:val="15"/>
              </w:rPr>
              <w:t xml:space="preserve">Metric</w:t>
            </w:r>
          </w:p>
        </w:tc>
        <w:tc>
          <w:tcPr>
            <w:tcW w:w="2300" w:type="dxa"/>
            <w:shd w:val="clear" w:color="auto" w:fill="1F4E78"/>
          </w:tcPr>
          <w:p>
            <w:pPr>
              <w:pStyle w:val="TableText"/>
              <w:keepLines/>
            </w:pPr>
            <w:r>
              <w:rPr>
                <w:b/>
                <w:color w:val="FFFFFF"/>
                <w:sz w:val="15"/>
                <w:szCs w:val="15"/>
              </w:rPr>
              <w:t xml:space="preserve">Economic justification</w:t>
            </w:r>
          </w:p>
        </w:tc>
        <w:tc>
          <w:tcPr>
            <w:tcW w:w="2700" w:type="dxa"/>
            <w:shd w:val="clear" w:color="auto" w:fill="1F4E78"/>
          </w:tcPr>
          <w:p>
            <w:pPr>
              <w:pStyle w:val="TableText"/>
              <w:keepLines/>
            </w:pPr>
            <w:r>
              <w:rPr>
                <w:b/>
                <w:color w:val="FFFFFF"/>
                <w:sz w:val="15"/>
                <w:szCs w:val="15"/>
              </w:rPr>
              <w:t xml:space="preserve">Production and formula</w:t>
            </w:r>
          </w:p>
        </w:tc>
        <w:tc>
          <w:tcPr>
            <w:tcW w:w="2500" w:type="dxa"/>
            <w:shd w:val="clear" w:color="auto" w:fill="1F4E78"/>
          </w:tcPr>
          <w:p>
            <w:pPr>
              <w:pStyle w:val="TableText"/>
              <w:keepLines/>
            </w:pPr>
            <w:r>
              <w:rPr>
                <w:b/>
                <w:color w:val="FFFFFF"/>
                <w:sz w:val="15"/>
                <w:szCs w:val="15"/>
              </w:rPr>
              <w:t xml:space="preserve">Interpretation and limitations</w:t>
            </w:r>
          </w:p>
        </w:tc>
      </w:tr>
      <w:tr>
        <w:trPr>
          <w:cantSplit/>
        </w:trPr>
        <w:tc>
          <w:tcPr>
            <w:tcW w:w="1500" w:type="dxa"/>
          </w:tcPr>
          <w:p>
            <w:pPr>
              <w:pStyle w:val="TableText"/>
              <w:keepLines/>
            </w:pPr>
            <w:r>
              <w:rPr>
                <w:sz w:val="15"/>
                <w:szCs w:val="15"/>
              </w:rPr>
              <w:t xml:space="preserve">Private corporate GFCF / GDP</w:t>
            </w:r>
          </w:p>
        </w:tc>
        <w:tc>
          <w:tcPr>
            <w:tcW w:w="2300" w:type="dxa"/>
          </w:tcPr>
          <w:p>
            <w:pPr>
              <w:pStyle w:val="TableText"/>
              <w:keepLines/>
            </w:pPr>
            <w:r>
              <w:rPr>
                <w:sz w:val="15"/>
                <w:szCs w:val="15"/>
              </w:rPr>
              <w:t xml:space="preserve">Measures private corporate fixed-capital formation relative to economic scale.</w:t>
            </w:r>
          </w:p>
        </w:tc>
        <w:tc>
          <w:tcPr>
            <w:tcW w:w="2700" w:type="dxa"/>
          </w:tcPr>
          <w:p>
            <w:pPr>
              <w:pStyle w:val="TableText"/>
              <w:keepLines/>
            </w:pPr>
            <w:r>
              <w:rPr>
                <w:sz w:val="15"/>
                <w:szCs w:val="15"/>
              </w:rPr>
              <w:t xml:space="preserve">100 × (private non-financial corporation GFCF + private financial corporation GFCF) / nominal GDP, within one MoSPI base-year vintage.</w:t>
            </w:r>
          </w:p>
        </w:tc>
        <w:tc>
          <w:tcPr>
            <w:tcW w:w="2500" w:type="dxa"/>
          </w:tcPr>
          <w:p>
            <w:pPr>
              <w:pStyle w:val="TableText"/>
              <w:keepLines/>
            </w:pPr>
            <w:r>
              <w:rPr>
                <w:sz w:val="15"/>
                <w:szCs w:val="15"/>
              </w:rPr>
              <w:t xml:space="preserve">Excludes households and unincorporated enterprises. A lower ratio can coexist with rising nominal investment if GDP grows faster.</w:t>
            </w:r>
          </w:p>
        </w:tc>
      </w:tr>
      <w:tr>
        <w:trPr>
          <w:cantSplit/>
        </w:trPr>
        <w:tc>
          <w:tcPr>
            <w:tcW w:w="1500" w:type="dxa"/>
          </w:tcPr>
          <w:p>
            <w:pPr>
              <w:pStyle w:val="TableText"/>
              <w:keepLines/>
            </w:pPr>
            <w:r>
              <w:rPr>
                <w:sz w:val="15"/>
                <w:szCs w:val="15"/>
              </w:rPr>
              <w:t xml:space="preserve">Private corporate share of total GFCF</w:t>
            </w:r>
          </w:p>
        </w:tc>
        <w:tc>
          <w:tcPr>
            <w:tcW w:w="2300" w:type="dxa"/>
          </w:tcPr>
          <w:p>
            <w:pPr>
              <w:pStyle w:val="TableText"/>
              <w:keepLines/>
            </w:pPr>
            <w:r>
              <w:rPr>
                <w:sz w:val="15"/>
                <w:szCs w:val="15"/>
              </w:rPr>
              <w:t xml:space="preserve">Shows the institutional composition of economy-wide fixed investment.</w:t>
            </w:r>
          </w:p>
        </w:tc>
        <w:tc>
          <w:tcPr>
            <w:tcW w:w="2700" w:type="dxa"/>
          </w:tcPr>
          <w:p>
            <w:pPr>
              <w:pStyle w:val="TableText"/>
              <w:keepLines/>
            </w:pPr>
            <w:r>
              <w:rPr>
                <w:sz w:val="15"/>
                <w:szCs w:val="15"/>
              </w:rPr>
              <w:t xml:space="preserve">100 × private corporate GFCF / total GFCF.</w:t>
            </w:r>
          </w:p>
        </w:tc>
        <w:tc>
          <w:tcPr>
            <w:tcW w:w="2500" w:type="dxa"/>
          </w:tcPr>
          <w:p>
            <w:pPr>
              <w:pStyle w:val="TableText"/>
              <w:keepLines/>
            </w:pPr>
            <w:r>
              <w:rPr>
                <w:sz w:val="15"/>
                <w:szCs w:val="15"/>
              </w:rPr>
              <w:t xml:space="preserve">Not a public-versus-private binary because household and other institutional sectors remain in total GFCF.</w:t>
            </w:r>
          </w:p>
        </w:tc>
      </w:tr>
      <w:tr>
        <w:trPr>
          <w:cantSplit/>
        </w:trPr>
        <w:tc>
          <w:tcPr>
            <w:tcW w:w="1500" w:type="dxa"/>
          </w:tcPr>
          <w:p>
            <w:pPr>
              <w:pStyle w:val="TableText"/>
              <w:keepLines/>
            </w:pPr>
            <w:r>
              <w:rPr>
                <w:sz w:val="15"/>
                <w:szCs w:val="15"/>
              </w:rPr>
              <w:t xml:space="preserve">Manufacturing capacity utilisation</w:t>
            </w:r>
          </w:p>
        </w:tc>
        <w:tc>
          <w:tcPr>
            <w:tcW w:w="2300" w:type="dxa"/>
          </w:tcPr>
          <w:p>
            <w:pPr>
              <w:pStyle w:val="TableText"/>
              <w:keepLines/>
            </w:pPr>
            <w:r>
              <w:rPr>
                <w:sz w:val="15"/>
                <w:szCs w:val="15"/>
              </w:rPr>
              <w:t xml:space="preserve">High utilisation can create an incentive to add capacity and helps distinguish idle assets from binding demand.</w:t>
            </w:r>
          </w:p>
        </w:tc>
        <w:tc>
          <w:tcPr>
            <w:tcW w:w="2700" w:type="dxa"/>
          </w:tcPr>
          <w:p>
            <w:pPr>
              <w:pStyle w:val="TableText"/>
              <w:keepLines/>
            </w:pPr>
            <w:r>
              <w:rPr>
                <w:sz w:val="15"/>
                <w:szCs w:val="15"/>
              </w:rPr>
              <w:t xml:space="preserve">RBI OBICUS unadjusted quarterly aggregate for responding manufacturers.</w:t>
            </w:r>
          </w:p>
        </w:tc>
        <w:tc>
          <w:tcPr>
            <w:tcW w:w="2500" w:type="dxa"/>
          </w:tcPr>
          <w:p>
            <w:pPr>
              <w:pStyle w:val="TableText"/>
              <w:keepLines/>
            </w:pPr>
            <w:r>
              <w:rPr>
                <w:sz w:val="15"/>
                <w:szCs w:val="15"/>
              </w:rPr>
              <w:t xml:space="preserve">A changing voluntary sample and seasonality limit comparability. High utilisation is not itself new investment.</w:t>
            </w:r>
          </w:p>
        </w:tc>
      </w:tr>
      <w:tr>
        <w:trPr>
          <w:cantSplit/>
        </w:trPr>
        <w:tc>
          <w:tcPr>
            <w:tcW w:w="1500" w:type="dxa"/>
          </w:tcPr>
          <w:p>
            <w:pPr>
              <w:pStyle w:val="TableText"/>
              <w:keepLines/>
            </w:pPr>
            <w:r>
              <w:rPr>
                <w:sz w:val="15"/>
                <w:szCs w:val="15"/>
              </w:rPr>
              <w:t xml:space="preserve">Public CapEx lagged one year</w:t>
            </w:r>
          </w:p>
        </w:tc>
        <w:tc>
          <w:tcPr>
            <w:tcW w:w="2300" w:type="dxa"/>
          </w:tcPr>
          <w:p>
            <w:pPr>
              <w:pStyle w:val="TableText"/>
              <w:keepLines/>
            </w:pPr>
            <w:r>
              <w:rPr>
                <w:sz w:val="15"/>
                <w:szCs w:val="15"/>
              </w:rPr>
              <w:t xml:space="preserve">Provides a transparent visual timing comparator for possible crowding-in.</w:t>
            </w:r>
          </w:p>
        </w:tc>
        <w:tc>
          <w:tcPr>
            <w:tcW w:w="2700" w:type="dxa"/>
          </w:tcPr>
          <w:p>
            <w:pPr>
              <w:pStyle w:val="TableText"/>
              <w:keepLines/>
            </w:pPr>
            <w:r>
              <w:rPr>
                <w:sz w:val="15"/>
                <w:szCs w:val="15"/>
              </w:rPr>
              <w:t xml:space="preserve">Actual public CapEx/GDP shifted forward one fiscal year.</w:t>
            </w:r>
          </w:p>
        </w:tc>
        <w:tc>
          <w:tcPr>
            <w:tcW w:w="2500" w:type="dxa"/>
          </w:tcPr>
          <w:p>
            <w:pPr>
              <w:pStyle w:val="TableText"/>
              <w:keepLines/>
            </w:pPr>
            <w:r>
              <w:rPr>
                <w:sz w:val="15"/>
                <w:szCs w:val="15"/>
              </w:rPr>
              <w:t xml:space="preserve">The shift is a hypothesis display, not an estimated distributed lag.</w:t>
            </w:r>
          </w:p>
        </w:tc>
      </w:tr>
      <w:tr>
        <w:trPr>
          <w:cantSplit/>
        </w:trPr>
        <w:tc>
          <w:tcPr>
            <w:tcW w:w="1500" w:type="dxa"/>
          </w:tcPr>
          <w:p>
            <w:pPr>
              <w:pStyle w:val="TableText"/>
              <w:keepLines/>
            </w:pPr>
            <w:r>
              <w:rPr>
                <w:sz w:val="15"/>
                <w:szCs w:val="15"/>
              </w:rPr>
              <w:t xml:space="preserve">Capital-goods IIP</w:t>
            </w:r>
          </w:p>
        </w:tc>
        <w:tc>
          <w:tcPr>
            <w:tcW w:w="2300" w:type="dxa"/>
          </w:tcPr>
          <w:p>
            <w:pPr>
              <w:pStyle w:val="TableText"/>
              <w:keepLines/>
            </w:pPr>
            <w:r>
              <w:rPr>
                <w:sz w:val="15"/>
                <w:szCs w:val="15"/>
              </w:rPr>
              <w:t xml:space="preserve">Measures real productive output in machinery and equipment categories used for further investment.</w:t>
            </w:r>
          </w:p>
        </w:tc>
        <w:tc>
          <w:tcPr>
            <w:tcW w:w="2700" w:type="dxa"/>
          </w:tcPr>
          <w:p>
            <w:pPr>
              <w:pStyle w:val="TableText"/>
              <w:keepLines/>
            </w:pPr>
            <w:r>
              <w:rPr>
                <w:sz w:val="15"/>
                <w:szCs w:val="15"/>
              </w:rPr>
              <w:t xml:space="preserve">NSO use-based capital-goods IIP, fiscal-year average, base 2011–12=100.</w:t>
            </w:r>
          </w:p>
        </w:tc>
        <w:tc>
          <w:tcPr>
            <w:tcW w:w="2500" w:type="dxa"/>
          </w:tcPr>
          <w:p>
            <w:pPr>
              <w:pStyle w:val="TableText"/>
              <w:keepLines/>
            </w:pPr>
            <w:r>
              <w:rPr>
                <w:sz w:val="15"/>
                <w:szCs w:val="15"/>
              </w:rPr>
              <w:t xml:space="preserve">Volatile, currently ending FY2022–23, and not a direct measure of orders, ownership or profitability.</w:t>
            </w:r>
          </w:p>
        </w:tc>
      </w:tr>
    </w:tbl>
    <w:p>
      <w:pPr>
        <w:spacing w:after="80"/>
      </w:pPr>
      <w:r>
        <w:t xml:space="preserve"/>
      </w:r>
    </w:p>
    <w:p>
      <w:r>
        <w:t xml:space="preserve">The private-response artifact contains 18 observations and the capital-goods IIP artifact contains 9. The short consistent private-corporate GFCF history is the principal reason the current real-economy classification is inconclusive.</w:t>
      </w:r>
    </w:p>
    <w:p>
      <w:pPr>
        <w:pStyle w:val="Heading2"/>
        <w:keepNext/>
      </w:pPr>
      <w:r>
        <w:t xml:space="preserve">Published capital-goods IIP observations</w:t>
      </w:r>
    </w:p>
    <w:tbl>
      <w:tblPr>
        <w:tblStyle w:val="ArchitectureTable"/>
        <w:tblW w:w="0" w:type="auto"/>
        <w:tblLayout w:type="fixed"/>
      </w:tblPr>
      <w:tblGrid>
        <w:gridCol w:w="2500"/>
        <w:gridCol w:w="4000"/>
        <w:gridCol w:w="2500"/>
      </w:tblGrid>
      <w:tr>
        <w:trPr>
          <w:tblHeader/>
          <w:cantSplit/>
        </w:trPr>
        <w:tc>
          <w:tcPr>
            <w:tcW w:w="2500" w:type="dxa"/>
            <w:shd w:val="clear" w:color="auto" w:fill="1F4E78"/>
          </w:tcPr>
          <w:p>
            <w:pPr>
              <w:pStyle w:val="TableText"/>
              <w:keepLines/>
            </w:pPr>
            <w:r>
              <w:rPr>
                <w:b/>
                <w:color w:val="FFFFFF"/>
                <w:sz w:val="18"/>
                <w:szCs w:val="18"/>
              </w:rPr>
              <w:t xml:space="preserve">Fiscal year</w:t>
            </w:r>
          </w:p>
        </w:tc>
        <w:tc>
          <w:tcPr>
            <w:tcW w:w="4000" w:type="dxa"/>
            <w:shd w:val="clear" w:color="auto" w:fill="1F4E78"/>
          </w:tcPr>
          <w:p>
            <w:pPr>
              <w:pStyle w:val="TableText"/>
              <w:keepLines/>
            </w:pPr>
            <w:r>
              <w:rPr>
                <w:b/>
                <w:color w:val="FFFFFF"/>
                <w:sz w:val="18"/>
                <w:szCs w:val="18"/>
              </w:rPr>
              <w:t xml:space="preserve">Capital-goods IIP (2011–12=100)</w:t>
            </w:r>
          </w:p>
        </w:tc>
        <w:tc>
          <w:tcPr>
            <w:tcW w:w="2500" w:type="dxa"/>
            <w:shd w:val="clear" w:color="auto" w:fill="1F4E78"/>
          </w:tcPr>
          <w:p>
            <w:pPr>
              <w:pStyle w:val="TableText"/>
              <w:keepLines/>
            </w:pPr>
            <w:r>
              <w:rPr>
                <w:b/>
                <w:color w:val="FFFFFF"/>
                <w:sz w:val="18"/>
                <w:szCs w:val="18"/>
              </w:rPr>
              <w:t xml:space="preserve">Status</w:t>
            </w:r>
          </w:p>
        </w:tc>
      </w:tr>
      <w:tr>
        <w:trPr>
          <w:cantSplit/>
        </w:trPr>
        <w:tc>
          <w:tcPr>
            <w:tcW w:w="2500" w:type="dxa"/>
          </w:tcPr>
          <w:p>
            <w:pPr>
              <w:pStyle w:val="TableText"/>
              <w:keepLines/>
            </w:pPr>
            <w:r>
              <w:rPr>
                <w:sz w:val="18"/>
                <w:szCs w:val="18"/>
              </w:rPr>
              <w:t xml:space="preserve">FY2014-15</w:t>
            </w:r>
          </w:p>
        </w:tc>
        <w:tc>
          <w:tcPr>
            <w:tcW w:w="4000" w:type="dxa"/>
          </w:tcPr>
          <w:p>
            <w:pPr>
              <w:pStyle w:val="TableText"/>
              <w:keepLines/>
            </w:pPr>
            <w:r>
              <w:rPr>
                <w:sz w:val="18"/>
                <w:szCs w:val="18"/>
              </w:rPr>
              <w:t xml:space="preserve">95.5</w:t>
            </w:r>
          </w:p>
        </w:tc>
        <w:tc>
          <w:tcPr>
            <w:tcW w:w="2500" w:type="dxa"/>
          </w:tcPr>
          <w:p>
            <w:pPr>
              <w:pStyle w:val="TableText"/>
              <w:keepLines/>
            </w:pPr>
            <w:r>
              <w:rPr>
                <w:sz w:val="18"/>
                <w:szCs w:val="18"/>
              </w:rPr>
              <w:t xml:space="preserve">actual</w:t>
            </w:r>
          </w:p>
        </w:tc>
      </w:tr>
      <w:tr>
        <w:trPr>
          <w:cantSplit/>
        </w:trPr>
        <w:tc>
          <w:tcPr>
            <w:tcW w:w="2500" w:type="dxa"/>
          </w:tcPr>
          <w:p>
            <w:pPr>
              <w:pStyle w:val="TableText"/>
              <w:keepLines/>
            </w:pPr>
            <w:r>
              <w:rPr>
                <w:sz w:val="18"/>
                <w:szCs w:val="18"/>
              </w:rPr>
              <w:t xml:space="preserve">FY2015-16</w:t>
            </w:r>
          </w:p>
        </w:tc>
        <w:tc>
          <w:tcPr>
            <w:tcW w:w="4000" w:type="dxa"/>
          </w:tcPr>
          <w:p>
            <w:pPr>
              <w:pStyle w:val="TableText"/>
              <w:keepLines/>
            </w:pPr>
            <w:r>
              <w:rPr>
                <w:sz w:val="18"/>
                <w:szCs w:val="18"/>
              </w:rPr>
              <w:t xml:space="preserve">98.4</w:t>
            </w:r>
          </w:p>
        </w:tc>
        <w:tc>
          <w:tcPr>
            <w:tcW w:w="2500" w:type="dxa"/>
          </w:tcPr>
          <w:p>
            <w:pPr>
              <w:pStyle w:val="TableText"/>
              <w:keepLines/>
            </w:pPr>
            <w:r>
              <w:rPr>
                <w:sz w:val="18"/>
                <w:szCs w:val="18"/>
              </w:rPr>
              <w:t xml:space="preserve">actual</w:t>
            </w:r>
          </w:p>
        </w:tc>
      </w:tr>
      <w:tr>
        <w:trPr>
          <w:cantSplit/>
        </w:trPr>
        <w:tc>
          <w:tcPr>
            <w:tcW w:w="2500" w:type="dxa"/>
          </w:tcPr>
          <w:p>
            <w:pPr>
              <w:pStyle w:val="TableText"/>
              <w:keepLines/>
            </w:pPr>
            <w:r>
              <w:rPr>
                <w:sz w:val="18"/>
                <w:szCs w:val="18"/>
              </w:rPr>
              <w:t xml:space="preserve">FY2016-17</w:t>
            </w:r>
          </w:p>
        </w:tc>
        <w:tc>
          <w:tcPr>
            <w:tcW w:w="4000" w:type="dxa"/>
          </w:tcPr>
          <w:p>
            <w:pPr>
              <w:pStyle w:val="TableText"/>
              <w:keepLines/>
            </w:pPr>
            <w:r>
              <w:rPr>
                <w:sz w:val="18"/>
                <w:szCs w:val="18"/>
              </w:rPr>
              <w:t xml:space="preserve">101.5</w:t>
            </w:r>
          </w:p>
        </w:tc>
        <w:tc>
          <w:tcPr>
            <w:tcW w:w="2500" w:type="dxa"/>
          </w:tcPr>
          <w:p>
            <w:pPr>
              <w:pStyle w:val="TableText"/>
              <w:keepLines/>
            </w:pPr>
            <w:r>
              <w:rPr>
                <w:sz w:val="18"/>
                <w:szCs w:val="18"/>
              </w:rPr>
              <w:t xml:space="preserve">actual</w:t>
            </w:r>
          </w:p>
        </w:tc>
      </w:tr>
      <w:tr>
        <w:trPr>
          <w:cantSplit/>
        </w:trPr>
        <w:tc>
          <w:tcPr>
            <w:tcW w:w="2500" w:type="dxa"/>
          </w:tcPr>
          <w:p>
            <w:pPr>
              <w:pStyle w:val="TableText"/>
              <w:keepLines/>
            </w:pPr>
            <w:r>
              <w:rPr>
                <w:sz w:val="18"/>
                <w:szCs w:val="18"/>
              </w:rPr>
              <w:t xml:space="preserve">FY2017-18</w:t>
            </w:r>
          </w:p>
        </w:tc>
        <w:tc>
          <w:tcPr>
            <w:tcW w:w="4000" w:type="dxa"/>
          </w:tcPr>
          <w:p>
            <w:pPr>
              <w:pStyle w:val="TableText"/>
              <w:keepLines/>
            </w:pPr>
            <w:r>
              <w:rPr>
                <w:sz w:val="18"/>
                <w:szCs w:val="18"/>
              </w:rPr>
              <w:t xml:space="preserve">105.6</w:t>
            </w:r>
          </w:p>
        </w:tc>
        <w:tc>
          <w:tcPr>
            <w:tcW w:w="2500" w:type="dxa"/>
          </w:tcPr>
          <w:p>
            <w:pPr>
              <w:pStyle w:val="TableText"/>
              <w:keepLines/>
            </w:pPr>
            <w:r>
              <w:rPr>
                <w:sz w:val="18"/>
                <w:szCs w:val="18"/>
              </w:rPr>
              <w:t xml:space="preserve">actual</w:t>
            </w:r>
          </w:p>
        </w:tc>
      </w:tr>
      <w:tr>
        <w:trPr>
          <w:cantSplit/>
        </w:trPr>
        <w:tc>
          <w:tcPr>
            <w:tcW w:w="2500" w:type="dxa"/>
          </w:tcPr>
          <w:p>
            <w:pPr>
              <w:pStyle w:val="TableText"/>
              <w:keepLines/>
            </w:pPr>
            <w:r>
              <w:rPr>
                <w:sz w:val="18"/>
                <w:szCs w:val="18"/>
              </w:rPr>
              <w:t xml:space="preserve">FY2018-19</w:t>
            </w:r>
          </w:p>
        </w:tc>
        <w:tc>
          <w:tcPr>
            <w:tcW w:w="4000" w:type="dxa"/>
          </w:tcPr>
          <w:p>
            <w:pPr>
              <w:pStyle w:val="TableText"/>
              <w:keepLines/>
            </w:pPr>
            <w:r>
              <w:rPr>
                <w:sz w:val="18"/>
                <w:szCs w:val="18"/>
              </w:rPr>
              <w:t xml:space="preserve">108.4</w:t>
            </w:r>
          </w:p>
        </w:tc>
        <w:tc>
          <w:tcPr>
            <w:tcW w:w="2500" w:type="dxa"/>
          </w:tcPr>
          <w:p>
            <w:pPr>
              <w:pStyle w:val="TableText"/>
              <w:keepLines/>
            </w:pPr>
            <w:r>
              <w:rPr>
                <w:sz w:val="18"/>
                <w:szCs w:val="18"/>
              </w:rPr>
              <w:t xml:space="preserve">actual</w:t>
            </w:r>
          </w:p>
        </w:tc>
      </w:tr>
      <w:tr>
        <w:trPr>
          <w:cantSplit/>
        </w:trPr>
        <w:tc>
          <w:tcPr>
            <w:tcW w:w="2500" w:type="dxa"/>
          </w:tcPr>
          <w:p>
            <w:pPr>
              <w:pStyle w:val="TableText"/>
              <w:keepLines/>
            </w:pPr>
            <w:r>
              <w:rPr>
                <w:sz w:val="18"/>
                <w:szCs w:val="18"/>
              </w:rPr>
              <w:t xml:space="preserve">FY2019-20</w:t>
            </w:r>
          </w:p>
        </w:tc>
        <w:tc>
          <w:tcPr>
            <w:tcW w:w="4000" w:type="dxa"/>
          </w:tcPr>
          <w:p>
            <w:pPr>
              <w:pStyle w:val="TableText"/>
              <w:keepLines/>
            </w:pPr>
            <w:r>
              <w:rPr>
                <w:sz w:val="18"/>
                <w:szCs w:val="18"/>
              </w:rPr>
              <w:t xml:space="preserve">93.3</w:t>
            </w:r>
          </w:p>
        </w:tc>
        <w:tc>
          <w:tcPr>
            <w:tcW w:w="2500" w:type="dxa"/>
          </w:tcPr>
          <w:p>
            <w:pPr>
              <w:pStyle w:val="TableText"/>
              <w:keepLines/>
            </w:pPr>
            <w:r>
              <w:rPr>
                <w:sz w:val="18"/>
                <w:szCs w:val="18"/>
              </w:rPr>
              <w:t xml:space="preserve">actual</w:t>
            </w:r>
          </w:p>
        </w:tc>
      </w:tr>
      <w:tr>
        <w:trPr>
          <w:cantSplit/>
        </w:trPr>
        <w:tc>
          <w:tcPr>
            <w:tcW w:w="2500" w:type="dxa"/>
          </w:tcPr>
          <w:p>
            <w:pPr>
              <w:pStyle w:val="TableText"/>
              <w:keepLines/>
            </w:pPr>
            <w:r>
              <w:rPr>
                <w:sz w:val="18"/>
                <w:szCs w:val="18"/>
              </w:rPr>
              <w:t xml:space="preserve">FY2020-21</w:t>
            </w:r>
          </w:p>
        </w:tc>
        <w:tc>
          <w:tcPr>
            <w:tcW w:w="4000" w:type="dxa"/>
          </w:tcPr>
          <w:p>
            <w:pPr>
              <w:pStyle w:val="TableText"/>
              <w:keepLines/>
            </w:pPr>
            <w:r>
              <w:rPr>
                <w:sz w:val="18"/>
                <w:szCs w:val="18"/>
              </w:rPr>
              <w:t xml:space="preserve">75.9</w:t>
            </w:r>
          </w:p>
        </w:tc>
        <w:tc>
          <w:tcPr>
            <w:tcW w:w="2500" w:type="dxa"/>
          </w:tcPr>
          <w:p>
            <w:pPr>
              <w:pStyle w:val="TableText"/>
              <w:keepLines/>
            </w:pPr>
            <w:r>
              <w:rPr>
                <w:sz w:val="18"/>
                <w:szCs w:val="18"/>
              </w:rPr>
              <w:t xml:space="preserve">actual</w:t>
            </w:r>
          </w:p>
        </w:tc>
      </w:tr>
      <w:tr>
        <w:trPr>
          <w:cantSplit/>
        </w:trPr>
        <w:tc>
          <w:tcPr>
            <w:tcW w:w="2500" w:type="dxa"/>
          </w:tcPr>
          <w:p>
            <w:pPr>
              <w:pStyle w:val="TableText"/>
              <w:keepLines/>
            </w:pPr>
            <w:r>
              <w:rPr>
                <w:sz w:val="18"/>
                <w:szCs w:val="18"/>
              </w:rPr>
              <w:t xml:space="preserve">FY2021-22</w:t>
            </w:r>
          </w:p>
        </w:tc>
        <w:tc>
          <w:tcPr>
            <w:tcW w:w="4000" w:type="dxa"/>
          </w:tcPr>
          <w:p>
            <w:pPr>
              <w:pStyle w:val="TableText"/>
              <w:keepLines/>
            </w:pPr>
            <w:r>
              <w:rPr>
                <w:sz w:val="18"/>
                <w:szCs w:val="18"/>
              </w:rPr>
              <w:t xml:space="preserve">88.7</w:t>
            </w:r>
          </w:p>
        </w:tc>
        <w:tc>
          <w:tcPr>
            <w:tcW w:w="2500" w:type="dxa"/>
          </w:tcPr>
          <w:p>
            <w:pPr>
              <w:pStyle w:val="TableText"/>
              <w:keepLines/>
            </w:pPr>
            <w:r>
              <w:rPr>
                <w:sz w:val="18"/>
                <w:szCs w:val="18"/>
              </w:rPr>
              <w:t xml:space="preserve">actual</w:t>
            </w:r>
          </w:p>
        </w:tc>
      </w:tr>
      <w:tr>
        <w:trPr>
          <w:cantSplit/>
        </w:trPr>
        <w:tc>
          <w:tcPr>
            <w:tcW w:w="2500" w:type="dxa"/>
          </w:tcPr>
          <w:p>
            <w:pPr>
              <w:pStyle w:val="TableText"/>
              <w:keepLines/>
            </w:pPr>
            <w:r>
              <w:rPr>
                <w:sz w:val="18"/>
                <w:szCs w:val="18"/>
              </w:rPr>
              <w:t xml:space="preserve">FY2022-23</w:t>
            </w:r>
          </w:p>
        </w:tc>
        <w:tc>
          <w:tcPr>
            <w:tcW w:w="4000" w:type="dxa"/>
          </w:tcPr>
          <w:p>
            <w:pPr>
              <w:pStyle w:val="TableText"/>
              <w:keepLines/>
            </w:pPr>
            <w:r>
              <w:rPr>
                <w:sz w:val="18"/>
                <w:szCs w:val="18"/>
              </w:rPr>
              <w:t xml:space="preserve">100.3</w:t>
            </w:r>
          </w:p>
        </w:tc>
        <w:tc>
          <w:tcPr>
            <w:tcW w:w="2500" w:type="dxa"/>
          </w:tcPr>
          <w:p>
            <w:pPr>
              <w:pStyle w:val="TableText"/>
              <w:keepLines/>
            </w:pPr>
            <w:r>
              <w:rPr>
                <w:sz w:val="18"/>
                <w:szCs w:val="18"/>
              </w:rPr>
              <w:t xml:space="preserve">actual</w:t>
            </w:r>
          </w:p>
        </w:tc>
      </w:tr>
    </w:tbl>
    <w:p>
      <w:pPr>
        <w:spacing w:after="80"/>
      </w:pPr>
      <w:r>
        <w:t xml:space="preserve"/>
      </w:r>
    </w:p>
    <w:p>
      <w:pPr>
        <w:pStyle w:val="Heading1"/>
        <w:keepNext/>
      </w:pPr>
      <w:r>
        <w:t xml:space="preserve">10. Stage 1C — Investment quality and project delivery</w:t>
      </w:r>
    </w:p>
    <w:p>
      <w:pPr>
        <w:keepLines/>
        <w:spacing w:before="120" w:after="160"/>
        <w:ind w:left="180"/>
        <w:pBdr>
          <w:left w:val="single" w:sz="18" w:space="10" w:color="2E7D6B"/>
        </w:pBdr>
        <w:shd w:val="clear" w:color="auto" w:fill="ECFDF5"/>
      </w:pPr>
      <w:r>
        <w:rPr>
          <w:b/>
          <w:color w:val="2E7D6B"/>
        </w:rPr>
        <w:t xml:space="preserve">Question answered  </w:t>
      </w:r>
      <w:r>
        <w:t xml:space="preserve">Did a larger public-investment envelope produce timely, cost-controlled assets?</w:t>
      </w:r>
    </w:p>
    <w:p>
      <w:r>
        <w:t xml:space="preserve">This stage closes the gap between financial execution and asset quality by using MoSPI-monitored central-sector project status and cost histories published by RBI.</w:t>
      </w:r>
    </w:p>
    <w:tbl>
      <w:tblPr>
        <w:tblStyle w:val="ArchitectureTable"/>
        <w:tblW w:w="0" w:type="auto"/>
        <w:tblLayout w:type="fixed"/>
      </w:tblPr>
      <w:tblGrid>
        <w:gridCol w:w="1500"/>
        <w:gridCol w:w="2300"/>
        <w:gridCol w:w="2700"/>
        <w:gridCol w:w="2500"/>
      </w:tblGrid>
      <w:tr>
        <w:trPr>
          <w:tblHeader/>
          <w:cantSplit/>
        </w:trPr>
        <w:tc>
          <w:tcPr>
            <w:tcW w:w="1500" w:type="dxa"/>
            <w:shd w:val="clear" w:color="auto" w:fill="1F4E78"/>
          </w:tcPr>
          <w:p>
            <w:pPr>
              <w:pStyle w:val="TableText"/>
              <w:keepLines/>
            </w:pPr>
            <w:r>
              <w:rPr>
                <w:b/>
                <w:color w:val="FFFFFF"/>
                <w:sz w:val="15"/>
                <w:szCs w:val="15"/>
              </w:rPr>
              <w:t xml:space="preserve">Metric</w:t>
            </w:r>
          </w:p>
        </w:tc>
        <w:tc>
          <w:tcPr>
            <w:tcW w:w="2300" w:type="dxa"/>
            <w:shd w:val="clear" w:color="auto" w:fill="1F4E78"/>
          </w:tcPr>
          <w:p>
            <w:pPr>
              <w:pStyle w:val="TableText"/>
              <w:keepLines/>
            </w:pPr>
            <w:r>
              <w:rPr>
                <w:b/>
                <w:color w:val="FFFFFF"/>
                <w:sz w:val="15"/>
                <w:szCs w:val="15"/>
              </w:rPr>
              <w:t xml:space="preserve">Economic justification</w:t>
            </w:r>
          </w:p>
        </w:tc>
        <w:tc>
          <w:tcPr>
            <w:tcW w:w="2700" w:type="dxa"/>
            <w:shd w:val="clear" w:color="auto" w:fill="1F4E78"/>
          </w:tcPr>
          <w:p>
            <w:pPr>
              <w:pStyle w:val="TableText"/>
              <w:keepLines/>
            </w:pPr>
            <w:r>
              <w:rPr>
                <w:b/>
                <w:color w:val="FFFFFF"/>
                <w:sz w:val="15"/>
                <w:szCs w:val="15"/>
              </w:rPr>
              <w:t xml:space="preserve">Production and formula</w:t>
            </w:r>
          </w:p>
        </w:tc>
        <w:tc>
          <w:tcPr>
            <w:tcW w:w="2500" w:type="dxa"/>
            <w:shd w:val="clear" w:color="auto" w:fill="1F4E78"/>
          </w:tcPr>
          <w:p>
            <w:pPr>
              <w:pStyle w:val="TableText"/>
              <w:keepLines/>
            </w:pPr>
            <w:r>
              <w:rPr>
                <w:b/>
                <w:color w:val="FFFFFF"/>
                <w:sz w:val="15"/>
                <w:szCs w:val="15"/>
              </w:rPr>
              <w:t xml:space="preserve">Interpretation and limitations</w:t>
            </w:r>
          </w:p>
        </w:tc>
      </w:tr>
      <w:tr>
        <w:trPr>
          <w:cantSplit/>
        </w:trPr>
        <w:tc>
          <w:tcPr>
            <w:tcW w:w="1500" w:type="dxa"/>
          </w:tcPr>
          <w:p>
            <w:pPr>
              <w:pStyle w:val="TableText"/>
              <w:keepLines/>
            </w:pPr>
            <w:r>
              <w:rPr>
                <w:sz w:val="15"/>
                <w:szCs w:val="15"/>
              </w:rPr>
              <w:t xml:space="preserve">Projects monitored</w:t>
            </w:r>
          </w:p>
        </w:tc>
        <w:tc>
          <w:tcPr>
            <w:tcW w:w="2300" w:type="dxa"/>
          </w:tcPr>
          <w:p>
            <w:pPr>
              <w:pStyle w:val="TableText"/>
              <w:keepLines/>
            </w:pPr>
            <w:r>
              <w:rPr>
                <w:sz w:val="15"/>
                <w:szCs w:val="15"/>
              </w:rPr>
              <w:t xml:space="preserve">Defines the implementation universe behind the quality ratios.</w:t>
            </w:r>
          </w:p>
        </w:tc>
        <w:tc>
          <w:tcPr>
            <w:tcW w:w="2700" w:type="dxa"/>
          </w:tcPr>
          <w:p>
            <w:pPr>
              <w:pStyle w:val="TableText"/>
              <w:keepLines/>
            </w:pPr>
            <w:r>
              <w:rPr>
                <w:sz w:val="15"/>
                <w:szCs w:val="15"/>
              </w:rPr>
              <w:t xml:space="preserve">Sum of ahead, on-schedule, delayed and without-commissioning-date projects by sector and end-March year.</w:t>
            </w:r>
          </w:p>
        </w:tc>
        <w:tc>
          <w:tcPr>
            <w:tcW w:w="2500" w:type="dxa"/>
          </w:tcPr>
          <w:p>
            <w:pPr>
              <w:pStyle w:val="TableText"/>
              <w:keepLines/>
            </w:pPr>
            <w:r>
              <w:rPr>
                <w:sz w:val="15"/>
                <w:szCs w:val="15"/>
              </w:rPr>
              <w:t xml:space="preserve">The threshold changes from ₹100 crore to ₹150 crore in 2011, so levels are not a seamless project-population series.</w:t>
            </w:r>
          </w:p>
        </w:tc>
      </w:tr>
      <w:tr>
        <w:trPr>
          <w:cantSplit/>
        </w:trPr>
        <w:tc>
          <w:tcPr>
            <w:tcW w:w="1500" w:type="dxa"/>
          </w:tcPr>
          <w:p>
            <w:pPr>
              <w:pStyle w:val="TableText"/>
              <w:keepLines/>
            </w:pPr>
            <w:r>
              <w:rPr>
                <w:sz w:val="15"/>
                <w:szCs w:val="15"/>
              </w:rPr>
              <w:t xml:space="preserve">Ahead/on-schedule share</w:t>
            </w:r>
          </w:p>
        </w:tc>
        <w:tc>
          <w:tcPr>
            <w:tcW w:w="2300" w:type="dxa"/>
          </w:tcPr>
          <w:p>
            <w:pPr>
              <w:pStyle w:val="TableText"/>
              <w:keepLines/>
            </w:pPr>
            <w:r>
              <w:rPr>
                <w:sz w:val="15"/>
                <w:szCs w:val="15"/>
              </w:rPr>
              <w:t xml:space="preserve">Measures whether monitored assets remain on their registered delivery path.</w:t>
            </w:r>
          </w:p>
        </w:tc>
        <w:tc>
          <w:tcPr>
            <w:tcW w:w="2700" w:type="dxa"/>
          </w:tcPr>
          <w:p>
            <w:pPr>
              <w:pStyle w:val="TableText"/>
              <w:keepLines/>
            </w:pPr>
            <w:r>
              <w:rPr>
                <w:sz w:val="15"/>
                <w:szCs w:val="15"/>
              </w:rPr>
              <w:t xml:space="preserve">100 × (ahead + on schedule) / monitored projects.</w:t>
            </w:r>
          </w:p>
        </w:tc>
        <w:tc>
          <w:tcPr>
            <w:tcW w:w="2500" w:type="dxa"/>
          </w:tcPr>
          <w:p>
            <w:pPr>
              <w:pStyle w:val="TableText"/>
              <w:keepLines/>
            </w:pPr>
            <w:r>
              <w:rPr>
                <w:sz w:val="15"/>
                <w:szCs w:val="15"/>
              </w:rPr>
              <w:t xml:space="preserve">A project can be on schedule yet low quality or low value; schedule revisions can affect classification.</w:t>
            </w:r>
          </w:p>
        </w:tc>
      </w:tr>
      <w:tr>
        <w:trPr>
          <w:cantSplit/>
        </w:trPr>
        <w:tc>
          <w:tcPr>
            <w:tcW w:w="1500" w:type="dxa"/>
          </w:tcPr>
          <w:p>
            <w:pPr>
              <w:pStyle w:val="TableText"/>
              <w:keepLines/>
            </w:pPr>
            <w:r>
              <w:rPr>
                <w:sz w:val="15"/>
                <w:szCs w:val="15"/>
              </w:rPr>
              <w:t xml:space="preserve">Delayed share</w:t>
            </w:r>
          </w:p>
        </w:tc>
        <w:tc>
          <w:tcPr>
            <w:tcW w:w="2300" w:type="dxa"/>
          </w:tcPr>
          <w:p>
            <w:pPr>
              <w:pStyle w:val="TableText"/>
              <w:keepLines/>
            </w:pPr>
            <w:r>
              <w:rPr>
                <w:sz w:val="15"/>
                <w:szCs w:val="15"/>
              </w:rPr>
              <w:t xml:space="preserve">Captures implementation friction that can defer network and supply benefits.</w:t>
            </w:r>
          </w:p>
        </w:tc>
        <w:tc>
          <w:tcPr>
            <w:tcW w:w="2700" w:type="dxa"/>
          </w:tcPr>
          <w:p>
            <w:pPr>
              <w:pStyle w:val="TableText"/>
              <w:keepLines/>
            </w:pPr>
            <w:r>
              <w:rPr>
                <w:sz w:val="15"/>
                <w:szCs w:val="15"/>
              </w:rPr>
              <w:t xml:space="preserve">100 × delayed / monitored projects.</w:t>
            </w:r>
          </w:p>
        </w:tc>
        <w:tc>
          <w:tcPr>
            <w:tcW w:w="2500" w:type="dxa"/>
          </w:tcPr>
          <w:p>
            <w:pPr>
              <w:pStyle w:val="TableText"/>
              <w:keepLines/>
            </w:pPr>
            <w:r>
              <w:rPr>
                <w:sz w:val="15"/>
                <w:szCs w:val="15"/>
              </w:rPr>
              <w:t xml:space="preserve">From 2011 delay is measured against the original schedule; the break is shown in the chart.</w:t>
            </w:r>
          </w:p>
        </w:tc>
      </w:tr>
      <w:tr>
        <w:trPr>
          <w:cantSplit/>
        </w:trPr>
        <w:tc>
          <w:tcPr>
            <w:tcW w:w="1500" w:type="dxa"/>
          </w:tcPr>
          <w:p>
            <w:pPr>
              <w:pStyle w:val="TableText"/>
              <w:keepLines/>
            </w:pPr>
            <w:r>
              <w:rPr>
                <w:sz w:val="15"/>
                <w:szCs w:val="15"/>
              </w:rPr>
              <w:t xml:space="preserve">Cost-overrun percentage</w:t>
            </w:r>
          </w:p>
        </w:tc>
        <w:tc>
          <w:tcPr>
            <w:tcW w:w="2300" w:type="dxa"/>
          </w:tcPr>
          <w:p>
            <w:pPr>
              <w:pStyle w:val="TableText"/>
              <w:keepLines/>
            </w:pPr>
            <w:r>
              <w:rPr>
                <w:sz w:val="15"/>
                <w:szCs w:val="15"/>
              </w:rPr>
              <w:t xml:space="preserve">Tests how much productive asset is obtained for the original fiscal commitment.</w:t>
            </w:r>
          </w:p>
        </w:tc>
        <w:tc>
          <w:tcPr>
            <w:tcW w:w="2700" w:type="dxa"/>
          </w:tcPr>
          <w:p>
            <w:pPr>
              <w:pStyle w:val="TableText"/>
              <w:keepLines/>
            </w:pPr>
            <w:r>
              <w:rPr>
                <w:sz w:val="15"/>
                <w:szCs w:val="15"/>
              </w:rPr>
              <w:t xml:space="preserve">100 × (anticipated cost − original cost) / original cost for delayed projects.</w:t>
            </w:r>
          </w:p>
        </w:tc>
        <w:tc>
          <w:tcPr>
            <w:tcW w:w="2500" w:type="dxa"/>
          </w:tcPr>
          <w:p>
            <w:pPr>
              <w:pStyle w:val="TableText"/>
              <w:keepLines/>
            </w:pPr>
            <w:r>
              <w:rPr>
                <w:sz w:val="15"/>
                <w:szCs w:val="15"/>
              </w:rPr>
              <w:t xml:space="preserve">Inflation, scope changes and improved specifications can raise anticipated cost; the measure is a warning signal, not a welfare loss estimate.</w:t>
            </w:r>
          </w:p>
        </w:tc>
      </w:tr>
    </w:tbl>
    <w:p>
      <w:pPr>
        <w:spacing w:after="80"/>
      </w:pPr>
      <w:r>
        <w:t xml:space="preserve"/>
      </w:r>
    </w:p>
    <w:p>
      <w:r>
        <w:t xml:space="preserve">At end-March 2023, delayed projects represented 56.7% of the monitored all-sector universe. The interactive sector map pairs delay and cost-overrun shares and sizes each point by monitored-project count.</w:t>
      </w:r>
    </w:p>
    <w:p>
      <w:pPr>
        <w:pStyle w:val="Heading1"/>
        <w:keepNext/>
      </w:pPr>
      <w:r>
        <w:t xml:space="preserve">11. Stage 2E — Crowding-in distributed-lag evidence ladder</w:t>
      </w:r>
    </w:p>
    <w:p>
      <w:pPr>
        <w:keepLines/>
        <w:spacing w:before="120" w:after="160"/>
        <w:ind w:left="180"/>
        <w:pBdr>
          <w:left w:val="single" w:sz="18" w:space="10" w:color="2E7D6B"/>
        </w:pBdr>
        <w:shd w:val="clear" w:color="auto" w:fill="ECFDF5"/>
      </w:pPr>
      <w:r>
        <w:rPr>
          <w:b/>
          <w:color w:val="2E7D6B"/>
        </w:rPr>
        <w:t xml:space="preserve">Question answered  </w:t>
      </w:r>
      <w:r>
        <w:t xml:space="preserve">Do private-investment, capacity and capital-goods outcomes follow central CapEx growth?</w:t>
      </w:r>
    </w:p>
    <w:p>
      <w:r>
        <w:t xml:space="preserve">Four outcomes are aligned at fixed zero- through three-year leads. A coefficient is withheld from inference until eight annual observations are available.</w:t>
      </w:r>
    </w:p>
    <w:p>
      <w:r>
        <w:t xml:space="preserve">The artifact registers 16 outcome-lag cells. Pearson measures linear association and Spearman measures rank association. The direct private-GFCF history has only three aligned observations per current lag, so even visually large coefficients remain labelled insufficient. Capital-goods production adds triangulation but is explicitly not relabelled as private investment.</w:t>
      </w:r>
    </w:p>
    <w:p>
      <w:pPr>
        <w:keepLines/>
        <w:spacing w:before="120" w:after="160"/>
        <w:ind w:left="180"/>
        <w:pBdr>
          <w:left w:val="single" w:sz="18" w:space="10" w:color="A33D4A"/>
        </w:pBdr>
        <w:shd w:val="clear" w:color="auto" w:fill="FFF1F2"/>
      </w:pPr>
      <w:r>
        <w:rPr>
          <w:b/>
          <w:color w:val="A33D4A"/>
        </w:rPr>
        <w:t xml:space="preserve">Inference discipline  </w:t>
      </w:r>
      <w:r>
        <w:t xml:space="preserve">An eight-observation gate is still a minimal associational threshold, not a causal standard. Passing it would allow a coefficient to be discussed as an association; it would not identify an exogenous public-investment shock.</w:t>
      </w:r>
    </w:p>
    <w:p>
      <w:pPr>
        <w:pStyle w:val="Heading1"/>
        <w:keepNext/>
      </w:pPr>
      <w:r>
        <w:t xml:space="preserve">12. Stage 2F — State capital-outlay evaluation</w:t>
      </w:r>
    </w:p>
    <w:p>
      <w:pPr>
        <w:keepLines/>
        <w:spacing w:before="120" w:after="160"/>
        <w:ind w:left="180"/>
        <w:pBdr>
          <w:left w:val="single" w:sz="18" w:space="10" w:color="2E7D6B"/>
        </w:pBdr>
        <w:shd w:val="clear" w:color="auto" w:fill="ECFDF5"/>
      </w:pPr>
      <w:r>
        <w:rPr>
          <w:b/>
          <w:color w:val="2E7D6B"/>
        </w:rPr>
        <w:t xml:space="preserve">Question answered  </w:t>
      </w:r>
      <w:r>
        <w:t xml:space="preserve">Do changes in a state’s capital-outlay intensity precede changes in its real growth?</w:t>
      </w:r>
    </w:p>
    <w:p>
      <w:r>
        <w:t xml:space="preserve">Actual capital outlay is scaled by current-price GSDP and paired with subsequent constant-price GSDP growth. State and fiscal-year fixed effects remove persistent state differences and common annual shocks.</w:t>
      </w:r>
    </w:p>
    <w:tbl>
      <w:tblPr>
        <w:tblStyle w:val="ArchitectureTable"/>
        <w:tblW w:w="0" w:type="auto"/>
        <w:tblLayout w:type="fixed"/>
      </w:tblPr>
      <w:tblGrid>
        <w:gridCol w:w="1500"/>
        <w:gridCol w:w="2300"/>
        <w:gridCol w:w="2700"/>
        <w:gridCol w:w="2500"/>
      </w:tblGrid>
      <w:tr>
        <w:trPr>
          <w:tblHeader/>
          <w:cantSplit/>
        </w:trPr>
        <w:tc>
          <w:tcPr>
            <w:tcW w:w="1500" w:type="dxa"/>
            <w:shd w:val="clear" w:color="auto" w:fill="1F4E78"/>
          </w:tcPr>
          <w:p>
            <w:pPr>
              <w:pStyle w:val="TableText"/>
              <w:keepLines/>
            </w:pPr>
            <w:r>
              <w:rPr>
                <w:b/>
                <w:color w:val="FFFFFF"/>
                <w:sz w:val="15"/>
                <w:szCs w:val="15"/>
              </w:rPr>
              <w:t xml:space="preserve">Metric</w:t>
            </w:r>
          </w:p>
        </w:tc>
        <w:tc>
          <w:tcPr>
            <w:tcW w:w="2300" w:type="dxa"/>
            <w:shd w:val="clear" w:color="auto" w:fill="1F4E78"/>
          </w:tcPr>
          <w:p>
            <w:pPr>
              <w:pStyle w:val="TableText"/>
              <w:keepLines/>
            </w:pPr>
            <w:r>
              <w:rPr>
                <w:b/>
                <w:color w:val="FFFFFF"/>
                <w:sz w:val="15"/>
                <w:szCs w:val="15"/>
              </w:rPr>
              <w:t xml:space="preserve">Economic justification</w:t>
            </w:r>
          </w:p>
        </w:tc>
        <w:tc>
          <w:tcPr>
            <w:tcW w:w="2700" w:type="dxa"/>
            <w:shd w:val="clear" w:color="auto" w:fill="1F4E78"/>
          </w:tcPr>
          <w:p>
            <w:pPr>
              <w:pStyle w:val="TableText"/>
              <w:keepLines/>
            </w:pPr>
            <w:r>
              <w:rPr>
                <w:b/>
                <w:color w:val="FFFFFF"/>
                <w:sz w:val="15"/>
                <w:szCs w:val="15"/>
              </w:rPr>
              <w:t xml:space="preserve">Production and formula</w:t>
            </w:r>
          </w:p>
        </w:tc>
        <w:tc>
          <w:tcPr>
            <w:tcW w:w="2500" w:type="dxa"/>
            <w:shd w:val="clear" w:color="auto" w:fill="1F4E78"/>
          </w:tcPr>
          <w:p>
            <w:pPr>
              <w:pStyle w:val="TableText"/>
              <w:keepLines/>
            </w:pPr>
            <w:r>
              <w:rPr>
                <w:b/>
                <w:color w:val="FFFFFF"/>
                <w:sz w:val="15"/>
                <w:szCs w:val="15"/>
              </w:rPr>
              <w:t xml:space="preserve">Interpretation and limitations</w:t>
            </w:r>
          </w:p>
        </w:tc>
      </w:tr>
      <w:tr>
        <w:trPr>
          <w:cantSplit/>
        </w:trPr>
        <w:tc>
          <w:tcPr>
            <w:tcW w:w="1500" w:type="dxa"/>
          </w:tcPr>
          <w:p>
            <w:pPr>
              <w:pStyle w:val="TableText"/>
              <w:keepLines/>
            </w:pPr>
            <w:r>
              <w:rPr>
                <w:sz w:val="15"/>
                <w:szCs w:val="15"/>
              </w:rPr>
              <w:t xml:space="preserve">State capital outlay/GSDP</w:t>
            </w:r>
          </w:p>
        </w:tc>
        <w:tc>
          <w:tcPr>
            <w:tcW w:w="2300" w:type="dxa"/>
          </w:tcPr>
          <w:p>
            <w:pPr>
              <w:pStyle w:val="TableText"/>
              <w:keepLines/>
            </w:pPr>
            <w:r>
              <w:rPr>
                <w:sz w:val="15"/>
                <w:szCs w:val="15"/>
              </w:rPr>
              <w:t xml:space="preserve">Makes fiscal effort comparable across differently sized states.</w:t>
            </w:r>
          </w:p>
        </w:tc>
        <w:tc>
          <w:tcPr>
            <w:tcW w:w="2700" w:type="dxa"/>
          </w:tcPr>
          <w:p>
            <w:pPr>
              <w:pStyle w:val="TableText"/>
              <w:keepLines/>
            </w:pPr>
            <w:r>
              <w:rPr>
                <w:sz w:val="15"/>
                <w:szCs w:val="15"/>
              </w:rPr>
              <w:t xml:space="preserve">100 × capital outlay in ₹ crore / current-price GSDP converted from ₹ lakh to ₹ crore.</w:t>
            </w:r>
          </w:p>
        </w:tc>
        <w:tc>
          <w:tcPr>
            <w:tcW w:w="2500" w:type="dxa"/>
          </w:tcPr>
          <w:p>
            <w:pPr>
              <w:pStyle w:val="TableText"/>
              <w:keepLines/>
            </w:pPr>
            <w:r>
              <w:rPr>
                <w:sz w:val="15"/>
                <w:szCs w:val="15"/>
              </w:rPr>
              <w:t xml:space="preserve">It measures outlay, not completed-project stock, maintenance, central projects located in the state or asset quality.</w:t>
            </w:r>
          </w:p>
        </w:tc>
      </w:tr>
      <w:tr>
        <w:trPr>
          <w:cantSplit/>
        </w:trPr>
        <w:tc>
          <w:tcPr>
            <w:tcW w:w="1500" w:type="dxa"/>
          </w:tcPr>
          <w:p>
            <w:pPr>
              <w:pStyle w:val="TableText"/>
              <w:keepLines/>
            </w:pPr>
            <w:r>
              <w:rPr>
                <w:sz w:val="15"/>
                <w:szCs w:val="15"/>
              </w:rPr>
              <w:t xml:space="preserve">Next-year real GSDP growth</w:t>
            </w:r>
          </w:p>
        </w:tc>
        <w:tc>
          <w:tcPr>
            <w:tcW w:w="2300" w:type="dxa"/>
          </w:tcPr>
          <w:p>
            <w:pPr>
              <w:pStyle w:val="TableText"/>
              <w:keepLines/>
            </w:pPr>
            <w:r>
              <w:rPr>
                <w:sz w:val="15"/>
                <w:szCs w:val="15"/>
              </w:rPr>
              <w:t xml:space="preserve">Tests a transparent forward timing channel rather than same-year co-movement.</w:t>
            </w:r>
          </w:p>
        </w:tc>
        <w:tc>
          <w:tcPr>
            <w:tcW w:w="2700" w:type="dxa"/>
          </w:tcPr>
          <w:p>
            <w:pPr>
              <w:pStyle w:val="TableText"/>
              <w:keepLines/>
            </w:pPr>
            <w:r>
              <w:rPr>
                <w:sz w:val="15"/>
                <w:szCs w:val="15"/>
              </w:rPr>
              <w:t xml:space="preserve">100 × (constant-price GSDPₜ₊₁ / constant-price GSDPₜ − 1).</w:t>
            </w:r>
          </w:p>
        </w:tc>
        <w:tc>
          <w:tcPr>
            <w:tcW w:w="2500" w:type="dxa"/>
          </w:tcPr>
          <w:p>
            <w:pPr>
              <w:pStyle w:val="TableText"/>
              <w:keepLines/>
            </w:pPr>
            <w:r>
              <w:rPr>
                <w:sz w:val="15"/>
                <w:szCs w:val="15"/>
              </w:rPr>
              <w:t xml:space="preserve">Growth is affected by agriculture, services, disasters, transfers, policy and base effects.</w:t>
            </w:r>
          </w:p>
        </w:tc>
      </w:tr>
      <w:tr>
        <w:trPr>
          <w:cantSplit/>
        </w:trPr>
        <w:tc>
          <w:tcPr>
            <w:tcW w:w="1500" w:type="dxa"/>
          </w:tcPr>
          <w:p>
            <w:pPr>
              <w:pStyle w:val="TableText"/>
              <w:keepLines/>
            </w:pPr>
            <w:r>
              <w:rPr>
                <w:sz w:val="15"/>
                <w:szCs w:val="15"/>
              </w:rPr>
              <w:t xml:space="preserve">Two-way fixed-effects coefficient</w:t>
            </w:r>
          </w:p>
        </w:tc>
        <w:tc>
          <w:tcPr>
            <w:tcW w:w="2300" w:type="dxa"/>
          </w:tcPr>
          <w:p>
            <w:pPr>
              <w:pStyle w:val="TableText"/>
              <w:keepLines/>
            </w:pPr>
            <w:r>
              <w:rPr>
                <w:sz w:val="15"/>
                <w:szCs w:val="15"/>
              </w:rPr>
              <w:t xml:space="preserve">Uses within-state variation while removing common year shocks.</w:t>
            </w:r>
          </w:p>
        </w:tc>
        <w:tc>
          <w:tcPr>
            <w:tcW w:w="2700" w:type="dxa"/>
          </w:tcPr>
          <w:p>
            <w:pPr>
              <w:pStyle w:val="TableText"/>
              <w:keepLines/>
            </w:pPr>
            <w:r>
              <w:rPr>
                <w:sz w:val="15"/>
                <w:szCs w:val="15"/>
              </w:rPr>
              <w:t xml:space="preserve">Both variables are demeaned by state and fiscal year; standard errors are clustered by state.</w:t>
            </w:r>
          </w:p>
        </w:tc>
        <w:tc>
          <w:tcPr>
            <w:tcW w:w="2500" w:type="dxa"/>
          </w:tcPr>
          <w:p>
            <w:pPr>
              <w:pStyle w:val="TableText"/>
              <w:keepLines/>
            </w:pPr>
            <w:r>
              <w:rPr>
                <w:sz w:val="15"/>
                <w:szCs w:val="15"/>
              </w:rPr>
              <w:t xml:space="preserve">Time-varying confounding, project selection and reverse causality remain, so the coefficient is associational.</w:t>
            </w:r>
          </w:p>
        </w:tc>
      </w:tr>
    </w:tbl>
    <w:p>
      <w:pPr>
        <w:spacing w:after="80"/>
      </w:pPr>
      <w:r>
        <w:t xml:space="preserve"/>
      </w:r>
    </w:p>
    <w:p>
      <w:r>
        <w:t xml:space="preserve">The eligible panel contains 344 observations, 29 states and 12 fiscal years. Its coefficient is +0.27 percentage points of next-year real growth per one percentage-point change in capital outlay/GSDP, with a state-clustered 95% interval of 0.12 to 0.43. This is not a causal state multiplier.</w:t>
      </w:r>
    </w:p>
    <w:p>
      <w:pPr>
        <w:pStyle w:val="Heading1"/>
        <w:keepNext/>
      </w:pPr>
      <w:r>
        <w:t xml:space="preserve">13. Stage 3 — Fiscal capacity and debt sustainability</w:t>
      </w:r>
    </w:p>
    <w:p>
      <w:pPr>
        <w:keepLines/>
        <w:spacing w:before="120" w:after="160"/>
        <w:ind w:left="180"/>
        <w:pBdr>
          <w:left w:val="single" w:sz="18" w:space="10" w:color="2E7D6B"/>
        </w:pBdr>
        <w:shd w:val="clear" w:color="auto" w:fill="ECFDF5"/>
      </w:pPr>
      <w:r>
        <w:rPr>
          <w:b/>
          <w:color w:val="2E7D6B"/>
        </w:rPr>
        <w:t xml:space="preserve">Question answered  </w:t>
      </w:r>
      <w:r>
        <w:t xml:space="preserve">Did the CapEx strategy preserve enough fiscal capacity to remain credible and repeatable?</w:t>
      </w:r>
    </w:p>
    <w:p>
      <w:r>
        <w:t xml:space="preserve">A productive investment programme can still become unsustainable if borrowing costs, primary deficits or debt stocks dominate its growth and revenue benefits. The project therefore links transmission evidence back to fiscal constraints.</w:t>
      </w:r>
    </w:p>
    <w:tbl>
      <w:tblPr>
        <w:tblStyle w:val="ArchitectureTable"/>
        <w:tblW w:w="0" w:type="auto"/>
        <w:tblLayout w:type="fixed"/>
      </w:tblPr>
      <w:tblGrid>
        <w:gridCol w:w="1500"/>
        <w:gridCol w:w="2300"/>
        <w:gridCol w:w="2700"/>
        <w:gridCol w:w="2500"/>
      </w:tblGrid>
      <w:tr>
        <w:trPr>
          <w:tblHeader/>
          <w:cantSplit/>
        </w:trPr>
        <w:tc>
          <w:tcPr>
            <w:tcW w:w="1500" w:type="dxa"/>
            <w:shd w:val="clear" w:color="auto" w:fill="1F4E78"/>
          </w:tcPr>
          <w:p>
            <w:pPr>
              <w:pStyle w:val="TableText"/>
              <w:keepLines/>
            </w:pPr>
            <w:r>
              <w:rPr>
                <w:b/>
                <w:color w:val="FFFFFF"/>
                <w:sz w:val="15"/>
                <w:szCs w:val="15"/>
              </w:rPr>
              <w:t xml:space="preserve">Metric</w:t>
            </w:r>
          </w:p>
        </w:tc>
        <w:tc>
          <w:tcPr>
            <w:tcW w:w="2300" w:type="dxa"/>
            <w:shd w:val="clear" w:color="auto" w:fill="1F4E78"/>
          </w:tcPr>
          <w:p>
            <w:pPr>
              <w:pStyle w:val="TableText"/>
              <w:keepLines/>
            </w:pPr>
            <w:r>
              <w:rPr>
                <w:b/>
                <w:color w:val="FFFFFF"/>
                <w:sz w:val="15"/>
                <w:szCs w:val="15"/>
              </w:rPr>
              <w:t xml:space="preserve">Economic justification</w:t>
            </w:r>
          </w:p>
        </w:tc>
        <w:tc>
          <w:tcPr>
            <w:tcW w:w="2700" w:type="dxa"/>
            <w:shd w:val="clear" w:color="auto" w:fill="1F4E78"/>
          </w:tcPr>
          <w:p>
            <w:pPr>
              <w:pStyle w:val="TableText"/>
              <w:keepLines/>
            </w:pPr>
            <w:r>
              <w:rPr>
                <w:b/>
                <w:color w:val="FFFFFF"/>
                <w:sz w:val="15"/>
                <w:szCs w:val="15"/>
              </w:rPr>
              <w:t xml:space="preserve">Production and formula</w:t>
            </w:r>
          </w:p>
        </w:tc>
        <w:tc>
          <w:tcPr>
            <w:tcW w:w="2500" w:type="dxa"/>
            <w:shd w:val="clear" w:color="auto" w:fill="1F4E78"/>
          </w:tcPr>
          <w:p>
            <w:pPr>
              <w:pStyle w:val="TableText"/>
              <w:keepLines/>
            </w:pPr>
            <w:r>
              <w:rPr>
                <w:b/>
                <w:color w:val="FFFFFF"/>
                <w:sz w:val="15"/>
                <w:szCs w:val="15"/>
              </w:rPr>
              <w:t xml:space="preserve">Interpretation and limitations</w:t>
            </w:r>
          </w:p>
        </w:tc>
      </w:tr>
      <w:tr>
        <w:trPr>
          <w:cantSplit/>
        </w:trPr>
        <w:tc>
          <w:tcPr>
            <w:tcW w:w="1500" w:type="dxa"/>
          </w:tcPr>
          <w:p>
            <w:pPr>
              <w:pStyle w:val="TableText"/>
              <w:keepLines/>
            </w:pPr>
            <w:r>
              <w:rPr>
                <w:sz w:val="15"/>
                <w:szCs w:val="15"/>
              </w:rPr>
              <w:t xml:space="preserve">General-government debt / GDP</w:t>
            </w:r>
          </w:p>
        </w:tc>
        <w:tc>
          <w:tcPr>
            <w:tcW w:w="2300" w:type="dxa"/>
          </w:tcPr>
          <w:p>
            <w:pPr>
              <w:pStyle w:val="TableText"/>
              <w:keepLines/>
            </w:pPr>
            <w:r>
              <w:rPr>
                <w:sz w:val="15"/>
                <w:szCs w:val="15"/>
              </w:rPr>
              <w:t xml:space="preserve">Captures the combined stock burden of Centre and states relative to output.</w:t>
            </w:r>
          </w:p>
        </w:tc>
        <w:tc>
          <w:tcPr>
            <w:tcW w:w="2700" w:type="dxa"/>
          </w:tcPr>
          <w:p>
            <w:pPr>
              <w:pStyle w:val="TableText"/>
              <w:keepLines/>
            </w:pPr>
            <w:r>
              <w:rPr>
                <w:sz w:val="15"/>
                <w:szCs w:val="15"/>
              </w:rPr>
              <w:t xml:space="preserve">Published adjusted combined liabilities/GDP from RBI fiscal statistics.</w:t>
            </w:r>
          </w:p>
        </w:tc>
        <w:tc>
          <w:tcPr>
            <w:tcW w:w="2500" w:type="dxa"/>
          </w:tcPr>
          <w:p>
            <w:pPr>
              <w:pStyle w:val="TableText"/>
              <w:keepLines/>
            </w:pPr>
            <w:r>
              <w:rPr>
                <w:sz w:val="15"/>
                <w:szCs w:val="15"/>
              </w:rPr>
              <w:t xml:space="preserve">A stock ratio with broader institutional coverage than the central interest-flow metrics. No universal threshold is encoded.</w:t>
            </w:r>
          </w:p>
        </w:tc>
      </w:tr>
      <w:tr>
        <w:trPr>
          <w:cantSplit/>
        </w:trPr>
        <w:tc>
          <w:tcPr>
            <w:tcW w:w="1500" w:type="dxa"/>
          </w:tcPr>
          <w:p>
            <w:pPr>
              <w:pStyle w:val="TableText"/>
              <w:keepLines/>
            </w:pPr>
            <w:r>
              <w:rPr>
                <w:sz w:val="15"/>
                <w:szCs w:val="15"/>
              </w:rPr>
              <w:t xml:space="preserve">Interest payments / revenue</w:t>
            </w:r>
          </w:p>
        </w:tc>
        <w:tc>
          <w:tcPr>
            <w:tcW w:w="2300" w:type="dxa"/>
          </w:tcPr>
          <w:p>
            <w:pPr>
              <w:pStyle w:val="TableText"/>
              <w:keepLines/>
            </w:pPr>
            <w:r>
              <w:rPr>
                <w:sz w:val="15"/>
                <w:szCs w:val="15"/>
              </w:rPr>
              <w:t xml:space="preserve">Measures how much central revenue is pre-committed to servicing debt.</w:t>
            </w:r>
          </w:p>
        </w:tc>
        <w:tc>
          <w:tcPr>
            <w:tcW w:w="2700" w:type="dxa"/>
          </w:tcPr>
          <w:p>
            <w:pPr>
              <w:pStyle w:val="TableText"/>
              <w:keepLines/>
            </w:pPr>
            <w:r>
              <w:rPr>
                <w:sz w:val="15"/>
                <w:szCs w:val="15"/>
              </w:rPr>
              <w:t xml:space="preserve">100 × interest-payments/GDP ÷ revenue-receipts/GDP; the shared GDP denominator cancels.</w:t>
            </w:r>
          </w:p>
        </w:tc>
        <w:tc>
          <w:tcPr>
            <w:tcW w:w="2500" w:type="dxa"/>
          </w:tcPr>
          <w:p>
            <w:pPr>
              <w:pStyle w:val="TableText"/>
              <w:keepLines/>
            </w:pPr>
            <w:r>
              <w:rPr>
                <w:sz w:val="15"/>
                <w:szCs w:val="15"/>
              </w:rPr>
              <w:t xml:space="preserve">A higher ratio implies less revenue flexibility, but says nothing about maturity or currency risk.</w:t>
            </w:r>
          </w:p>
        </w:tc>
      </w:tr>
      <w:tr>
        <w:trPr>
          <w:cantSplit/>
        </w:trPr>
        <w:tc>
          <w:tcPr>
            <w:tcW w:w="1500" w:type="dxa"/>
          </w:tcPr>
          <w:p>
            <w:pPr>
              <w:pStyle w:val="TableText"/>
              <w:keepLines/>
            </w:pPr>
            <w:r>
              <w:rPr>
                <w:sz w:val="15"/>
                <w:szCs w:val="15"/>
              </w:rPr>
              <w:t xml:space="preserve">Interest payments / expenditure</w:t>
            </w:r>
          </w:p>
        </w:tc>
        <w:tc>
          <w:tcPr>
            <w:tcW w:w="2300" w:type="dxa"/>
          </w:tcPr>
          <w:p>
            <w:pPr>
              <w:pStyle w:val="TableText"/>
              <w:keepLines/>
            </w:pPr>
            <w:r>
              <w:rPr>
                <w:sz w:val="15"/>
                <w:szCs w:val="15"/>
              </w:rPr>
              <w:t xml:space="preserve">Places debt service against the full spending envelope.</w:t>
            </w:r>
          </w:p>
        </w:tc>
        <w:tc>
          <w:tcPr>
            <w:tcW w:w="2700" w:type="dxa"/>
          </w:tcPr>
          <w:p>
            <w:pPr>
              <w:pStyle w:val="TableText"/>
              <w:keepLines/>
            </w:pPr>
            <w:r>
              <w:rPr>
                <w:sz w:val="15"/>
                <w:szCs w:val="15"/>
              </w:rPr>
              <w:t xml:space="preserve">100 × interest-payments/GDP ÷ total-expenditure/GDP.</w:t>
            </w:r>
          </w:p>
        </w:tc>
        <w:tc>
          <w:tcPr>
            <w:tcW w:w="2500" w:type="dxa"/>
          </w:tcPr>
          <w:p>
            <w:pPr>
              <w:pStyle w:val="TableText"/>
              <w:keepLines/>
            </w:pPr>
            <w:r>
              <w:rPr>
                <w:sz w:val="15"/>
                <w:szCs w:val="15"/>
              </w:rPr>
              <w:t xml:space="preserve">Useful for allocation pressure; not a measure of the interest rate on debt.</w:t>
            </w:r>
          </w:p>
        </w:tc>
      </w:tr>
      <w:tr>
        <w:trPr>
          <w:cantSplit/>
        </w:trPr>
        <w:tc>
          <w:tcPr>
            <w:tcW w:w="1500" w:type="dxa"/>
          </w:tcPr>
          <w:p>
            <w:pPr>
              <w:pStyle w:val="TableText"/>
              <w:keepLines/>
            </w:pPr>
            <w:r>
              <w:rPr>
                <w:sz w:val="15"/>
                <w:szCs w:val="15"/>
              </w:rPr>
              <w:t xml:space="preserve">Primary balance / GDP</w:t>
            </w:r>
          </w:p>
        </w:tc>
        <w:tc>
          <w:tcPr>
            <w:tcW w:w="2300" w:type="dxa"/>
          </w:tcPr>
          <w:p>
            <w:pPr>
              <w:pStyle w:val="TableText"/>
              <w:keepLines/>
            </w:pPr>
            <w:r>
              <w:rPr>
                <w:sz w:val="15"/>
                <w:szCs w:val="15"/>
              </w:rPr>
              <w:t xml:space="preserve">Separates current fiscal policy from interest inherited on the debt stock.</w:t>
            </w:r>
          </w:p>
        </w:tc>
        <w:tc>
          <w:tcPr>
            <w:tcW w:w="2700" w:type="dxa"/>
          </w:tcPr>
          <w:p>
            <w:pPr>
              <w:pStyle w:val="TableText"/>
              <w:keepLines/>
            </w:pPr>
            <w:r>
              <w:rPr>
                <w:sz w:val="15"/>
                <w:szCs w:val="15"/>
              </w:rPr>
              <w:t xml:space="preserve">Negative of RBI gross primary deficit/GDP, so deficits are shown below zero.</w:t>
            </w:r>
          </w:p>
        </w:tc>
        <w:tc>
          <w:tcPr>
            <w:tcW w:w="2500" w:type="dxa"/>
          </w:tcPr>
          <w:p>
            <w:pPr>
              <w:pStyle w:val="TableText"/>
              <w:keepLines/>
            </w:pPr>
            <w:r>
              <w:rPr>
                <w:sz w:val="15"/>
                <w:szCs w:val="15"/>
              </w:rPr>
              <w:t xml:space="preserve">A primary deficit is not automatically unsustainable when growth exceeds financing costs.</w:t>
            </w:r>
          </w:p>
        </w:tc>
      </w:tr>
      <w:tr>
        <w:trPr>
          <w:cantSplit/>
        </w:trPr>
        <w:tc>
          <w:tcPr>
            <w:tcW w:w="1500" w:type="dxa"/>
          </w:tcPr>
          <w:p>
            <w:pPr>
              <w:pStyle w:val="TableText"/>
              <w:keepLines/>
            </w:pPr>
            <w:r>
              <w:rPr>
                <w:sz w:val="15"/>
                <w:szCs w:val="15"/>
              </w:rPr>
              <w:t xml:space="preserve">Actual CapEx share of expenditure</w:t>
            </w:r>
          </w:p>
        </w:tc>
        <w:tc>
          <w:tcPr>
            <w:tcW w:w="2300" w:type="dxa"/>
          </w:tcPr>
          <w:p>
            <w:pPr>
              <w:pStyle w:val="TableText"/>
              <w:keepLines/>
            </w:pPr>
            <w:r>
              <w:rPr>
                <w:sz w:val="15"/>
                <w:szCs w:val="15"/>
              </w:rPr>
              <w:t xml:space="preserve">Places productive allocation beside debt-service allocation on a comparable denominator.</w:t>
            </w:r>
          </w:p>
        </w:tc>
        <w:tc>
          <w:tcPr>
            <w:tcW w:w="2700" w:type="dxa"/>
          </w:tcPr>
          <w:p>
            <w:pPr>
              <w:pStyle w:val="TableText"/>
              <w:keepLines/>
            </w:pPr>
            <w:r>
              <w:rPr>
                <w:sz w:val="15"/>
                <w:szCs w:val="15"/>
              </w:rPr>
              <w:t xml:space="preserve">Actual central CapEx / actual central expenditure.</w:t>
            </w:r>
          </w:p>
        </w:tc>
        <w:tc>
          <w:tcPr>
            <w:tcW w:w="2500" w:type="dxa"/>
          </w:tcPr>
          <w:p>
            <w:pPr>
              <w:pStyle w:val="TableText"/>
              <w:keepLines/>
            </w:pPr>
            <w:r>
              <w:rPr>
                <w:sz w:val="15"/>
                <w:szCs w:val="15"/>
              </w:rPr>
              <w:t xml:space="preserve">Central coverage; should not be directly equated with general-government debt coverage.</w:t>
            </w:r>
          </w:p>
        </w:tc>
      </w:tr>
      <w:tr>
        <w:trPr>
          <w:cantSplit/>
        </w:trPr>
        <w:tc>
          <w:tcPr>
            <w:tcW w:w="1500" w:type="dxa"/>
          </w:tcPr>
          <w:p>
            <w:pPr>
              <w:pStyle w:val="TableText"/>
              <w:keepLines/>
            </w:pPr>
            <w:r>
              <w:rPr>
                <w:sz w:val="15"/>
                <w:szCs w:val="15"/>
              </w:rPr>
              <w:t xml:space="preserve">CapEx-to-interest allocation ratio</w:t>
            </w:r>
          </w:p>
        </w:tc>
        <w:tc>
          <w:tcPr>
            <w:tcW w:w="2300" w:type="dxa"/>
          </w:tcPr>
          <w:p>
            <w:pPr>
              <w:pStyle w:val="TableText"/>
              <w:keepLines/>
            </w:pPr>
            <w:r>
              <w:rPr>
                <w:sz w:val="15"/>
                <w:szCs w:val="15"/>
              </w:rPr>
              <w:t xml:space="preserve">Summarises the relative budget shares devoted to capital formation and interest.</w:t>
            </w:r>
          </w:p>
        </w:tc>
        <w:tc>
          <w:tcPr>
            <w:tcW w:w="2700" w:type="dxa"/>
          </w:tcPr>
          <w:p>
            <w:pPr>
              <w:pStyle w:val="TableText"/>
              <w:keepLines/>
            </w:pPr>
            <w:r>
              <w:rPr>
                <w:sz w:val="15"/>
                <w:szCs w:val="15"/>
              </w:rPr>
              <w:t xml:space="preserve">(CapEx/expenditure) ÷ (interest/expenditure).</w:t>
            </w:r>
          </w:p>
        </w:tc>
        <w:tc>
          <w:tcPr>
            <w:tcW w:w="2500" w:type="dxa"/>
          </w:tcPr>
          <w:p>
            <w:pPr>
              <w:pStyle w:val="TableText"/>
              <w:keepLines/>
            </w:pPr>
            <w:r>
              <w:rPr>
                <w:sz w:val="15"/>
                <w:szCs w:val="15"/>
              </w:rPr>
              <w:t xml:space="preserve">₹ of CapEx share per ₹1 represented by interest share. Not a project return, fiscal multiplier or debt threshold.</w:t>
            </w:r>
          </w:p>
        </w:tc>
      </w:tr>
    </w:tbl>
    <w:p>
      <w:pPr>
        <w:spacing w:after="80"/>
      </w:pPr>
      <w:r>
        <w:t xml:space="preserve"/>
      </w:r>
    </w:p>
    <w:p>
      <w:r>
        <w:t xml:space="preserve">The fiscal quadrant uses sample medians only to organise observations into high/low CapEx and high/low interest regions. Dot colour represents debt/GDP. The medians are descriptive reference lines, not policy targets. Sustainability ultimately depends on the interest-growth differential, primary balance, maturity, inflation, contingent liabilities and the quality of the assets created.</w:t>
      </w:r>
    </w:p>
    <w:p>
      <w:pPr>
        <w:pStyle w:val="Heading1"/>
        <w:keepNext/>
      </w:pPr>
      <w:r>
        <w:t xml:space="preserve">14. Deterministic hypothesis summary</w:t>
      </w:r>
    </w:p>
    <w:tbl>
      <w:tblPr>
        <w:tblStyle w:val="ArchitectureTable"/>
        <w:tblW w:w="0" w:type="auto"/>
        <w:tblLayout w:type="fixed"/>
      </w:tblPr>
      <w:tblGrid>
        <w:gridCol w:w="1500"/>
        <w:gridCol w:w="2600"/>
        <w:gridCol w:w="1300"/>
        <w:gridCol w:w="2100"/>
        <w:gridCol w:w="1500"/>
      </w:tblGrid>
      <w:tr>
        <w:trPr>
          <w:tblHeader/>
          <w:cantSplit/>
        </w:trPr>
        <w:tc>
          <w:tcPr>
            <w:tcW w:w="1500" w:type="dxa"/>
            <w:shd w:val="clear" w:color="auto" w:fill="1F4E78"/>
          </w:tcPr>
          <w:p>
            <w:pPr>
              <w:pStyle w:val="TableText"/>
              <w:keepLines/>
            </w:pPr>
            <w:r>
              <w:rPr>
                <w:b/>
                <w:color w:val="FFFFFF"/>
                <w:sz w:val="14"/>
                <w:szCs w:val="14"/>
              </w:rPr>
              <w:t xml:space="preserve">Hypothesis</w:t>
            </w:r>
          </w:p>
        </w:tc>
        <w:tc>
          <w:tcPr>
            <w:tcW w:w="2600" w:type="dxa"/>
            <w:shd w:val="clear" w:color="auto" w:fill="1F4E78"/>
          </w:tcPr>
          <w:p>
            <w:pPr>
              <w:pStyle w:val="TableText"/>
              <w:keepLines/>
            </w:pPr>
            <w:r>
              <w:rPr>
                <w:b/>
                <w:color w:val="FFFFFF"/>
                <w:sz w:val="14"/>
                <w:szCs w:val="14"/>
              </w:rPr>
              <w:t xml:space="preserve">Claim</w:t>
            </w:r>
          </w:p>
        </w:tc>
        <w:tc>
          <w:tcPr>
            <w:tcW w:w="1300" w:type="dxa"/>
            <w:shd w:val="clear" w:color="auto" w:fill="1F4E78"/>
          </w:tcPr>
          <w:p>
            <w:pPr>
              <w:pStyle w:val="TableText"/>
              <w:keepLines/>
            </w:pPr>
            <w:r>
              <w:rPr>
                <w:b/>
                <w:color w:val="FFFFFF"/>
                <w:sz w:val="14"/>
                <w:szCs w:val="14"/>
              </w:rPr>
              <w:t xml:space="preserve">Status</w:t>
            </w:r>
          </w:p>
        </w:tc>
        <w:tc>
          <w:tcPr>
            <w:tcW w:w="2100" w:type="dxa"/>
            <w:shd w:val="clear" w:color="auto" w:fill="1F4E78"/>
          </w:tcPr>
          <w:p>
            <w:pPr>
              <w:pStyle w:val="TableText"/>
              <w:keepLines/>
            </w:pPr>
            <w:r>
              <w:rPr>
                <w:b/>
                <w:color w:val="FFFFFF"/>
                <w:sz w:val="14"/>
                <w:szCs w:val="14"/>
              </w:rPr>
              <w:t xml:space="preserve">Rule interpretation</w:t>
            </w:r>
          </w:p>
        </w:tc>
        <w:tc>
          <w:tcPr>
            <w:tcW w:w="1500" w:type="dxa"/>
            <w:shd w:val="clear" w:color="auto" w:fill="1F4E78"/>
          </w:tcPr>
          <w:p>
            <w:pPr>
              <w:pStyle w:val="TableText"/>
              <w:keepLines/>
            </w:pPr>
            <w:r>
              <w:rPr>
                <w:b/>
                <w:color w:val="FFFFFF"/>
                <w:sz w:val="14"/>
                <w:szCs w:val="14"/>
              </w:rPr>
              <w:t xml:space="preserve">Boundary</w:t>
            </w:r>
          </w:p>
        </w:tc>
      </w:tr>
      <w:tr>
        <w:trPr>
          <w:cantSplit/>
        </w:trPr>
        <w:tc>
          <w:tcPr>
            <w:tcW w:w="1500" w:type="dxa"/>
          </w:tcPr>
          <w:p>
            <w:pPr>
              <w:pStyle w:val="TableText"/>
              <w:keepLines/>
            </w:pPr>
            <w:r>
              <w:rPr>
                <w:sz w:val="14"/>
                <w:szCs w:val="14"/>
              </w:rPr>
              <w:t xml:space="preserve">capex_intensity</w:t>
            </w:r>
          </w:p>
        </w:tc>
        <w:tc>
          <w:tcPr>
            <w:tcW w:w="2600" w:type="dxa"/>
          </w:tcPr>
          <w:p>
            <w:pPr>
              <w:pStyle w:val="TableText"/>
              <w:keepLines/>
            </w:pPr>
            <w:r>
              <w:rPr>
                <w:sz w:val="14"/>
                <w:szCs w:val="14"/>
              </w:rPr>
              <w:t xml:space="preserve">Actual public CapEx increased relative to GDP and expenditure.</w:t>
            </w:r>
          </w:p>
        </w:tc>
        <w:tc>
          <w:tcPr>
            <w:tcW w:w="1300" w:type="dxa"/>
          </w:tcPr>
          <w:p>
            <w:pPr>
              <w:pStyle w:val="TableText"/>
              <w:keepLines/>
            </w:pPr>
            <w:r>
              <w:rPr>
                <w:sz w:val="14"/>
                <w:szCs w:val="14"/>
              </w:rPr>
              <w:t xml:space="preserve">supported</w:t>
            </w:r>
          </w:p>
        </w:tc>
        <w:tc>
          <w:tcPr>
            <w:tcW w:w="2100" w:type="dxa"/>
          </w:tcPr>
          <w:p>
            <w:pPr>
              <w:pStyle w:val="TableText"/>
              <w:keepLines/>
            </w:pPr>
            <w:r>
              <w:rPr>
                <w:sz w:val="14"/>
                <w:szCs w:val="14"/>
              </w:rPr>
              <w:t xml:space="preserve">Available indicators move in the hypothesised direction.</w:t>
            </w:r>
          </w:p>
        </w:tc>
        <w:tc>
          <w:tcPr>
            <w:tcW w:w="1500" w:type="dxa"/>
          </w:tcPr>
          <w:p>
            <w:pPr>
              <w:pStyle w:val="TableText"/>
              <w:keepLines/>
            </w:pPr>
            <w:r>
              <w:rPr>
                <w:sz w:val="14"/>
                <w:szCs w:val="14"/>
              </w:rPr>
              <w:t xml:space="preserve">Descriptive and associational evidence cannot by itself identify the causal effect of public CapEx.</w:t>
            </w:r>
          </w:p>
        </w:tc>
      </w:tr>
      <w:tr>
        <w:trPr>
          <w:cantSplit/>
        </w:trPr>
        <w:tc>
          <w:tcPr>
            <w:tcW w:w="1500" w:type="dxa"/>
          </w:tcPr>
          <w:p>
            <w:pPr>
              <w:pStyle w:val="TableText"/>
              <w:keepLines/>
            </w:pPr>
            <w:r>
              <w:rPr>
                <w:sz w:val="14"/>
                <w:szCs w:val="14"/>
              </w:rPr>
              <w:t xml:space="preserve">sector_transmission</w:t>
            </w:r>
          </w:p>
        </w:tc>
        <w:tc>
          <w:tcPr>
            <w:tcW w:w="2600" w:type="dxa"/>
          </w:tcPr>
          <w:p>
            <w:pPr>
              <w:pStyle w:val="TableText"/>
              <w:keepLines/>
            </w:pPr>
            <w:r>
              <w:rPr>
                <w:sz w:val="14"/>
                <w:szCs w:val="14"/>
              </w:rPr>
              <w:t xml:space="preserve">Higher CapEx growth preceded excess returns in CapEx-sensitive sectors.</w:t>
            </w:r>
          </w:p>
        </w:tc>
        <w:tc>
          <w:tcPr>
            <w:tcW w:w="1300" w:type="dxa"/>
          </w:tcPr>
          <w:p>
            <w:pPr>
              <w:pStyle w:val="TableText"/>
              <w:keepLines/>
            </w:pPr>
            <w:r>
              <w:rPr>
                <w:sz w:val="14"/>
                <w:szCs w:val="14"/>
              </w:rPr>
              <w:t xml:space="preserve">supported</w:t>
            </w:r>
          </w:p>
        </w:tc>
        <w:tc>
          <w:tcPr>
            <w:tcW w:w="2100" w:type="dxa"/>
          </w:tcPr>
          <w:p>
            <w:pPr>
              <w:pStyle w:val="TableText"/>
              <w:keepLines/>
            </w:pPr>
            <w:r>
              <w:rPr>
                <w:sz w:val="14"/>
                <w:szCs w:val="14"/>
              </w:rPr>
              <w:t xml:space="preserve">Available indicators move in the hypothesised direction.</w:t>
            </w:r>
          </w:p>
        </w:tc>
        <w:tc>
          <w:tcPr>
            <w:tcW w:w="1500" w:type="dxa"/>
          </w:tcPr>
          <w:p>
            <w:pPr>
              <w:pStyle w:val="TableText"/>
              <w:keepLines/>
            </w:pPr>
            <w:r>
              <w:rPr>
                <w:sz w:val="14"/>
                <w:szCs w:val="14"/>
              </w:rPr>
              <w:t xml:space="preserve">Descriptive and associational evidence cannot by itself identify the causal effect of public CapEx.</w:t>
            </w:r>
          </w:p>
        </w:tc>
      </w:tr>
      <w:tr>
        <w:trPr>
          <w:cantSplit/>
        </w:trPr>
        <w:tc>
          <w:tcPr>
            <w:tcW w:w="1500" w:type="dxa"/>
          </w:tcPr>
          <w:p>
            <w:pPr>
              <w:pStyle w:val="TableText"/>
              <w:keepLines/>
            </w:pPr>
            <w:r>
              <w:rPr>
                <w:sz w:val="14"/>
                <w:szCs w:val="14"/>
              </w:rPr>
              <w:t xml:space="preserve">real_economy_conversion</w:t>
            </w:r>
          </w:p>
        </w:tc>
        <w:tc>
          <w:tcPr>
            <w:tcW w:w="2600" w:type="dxa"/>
          </w:tcPr>
          <w:p>
            <w:pPr>
              <w:pStyle w:val="TableText"/>
              <w:keepLines/>
            </w:pPr>
            <w:r>
              <w:rPr>
                <w:sz w:val="14"/>
                <w:szCs w:val="14"/>
              </w:rPr>
              <w:t xml:space="preserve">Private investment and capacity increased after the CapEx push.</w:t>
            </w:r>
          </w:p>
        </w:tc>
        <w:tc>
          <w:tcPr>
            <w:tcW w:w="1300" w:type="dxa"/>
          </w:tcPr>
          <w:p>
            <w:pPr>
              <w:pStyle w:val="TableText"/>
              <w:keepLines/>
            </w:pPr>
            <w:r>
              <w:rPr>
                <w:sz w:val="14"/>
                <w:szCs w:val="14"/>
              </w:rPr>
              <w:t xml:space="preserve">inconclusive</w:t>
            </w:r>
          </w:p>
        </w:tc>
        <w:tc>
          <w:tcPr>
            <w:tcW w:w="2100" w:type="dxa"/>
          </w:tcPr>
          <w:p>
            <w:pPr>
              <w:pStyle w:val="TableText"/>
              <w:keepLines/>
            </w:pPr>
            <w:r>
              <w:rPr>
                <w:sz w:val="14"/>
                <w:szCs w:val="14"/>
              </w:rPr>
              <w:t xml:space="preserve">The aligned history is too short for a defensible classification.</w:t>
            </w:r>
          </w:p>
        </w:tc>
        <w:tc>
          <w:tcPr>
            <w:tcW w:w="1500" w:type="dxa"/>
          </w:tcPr>
          <w:p>
            <w:pPr>
              <w:pStyle w:val="TableText"/>
              <w:keepLines/>
            </w:pPr>
            <w:r>
              <w:rPr>
                <w:sz w:val="14"/>
                <w:szCs w:val="14"/>
              </w:rPr>
              <w:t xml:space="preserve">Descriptive and associational evidence cannot by itself identify the causal effect of public CapEx.</w:t>
            </w:r>
          </w:p>
        </w:tc>
      </w:tr>
      <w:tr>
        <w:trPr>
          <w:cantSplit/>
        </w:trPr>
        <w:tc>
          <w:tcPr>
            <w:tcW w:w="1500" w:type="dxa"/>
          </w:tcPr>
          <w:p>
            <w:pPr>
              <w:pStyle w:val="TableText"/>
              <w:keepLines/>
            </w:pPr>
            <w:r>
              <w:rPr>
                <w:sz w:val="14"/>
                <w:szCs w:val="14"/>
              </w:rPr>
              <w:t xml:space="preserve">fiscal_sustainability</w:t>
            </w:r>
          </w:p>
        </w:tc>
        <w:tc>
          <w:tcPr>
            <w:tcW w:w="2600" w:type="dxa"/>
          </w:tcPr>
          <w:p>
            <w:pPr>
              <w:pStyle w:val="TableText"/>
              <w:keepLines/>
            </w:pPr>
            <w:r>
              <w:rPr>
                <w:sz w:val="14"/>
                <w:szCs w:val="14"/>
              </w:rPr>
              <w:t xml:space="preserve">Debt service has not clearly made the strategy unsustainable.</w:t>
            </w:r>
          </w:p>
        </w:tc>
        <w:tc>
          <w:tcPr>
            <w:tcW w:w="1300" w:type="dxa"/>
          </w:tcPr>
          <w:p>
            <w:pPr>
              <w:pStyle w:val="TableText"/>
              <w:keepLines/>
            </w:pPr>
            <w:r>
              <w:rPr>
                <w:sz w:val="14"/>
                <w:szCs w:val="14"/>
              </w:rPr>
              <w:t xml:space="preserve">partially_supported</w:t>
            </w:r>
          </w:p>
        </w:tc>
        <w:tc>
          <w:tcPr>
            <w:tcW w:w="2100" w:type="dxa"/>
          </w:tcPr>
          <w:p>
            <w:pPr>
              <w:pStyle w:val="TableText"/>
              <w:keepLines/>
            </w:pPr>
            <w:r>
              <w:rPr>
                <w:sz w:val="14"/>
                <w:szCs w:val="14"/>
              </w:rPr>
              <w:t xml:space="preserve">Some indicators are consistent with the hypothesis, but the evidence is mixed or incomplete.</w:t>
            </w:r>
          </w:p>
        </w:tc>
        <w:tc>
          <w:tcPr>
            <w:tcW w:w="1500" w:type="dxa"/>
          </w:tcPr>
          <w:p>
            <w:pPr>
              <w:pStyle w:val="TableText"/>
              <w:keepLines/>
            </w:pPr>
            <w:r>
              <w:rPr>
                <w:sz w:val="14"/>
                <w:szCs w:val="14"/>
              </w:rPr>
              <w:t xml:space="preserve">Descriptive and associational evidence cannot by itself identify the causal effect of public CapEx.</w:t>
            </w:r>
          </w:p>
        </w:tc>
      </w:tr>
    </w:tbl>
    <w:p>
      <w:pPr>
        <w:spacing w:after="80"/>
      </w:pPr>
      <w:r>
        <w:t xml:space="preserve"/>
      </w:r>
    </w:p>
    <w:p>
      <w:r>
        <w:t xml:space="preserve">The summary is rule-generated so the displayed verdict does not depend on manually written prose after seeing the result. It remains deliberately conservative. ‘Supported’ means the registered indicators move in the hypothesised direction under the rule; it does not mean a causal effect has been estimated.</w:t>
      </w:r>
    </w:p>
    <w:p>
      <w:pPr>
        <w:pStyle w:val="Heading1"/>
        <w:keepNext/>
      </w:pPr>
      <w:r>
        <w:t xml:space="preserve">15. Stage 4 — Five-year CapEx scenario model</w:t>
      </w:r>
    </w:p>
    <w:p>
      <w:pPr>
        <w:keepLines/>
        <w:spacing w:before="120" w:after="160"/>
        <w:ind w:left="180"/>
        <w:pBdr>
          <w:left w:val="single" w:sz="18" w:space="10" w:color="A33D4A"/>
        </w:pBdr>
        <w:shd w:val="clear" w:color="auto" w:fill="FFF1F2"/>
      </w:pPr>
      <w:r>
        <w:rPr>
          <w:b/>
          <w:color w:val="A33D4A"/>
        </w:rPr>
        <w:t xml:space="preserve">Correct label  </w:t>
      </w:r>
      <w:r>
        <w:t xml:space="preserve">The interface is a conditional risk model. It is not an econometric forecast and does not estimate multiplier parameters from the historical correlations. Its P10/P50/P90 paths are simulated scenario percentiles from registered assumption ranges, not statistical confidence intervals.</w:t>
      </w:r>
    </w:p>
    <w:p>
      <w:pPr>
        <w:pStyle w:val="Heading2"/>
        <w:keepNext/>
      </w:pPr>
      <w:r>
        <w:t xml:space="preserve">Purpose and baseline</w:t>
      </w:r>
    </w:p>
    <w:p>
      <w:r>
        <w:t xml:space="preserve">The model begins from the latest non-budget general-government debt observation: 81.76% of GDP for FY2023-24. The baseline now evolves for five years under the exact debt equation using the selected interest rate, nominal growth and primary balance. The CapEx result is reported relative to that dynamic baseline rather than to an artificial flat debt ratio.</w:t>
      </w:r>
    </w:p>
    <w:p>
      <w:pPr>
        <w:pStyle w:val="Heading2"/>
        <w:keepNext/>
      </w:pPr>
      <w:r>
        <w:t xml:space="preserve">Inputs</w:t>
      </w:r>
    </w:p>
    <w:tbl>
      <w:tblPr>
        <w:tblStyle w:val="ArchitectureTable"/>
        <w:tblW w:w="0" w:type="auto"/>
        <w:tblLayout w:type="fixed"/>
      </w:tblPr>
      <w:tblGrid>
        <w:gridCol w:w="1900"/>
        <w:gridCol w:w="3600"/>
        <w:gridCol w:w="1500"/>
        <w:gridCol w:w="2000"/>
      </w:tblGrid>
      <w:tr>
        <w:trPr>
          <w:tblHeader/>
          <w:cantSplit/>
        </w:trPr>
        <w:tc>
          <w:tcPr>
            <w:tcW w:w="1900" w:type="dxa"/>
            <w:shd w:val="clear" w:color="auto" w:fill="1F4E78"/>
          </w:tcPr>
          <w:p>
            <w:pPr>
              <w:pStyle w:val="TableText"/>
              <w:keepLines/>
            </w:pPr>
            <w:r>
              <w:rPr>
                <w:b/>
                <w:color w:val="FFFFFF"/>
                <w:sz w:val="15"/>
                <w:szCs w:val="15"/>
              </w:rPr>
              <w:t xml:space="preserve">Parameter</w:t>
            </w:r>
          </w:p>
        </w:tc>
        <w:tc>
          <w:tcPr>
            <w:tcW w:w="3600" w:type="dxa"/>
            <w:shd w:val="clear" w:color="auto" w:fill="1F4E78"/>
          </w:tcPr>
          <w:p>
            <w:pPr>
              <w:pStyle w:val="TableText"/>
              <w:keepLines/>
            </w:pPr>
            <w:r>
              <w:rPr>
                <w:b/>
                <w:color w:val="FFFFFF"/>
                <w:sz w:val="15"/>
                <w:szCs w:val="15"/>
              </w:rPr>
              <w:t xml:space="preserve">Meaning</w:t>
            </w:r>
          </w:p>
        </w:tc>
        <w:tc>
          <w:tcPr>
            <w:tcW w:w="1500" w:type="dxa"/>
            <w:shd w:val="clear" w:color="auto" w:fill="1F4E78"/>
          </w:tcPr>
          <w:p>
            <w:pPr>
              <w:pStyle w:val="TableText"/>
              <w:keepLines/>
            </w:pPr>
            <w:r>
              <w:rPr>
                <w:b/>
                <w:color w:val="FFFFFF"/>
                <w:sz w:val="15"/>
                <w:szCs w:val="15"/>
              </w:rPr>
              <w:t xml:space="preserve">Central preset</w:t>
            </w:r>
          </w:p>
        </w:tc>
        <w:tc>
          <w:tcPr>
            <w:tcW w:w="2000" w:type="dxa"/>
            <w:shd w:val="clear" w:color="auto" w:fill="1F4E78"/>
          </w:tcPr>
          <w:p>
            <w:pPr>
              <w:pStyle w:val="TableText"/>
              <w:keepLines/>
            </w:pPr>
            <w:r>
              <w:rPr>
                <w:b/>
                <w:color w:val="FFFFFF"/>
                <w:sz w:val="15"/>
                <w:szCs w:val="15"/>
              </w:rPr>
              <w:t xml:space="preserve">Sensitivity role</w:t>
            </w:r>
          </w:p>
        </w:tc>
      </w:tr>
      <w:tr>
        <w:trPr>
          <w:cantSplit/>
        </w:trPr>
        <w:tc>
          <w:tcPr>
            <w:tcW w:w="1900" w:type="dxa"/>
          </w:tcPr>
          <w:p>
            <w:pPr>
              <w:pStyle w:val="TableText"/>
              <w:keepLines/>
            </w:pPr>
            <w:r>
              <w:rPr>
                <w:sz w:val="15"/>
                <w:szCs w:val="15"/>
              </w:rPr>
              <w:t xml:space="preserve">Additional annual CapEx C</w:t>
            </w:r>
          </w:p>
        </w:tc>
        <w:tc>
          <w:tcPr>
            <w:tcW w:w="3600" w:type="dxa"/>
          </w:tcPr>
          <w:p>
            <w:pPr>
              <w:pStyle w:val="TableText"/>
              <w:keepLines/>
            </w:pPr>
            <w:r>
              <w:rPr>
                <w:sz w:val="15"/>
                <w:szCs w:val="15"/>
              </w:rPr>
              <w:t xml:space="preserve">Extra budgeted CapEx sustained in each of five years, % of GDP.</w:t>
            </w:r>
          </w:p>
        </w:tc>
        <w:tc>
          <w:tcPr>
            <w:tcW w:w="1500" w:type="dxa"/>
          </w:tcPr>
          <w:p>
            <w:pPr>
              <w:pStyle w:val="TableText"/>
              <w:keepLines/>
            </w:pPr>
            <w:r>
              <w:rPr>
                <w:sz w:val="15"/>
                <w:szCs w:val="15"/>
              </w:rPr>
              <w:t xml:space="preserve">0.5%</w:t>
            </w:r>
          </w:p>
        </w:tc>
        <w:tc>
          <w:tcPr>
            <w:tcW w:w="2000" w:type="dxa"/>
          </w:tcPr>
          <w:p>
            <w:pPr>
              <w:pStyle w:val="TableText"/>
              <w:keepLines/>
            </w:pPr>
            <w:r>
              <w:rPr>
                <w:sz w:val="15"/>
                <w:szCs w:val="15"/>
              </w:rPr>
              <w:t xml:space="preserve">Sets programme scale.</w:t>
            </w:r>
          </w:p>
        </w:tc>
      </w:tr>
      <w:tr>
        <w:trPr>
          <w:cantSplit/>
        </w:trPr>
        <w:tc>
          <w:tcPr>
            <w:tcW w:w="1900" w:type="dxa"/>
          </w:tcPr>
          <w:p>
            <w:pPr>
              <w:pStyle w:val="TableText"/>
              <w:keepLines/>
            </w:pPr>
            <w:r>
              <w:rPr>
                <w:sz w:val="15"/>
                <w:szCs w:val="15"/>
              </w:rPr>
              <w:t xml:space="preserve">Execution e</w:t>
            </w:r>
          </w:p>
        </w:tc>
        <w:tc>
          <w:tcPr>
            <w:tcW w:w="3600" w:type="dxa"/>
          </w:tcPr>
          <w:p>
            <w:pPr>
              <w:pStyle w:val="TableText"/>
              <w:keepLines/>
            </w:pPr>
            <w:r>
              <w:rPr>
                <w:sz w:val="15"/>
                <w:szCs w:val="15"/>
              </w:rPr>
              <w:t xml:space="preserve">Share of the additional allocation actually spent.</w:t>
            </w:r>
          </w:p>
        </w:tc>
        <w:tc>
          <w:tcPr>
            <w:tcW w:w="1500" w:type="dxa"/>
          </w:tcPr>
          <w:p>
            <w:pPr>
              <w:pStyle w:val="TableText"/>
              <w:keepLines/>
            </w:pPr>
            <w:r>
              <w:rPr>
                <w:sz w:val="15"/>
                <w:szCs w:val="15"/>
              </w:rPr>
              <w:t xml:space="preserve">90%</w:t>
            </w:r>
          </w:p>
        </w:tc>
        <w:tc>
          <w:tcPr>
            <w:tcW w:w="2000" w:type="dxa"/>
          </w:tcPr>
          <w:p>
            <w:pPr>
              <w:pStyle w:val="TableText"/>
              <w:keepLines/>
            </w:pPr>
            <w:r>
              <w:rPr>
                <w:sz w:val="15"/>
                <w:szCs w:val="15"/>
              </w:rPr>
              <w:t xml:space="preserve">Affects delivery and borrowing.</w:t>
            </w:r>
          </w:p>
        </w:tc>
      </w:tr>
      <w:tr>
        <w:trPr>
          <w:cantSplit/>
        </w:trPr>
        <w:tc>
          <w:tcPr>
            <w:tcW w:w="1900" w:type="dxa"/>
          </w:tcPr>
          <w:p>
            <w:pPr>
              <w:pStyle w:val="TableText"/>
              <w:keepLines/>
            </w:pPr>
            <w:r>
              <w:rPr>
                <w:sz w:val="15"/>
                <w:szCs w:val="15"/>
              </w:rPr>
              <w:t xml:space="preserve">Fiscal multiplier m</w:t>
            </w:r>
          </w:p>
        </w:tc>
        <w:tc>
          <w:tcPr>
            <w:tcW w:w="3600" w:type="dxa"/>
          </w:tcPr>
          <w:p>
            <w:pPr>
              <w:pStyle w:val="TableText"/>
              <w:keepLines/>
            </w:pPr>
            <w:r>
              <w:rPr>
                <w:sz w:val="15"/>
                <w:szCs w:val="15"/>
              </w:rPr>
              <w:t xml:space="preserve">Direct GDP effect per unit of productive investment.</w:t>
            </w:r>
          </w:p>
        </w:tc>
        <w:tc>
          <w:tcPr>
            <w:tcW w:w="1500" w:type="dxa"/>
          </w:tcPr>
          <w:p>
            <w:pPr>
              <w:pStyle w:val="TableText"/>
              <w:keepLines/>
            </w:pPr>
            <w:r>
              <w:rPr>
                <w:sz w:val="15"/>
                <w:szCs w:val="15"/>
              </w:rPr>
              <w:t xml:space="preserve">1.0×</w:t>
            </w:r>
          </w:p>
        </w:tc>
        <w:tc>
          <w:tcPr>
            <w:tcW w:w="2000" w:type="dxa"/>
          </w:tcPr>
          <w:p>
            <w:pPr>
              <w:pStyle w:val="TableText"/>
              <w:keepLines/>
            </w:pPr>
            <w:r>
              <w:rPr>
                <w:sz w:val="15"/>
                <w:szCs w:val="15"/>
              </w:rPr>
              <w:t xml:space="preserve">Principal transmission assumption.</w:t>
            </w:r>
          </w:p>
        </w:tc>
      </w:tr>
      <w:tr>
        <w:trPr>
          <w:cantSplit/>
        </w:trPr>
        <w:tc>
          <w:tcPr>
            <w:tcW w:w="1900" w:type="dxa"/>
          </w:tcPr>
          <w:p>
            <w:pPr>
              <w:pStyle w:val="TableText"/>
              <w:keepLines/>
            </w:pPr>
            <w:r>
              <w:rPr>
                <w:sz w:val="15"/>
                <w:szCs w:val="15"/>
              </w:rPr>
              <w:t xml:space="preserve">Implementation lag L</w:t>
            </w:r>
          </w:p>
        </w:tc>
        <w:tc>
          <w:tcPr>
            <w:tcW w:w="3600" w:type="dxa"/>
          </w:tcPr>
          <w:p>
            <w:pPr>
              <w:pStyle w:val="TableText"/>
              <w:keepLines/>
            </w:pPr>
            <w:r>
              <w:rPr>
                <w:sz w:val="15"/>
                <w:szCs w:val="15"/>
              </w:rPr>
              <w:t xml:space="preserve">Whole years before each year’s GDP effect begins.</w:t>
            </w:r>
          </w:p>
        </w:tc>
        <w:tc>
          <w:tcPr>
            <w:tcW w:w="1500" w:type="dxa"/>
          </w:tcPr>
          <w:p>
            <w:pPr>
              <w:pStyle w:val="TableText"/>
              <w:keepLines/>
            </w:pPr>
            <w:r>
              <w:rPr>
                <w:sz w:val="15"/>
                <w:szCs w:val="15"/>
              </w:rPr>
              <w:t xml:space="preserve">1 year</w:t>
            </w:r>
          </w:p>
        </w:tc>
        <w:tc>
          <w:tcPr>
            <w:tcW w:w="2000" w:type="dxa"/>
          </w:tcPr>
          <w:p>
            <w:pPr>
              <w:pStyle w:val="TableText"/>
              <w:keepLines/>
            </w:pPr>
            <w:r>
              <w:rPr>
                <w:sz w:val="15"/>
                <w:szCs w:val="15"/>
              </w:rPr>
              <w:t xml:space="preserve">Delays growth and revenue feedback.</w:t>
            </w:r>
          </w:p>
        </w:tc>
      </w:tr>
      <w:tr>
        <w:trPr>
          <w:cantSplit/>
        </w:trPr>
        <w:tc>
          <w:tcPr>
            <w:tcW w:w="1900" w:type="dxa"/>
          </w:tcPr>
          <w:p>
            <w:pPr>
              <w:pStyle w:val="TableText"/>
              <w:keepLines/>
            </w:pPr>
            <w:r>
              <w:rPr>
                <w:sz w:val="15"/>
                <w:szCs w:val="15"/>
              </w:rPr>
              <w:t xml:space="preserve">Private response q</w:t>
            </w:r>
          </w:p>
        </w:tc>
        <w:tc>
          <w:tcPr>
            <w:tcW w:w="3600" w:type="dxa"/>
          </w:tcPr>
          <w:p>
            <w:pPr>
              <w:pStyle w:val="TableText"/>
              <w:keepLines/>
            </w:pPr>
            <w:r>
              <w:rPr>
                <w:sz w:val="15"/>
                <w:szCs w:val="15"/>
              </w:rPr>
              <w:t xml:space="preserve">Private investment induced per unit of productive public investment.</w:t>
            </w:r>
          </w:p>
        </w:tc>
        <w:tc>
          <w:tcPr>
            <w:tcW w:w="1500" w:type="dxa"/>
          </w:tcPr>
          <w:p>
            <w:pPr>
              <w:pStyle w:val="TableText"/>
              <w:keepLines/>
            </w:pPr>
            <w:r>
              <w:rPr>
                <w:sz w:val="15"/>
                <w:szCs w:val="15"/>
              </w:rPr>
              <w:t xml:space="preserve">+0.15×</w:t>
            </w:r>
          </w:p>
        </w:tc>
        <w:tc>
          <w:tcPr>
            <w:tcW w:w="2000" w:type="dxa"/>
          </w:tcPr>
          <w:p>
            <w:pPr>
              <w:pStyle w:val="TableText"/>
              <w:keepLines/>
            </w:pPr>
            <w:r>
              <w:rPr>
                <w:sz w:val="15"/>
                <w:szCs w:val="15"/>
              </w:rPr>
              <w:t xml:space="preserve">Positive is crowding in; negative is crowding out.</w:t>
            </w:r>
          </w:p>
        </w:tc>
      </w:tr>
      <w:tr>
        <w:trPr>
          <w:cantSplit/>
        </w:trPr>
        <w:tc>
          <w:tcPr>
            <w:tcW w:w="1900" w:type="dxa"/>
          </w:tcPr>
          <w:p>
            <w:pPr>
              <w:pStyle w:val="TableText"/>
              <w:keepLines/>
            </w:pPr>
            <w:r>
              <w:rPr>
                <w:sz w:val="15"/>
                <w:szCs w:val="15"/>
              </w:rPr>
              <w:t xml:space="preserve">Cost overrun o</w:t>
            </w:r>
          </w:p>
        </w:tc>
        <w:tc>
          <w:tcPr>
            <w:tcW w:w="3600" w:type="dxa"/>
          </w:tcPr>
          <w:p>
            <w:pPr>
              <w:pStyle w:val="TableText"/>
              <w:keepLines/>
            </w:pPr>
            <w:r>
              <w:rPr>
                <w:sz w:val="15"/>
                <w:szCs w:val="15"/>
              </w:rPr>
              <w:t xml:space="preserve">Extra cost that reduces productive output from executed spending.</w:t>
            </w:r>
          </w:p>
        </w:tc>
        <w:tc>
          <w:tcPr>
            <w:tcW w:w="1500" w:type="dxa"/>
          </w:tcPr>
          <w:p>
            <w:pPr>
              <w:pStyle w:val="TableText"/>
              <w:keepLines/>
            </w:pPr>
            <w:r>
              <w:rPr>
                <w:sz w:val="15"/>
                <w:szCs w:val="15"/>
              </w:rPr>
              <w:t xml:space="preserve">10%</w:t>
            </w:r>
          </w:p>
        </w:tc>
        <w:tc>
          <w:tcPr>
            <w:tcW w:w="2000" w:type="dxa"/>
          </w:tcPr>
          <w:p>
            <w:pPr>
              <w:pStyle w:val="TableText"/>
              <w:keepLines/>
            </w:pPr>
            <w:r>
              <w:rPr>
                <w:sz w:val="15"/>
                <w:szCs w:val="15"/>
              </w:rPr>
              <w:t xml:space="preserve">Separates spending from effective capital.</w:t>
            </w:r>
          </w:p>
        </w:tc>
      </w:tr>
      <w:tr>
        <w:trPr>
          <w:cantSplit/>
        </w:trPr>
        <w:tc>
          <w:tcPr>
            <w:tcW w:w="1900" w:type="dxa"/>
          </w:tcPr>
          <w:p>
            <w:pPr>
              <w:pStyle w:val="TableText"/>
              <w:keepLines/>
            </w:pPr>
            <w:r>
              <w:rPr>
                <w:sz w:val="15"/>
                <w:szCs w:val="15"/>
              </w:rPr>
              <w:t xml:space="preserve">Borrowing share f</w:t>
            </w:r>
          </w:p>
        </w:tc>
        <w:tc>
          <w:tcPr>
            <w:tcW w:w="3600" w:type="dxa"/>
          </w:tcPr>
          <w:p>
            <w:pPr>
              <w:pStyle w:val="TableText"/>
              <w:keepLines/>
            </w:pPr>
            <w:r>
              <w:rPr>
                <w:sz w:val="15"/>
                <w:szCs w:val="15"/>
              </w:rPr>
              <w:t xml:space="preserve">Share of executed additional CapEx financed by incremental borrowing.</w:t>
            </w:r>
          </w:p>
        </w:tc>
        <w:tc>
          <w:tcPr>
            <w:tcW w:w="1500" w:type="dxa"/>
          </w:tcPr>
          <w:p>
            <w:pPr>
              <w:pStyle w:val="TableText"/>
              <w:keepLines/>
            </w:pPr>
            <w:r>
              <w:rPr>
                <w:sz w:val="15"/>
                <w:szCs w:val="15"/>
              </w:rPr>
              <w:t xml:space="preserve">75%</w:t>
            </w:r>
          </w:p>
        </w:tc>
        <w:tc>
          <w:tcPr>
            <w:tcW w:w="2000" w:type="dxa"/>
          </w:tcPr>
          <w:p>
            <w:pPr>
              <w:pStyle w:val="TableText"/>
              <w:keepLines/>
            </w:pPr>
            <w:r>
              <w:rPr>
                <w:sz w:val="15"/>
                <w:szCs w:val="15"/>
              </w:rPr>
              <w:t xml:space="preserve">Determines the direct debt addition.</w:t>
            </w:r>
          </w:p>
        </w:tc>
      </w:tr>
      <w:tr>
        <w:trPr>
          <w:cantSplit/>
        </w:trPr>
        <w:tc>
          <w:tcPr>
            <w:tcW w:w="1900" w:type="dxa"/>
          </w:tcPr>
          <w:p>
            <w:pPr>
              <w:pStyle w:val="TableText"/>
              <w:keepLines/>
            </w:pPr>
            <w:r>
              <w:rPr>
                <w:sz w:val="15"/>
                <w:szCs w:val="15"/>
              </w:rPr>
              <w:t xml:space="preserve">Interest rate i</w:t>
            </w:r>
          </w:p>
        </w:tc>
        <w:tc>
          <w:tcPr>
            <w:tcW w:w="3600" w:type="dxa"/>
          </w:tcPr>
          <w:p>
            <w:pPr>
              <w:pStyle w:val="TableText"/>
              <w:keepLines/>
            </w:pPr>
            <w:r>
              <w:rPr>
                <w:sz w:val="15"/>
                <w:szCs w:val="15"/>
              </w:rPr>
              <w:t xml:space="preserve">Effective nominal financing rate on incremental debt.</w:t>
            </w:r>
          </w:p>
        </w:tc>
        <w:tc>
          <w:tcPr>
            <w:tcW w:w="1500" w:type="dxa"/>
          </w:tcPr>
          <w:p>
            <w:pPr>
              <w:pStyle w:val="TableText"/>
              <w:keepLines/>
            </w:pPr>
            <w:r>
              <w:rPr>
                <w:sz w:val="15"/>
                <w:szCs w:val="15"/>
              </w:rPr>
              <w:t xml:space="preserve">7%</w:t>
            </w:r>
          </w:p>
        </w:tc>
        <w:tc>
          <w:tcPr>
            <w:tcW w:w="2000" w:type="dxa"/>
          </w:tcPr>
          <w:p>
            <w:pPr>
              <w:pStyle w:val="TableText"/>
              <w:keepLines/>
            </w:pPr>
            <w:r>
              <w:rPr>
                <w:sz w:val="15"/>
                <w:szCs w:val="15"/>
              </w:rPr>
              <w:t xml:space="preserve">Rolls the debt stock forward.</w:t>
            </w:r>
          </w:p>
        </w:tc>
      </w:tr>
      <w:tr>
        <w:trPr>
          <w:cantSplit/>
        </w:trPr>
        <w:tc>
          <w:tcPr>
            <w:tcW w:w="1900" w:type="dxa"/>
          </w:tcPr>
          <w:p>
            <w:pPr>
              <w:pStyle w:val="TableText"/>
              <w:keepLines/>
            </w:pPr>
            <w:r>
              <w:rPr>
                <w:sz w:val="15"/>
                <w:szCs w:val="15"/>
              </w:rPr>
              <w:t xml:space="preserve">Nominal growth g</w:t>
            </w:r>
          </w:p>
        </w:tc>
        <w:tc>
          <w:tcPr>
            <w:tcW w:w="3600" w:type="dxa"/>
          </w:tcPr>
          <w:p>
            <w:pPr>
              <w:pStyle w:val="TableText"/>
              <w:keepLines/>
            </w:pPr>
            <w:r>
              <w:rPr>
                <w:sz w:val="15"/>
                <w:szCs w:val="15"/>
              </w:rPr>
              <w:t xml:space="preserve">Baseline nominal GDP growth.</w:t>
            </w:r>
          </w:p>
        </w:tc>
        <w:tc>
          <w:tcPr>
            <w:tcW w:w="1500" w:type="dxa"/>
          </w:tcPr>
          <w:p>
            <w:pPr>
              <w:pStyle w:val="TableText"/>
              <w:keepLines/>
            </w:pPr>
            <w:r>
              <w:rPr>
                <w:sz w:val="15"/>
                <w:szCs w:val="15"/>
              </w:rPr>
              <w:t xml:space="preserve">10%</w:t>
            </w:r>
          </w:p>
        </w:tc>
        <w:tc>
          <w:tcPr>
            <w:tcW w:w="2000" w:type="dxa"/>
          </w:tcPr>
          <w:p>
            <w:pPr>
              <w:pStyle w:val="TableText"/>
              <w:keepLines/>
            </w:pPr>
            <w:r>
              <w:rPr>
                <w:sz w:val="15"/>
                <w:szCs w:val="15"/>
              </w:rPr>
              <w:t xml:space="preserve">Dilutes inherited incremental debt.</w:t>
            </w:r>
          </w:p>
        </w:tc>
      </w:tr>
      <w:tr>
        <w:trPr>
          <w:cantSplit/>
        </w:trPr>
        <w:tc>
          <w:tcPr>
            <w:tcW w:w="1900" w:type="dxa"/>
          </w:tcPr>
          <w:p>
            <w:pPr>
              <w:pStyle w:val="TableText"/>
              <w:keepLines/>
            </w:pPr>
            <w:r>
              <w:rPr>
                <w:sz w:val="15"/>
                <w:szCs w:val="15"/>
              </w:rPr>
              <w:t xml:space="preserve">Primary balance pb</w:t>
            </w:r>
          </w:p>
        </w:tc>
        <w:tc>
          <w:tcPr>
            <w:tcW w:w="3600" w:type="dxa"/>
          </w:tcPr>
          <w:p>
            <w:pPr>
              <w:pStyle w:val="TableText"/>
              <w:keepLines/>
            </w:pPr>
            <w:r>
              <w:rPr>
                <w:sz w:val="15"/>
                <w:szCs w:val="15"/>
              </w:rPr>
              <w:t xml:space="preserve">Baseline revenue less non-interest expenditure; deficits are negative.</w:t>
            </w:r>
          </w:p>
        </w:tc>
        <w:tc>
          <w:tcPr>
            <w:tcW w:w="1500" w:type="dxa"/>
          </w:tcPr>
          <w:p>
            <w:pPr>
              <w:pStyle w:val="TableText"/>
              <w:keepLines/>
            </w:pPr>
            <w:r>
              <w:rPr>
                <w:sz w:val="15"/>
                <w:szCs w:val="15"/>
              </w:rPr>
              <w:t xml:space="preserve">−2% of GDP</w:t>
            </w:r>
          </w:p>
        </w:tc>
        <w:tc>
          <w:tcPr>
            <w:tcW w:w="2000" w:type="dxa"/>
          </w:tcPr>
          <w:p>
            <w:pPr>
              <w:pStyle w:val="TableText"/>
              <w:keepLines/>
            </w:pPr>
            <w:r>
              <w:rPr>
                <w:sz w:val="15"/>
                <w:szCs w:val="15"/>
              </w:rPr>
              <w:t xml:space="preserve">Moves the entire baseline debt path.</w:t>
            </w:r>
          </w:p>
        </w:tc>
      </w:tr>
      <w:tr>
        <w:trPr>
          <w:cantSplit/>
        </w:trPr>
        <w:tc>
          <w:tcPr>
            <w:tcW w:w="1900" w:type="dxa"/>
          </w:tcPr>
          <w:p>
            <w:pPr>
              <w:pStyle w:val="TableText"/>
              <w:keepLines/>
            </w:pPr>
            <w:r>
              <w:rPr>
                <w:sz w:val="15"/>
                <w:szCs w:val="15"/>
              </w:rPr>
              <w:t xml:space="preserve">Revenue feedback τ</w:t>
            </w:r>
          </w:p>
        </w:tc>
        <w:tc>
          <w:tcPr>
            <w:tcW w:w="3600" w:type="dxa"/>
          </w:tcPr>
          <w:p>
            <w:pPr>
              <w:pStyle w:val="TableText"/>
              <w:keepLines/>
            </w:pPr>
            <w:r>
              <w:rPr>
                <w:sz w:val="15"/>
                <w:szCs w:val="15"/>
              </w:rPr>
              <w:t xml:space="preserve">Share of modelled additional GDP returned as government revenue.</w:t>
            </w:r>
          </w:p>
        </w:tc>
        <w:tc>
          <w:tcPr>
            <w:tcW w:w="1500" w:type="dxa"/>
          </w:tcPr>
          <w:p>
            <w:pPr>
              <w:pStyle w:val="TableText"/>
              <w:keepLines/>
            </w:pPr>
            <w:r>
              <w:rPr>
                <w:sz w:val="15"/>
                <w:szCs w:val="15"/>
              </w:rPr>
              <w:t xml:space="preserve">15%</w:t>
            </w:r>
          </w:p>
        </w:tc>
        <w:tc>
          <w:tcPr>
            <w:tcW w:w="2000" w:type="dxa"/>
          </w:tcPr>
          <w:p>
            <w:pPr>
              <w:pStyle w:val="TableText"/>
              <w:keepLines/>
            </w:pPr>
            <w:r>
              <w:rPr>
                <w:sz w:val="15"/>
                <w:szCs w:val="15"/>
              </w:rPr>
              <w:t xml:space="preserve">Offsets part of incremental borrowing.</w:t>
            </w:r>
          </w:p>
        </w:tc>
      </w:tr>
      <w:tr>
        <w:trPr>
          <w:cantSplit/>
        </w:trPr>
        <w:tc>
          <w:tcPr>
            <w:tcW w:w="1900" w:type="dxa"/>
          </w:tcPr>
          <w:p>
            <w:pPr>
              <w:pStyle w:val="TableText"/>
              <w:keepLines/>
            </w:pPr>
            <w:r>
              <w:rPr>
                <w:sz w:val="15"/>
                <w:szCs w:val="15"/>
              </w:rPr>
              <w:t xml:space="preserve">Uncertainty scale u</w:t>
            </w:r>
          </w:p>
        </w:tc>
        <w:tc>
          <w:tcPr>
            <w:tcW w:w="3600" w:type="dxa"/>
          </w:tcPr>
          <w:p>
            <w:pPr>
              <w:pStyle w:val="TableText"/>
              <w:keepLines/>
            </w:pPr>
            <w:r>
              <w:rPr>
                <w:sz w:val="15"/>
                <w:szCs w:val="15"/>
              </w:rPr>
              <w:t xml:space="preserve">Scales registered ranges around ten economic assumptions.</w:t>
            </w:r>
          </w:p>
        </w:tc>
        <w:tc>
          <w:tcPr>
            <w:tcW w:w="1500" w:type="dxa"/>
          </w:tcPr>
          <w:p>
            <w:pPr>
              <w:pStyle w:val="TableText"/>
              <w:keepLines/>
            </w:pPr>
            <w:r>
              <w:rPr>
                <w:sz w:val="15"/>
                <w:szCs w:val="15"/>
              </w:rPr>
              <w:t xml:space="preserve">100%</w:t>
            </w:r>
          </w:p>
        </w:tc>
        <w:tc>
          <w:tcPr>
            <w:tcW w:w="2000" w:type="dxa"/>
          </w:tcPr>
          <w:p>
            <w:pPr>
              <w:pStyle w:val="TableText"/>
              <w:keepLines/>
            </w:pPr>
            <w:r>
              <w:rPr>
                <w:sz w:val="15"/>
                <w:szCs w:val="15"/>
              </w:rPr>
              <w:t xml:space="preserve">Controls scenario dispersion; zero collapses to the deterministic path.</w:t>
            </w:r>
          </w:p>
        </w:tc>
      </w:tr>
    </w:tbl>
    <w:p>
      <w:pPr>
        <w:spacing w:after="80"/>
      </w:pPr>
      <w:r>
        <w:t xml:space="preserve"/>
      </w:r>
    </w:p>
    <w:p>
      <w:pPr>
        <w:pStyle w:val="Heading2"/>
        <w:keepNext/>
      </w:pPr>
      <w:r>
        <w:t xml:space="preserve">Equations</w:t>
      </w:r>
    </w:p>
    <w:p>
      <w:pPr>
        <w:pStyle w:val="Code"/>
        <w:keepLines/>
      </w:pPr>
      <w:r>
        <w:t xml:space="preserve">Executed CapEx:                 E = C × e</w:t>
      </w:r>
    </w:p>
    <w:p>
      <w:pPr>
        <w:pStyle w:val="Code"/>
        <w:keepLines/>
      </w:pPr>
      <w:r>
        <w:t xml:space="preserve">Productive investment:          P = E / (1 + o)</w:t>
      </w:r>
    </w:p>
    <w:p>
      <w:pPr>
        <w:pStyle w:val="Code"/>
        <w:keepLines/>
      </w:pPr>
      <w:r>
        <w:t xml:space="preserve">Annual GDP effect after lag:    B = P × (m + q)</w:t>
      </w:r>
    </w:p>
    <w:p>
      <w:pPr>
        <w:pStyle w:val="Code"/>
        <w:keepLines/>
      </w:pPr>
      <w:r>
        <w:t xml:space="preserve">Revenue feedback in year t:     Rₜ = τ × Bₜ</w:t>
      </w:r>
    </w:p>
    <w:p>
      <w:pPr>
        <w:pStyle w:val="Code"/>
        <w:keepLines/>
      </w:pPr>
      <w:r>
        <w:t xml:space="preserve">Dynamic baseline debt:          dᵇₜ = dᵇₜ₋₁ × (1+i)/(1+g) − pb</w:t>
      </w:r>
    </w:p>
    <w:p>
      <w:pPr>
        <w:pStyle w:val="Code"/>
        <w:keepLines/>
      </w:pPr>
      <w:r>
        <w:t xml:space="preserve">Incremental debt ratio:         Dₜ = Dₜ₋₁ × (1+i)/(1+g) + E×f − Rₜ</w:t>
      </w:r>
    </w:p>
    <w:p>
      <w:pPr>
        <w:pStyle w:val="Code"/>
        <w:keepLines/>
      </w:pPr>
      <w:r>
        <w:t xml:space="preserve">Cumulative GDP effect:          Gₜ = Σ Bₛ through year t</w:t>
      </w:r>
    </w:p>
    <w:p>
      <w:pPr>
        <w:pStyle w:val="Code"/>
        <w:keepLines/>
      </w:pPr>
      <w:r>
        <w:t xml:space="preserve">Scenario debt/GDP:              dₜ = (dᵇₜ + Dₜ) / (1 + Gₜ/100)</w:t>
      </w:r>
    </w:p>
    <w:p>
      <w:pPr>
        <w:pStyle w:val="Code"/>
        <w:keepLines/>
      </w:pPr>
      <w:r>
        <w:t xml:space="preserve">Five-year GDP per ₹1 CapEx:     G₅ / (5C)</w:t>
      </w:r>
    </w:p>
    <w:p>
      <w:r>
        <w:t xml:space="preserve">All fiscal quantities are expressed as percentage points of GDP. Cost overruns reduce the productive capital obtained from executed spending. Borrowing is applied to executed—not merely announced—CapEx. The model then rolls incremental debt by the nominal interest-growth factor, subtracts revenue feedback and allows the cumulative GDP effect to expand the denominator.</w:t>
      </w:r>
    </w:p>
    <w:p>
      <w:pPr>
        <w:pStyle w:val="Heading2"/>
        <w:keepNext/>
      </w:pPr>
      <w:r>
        <w:t xml:space="preserve">Central-preset worked example</w:t>
      </w:r>
    </w:p>
    <w:tbl>
      <w:tblPr>
        <w:tblStyle w:val="ArchitectureTable"/>
        <w:tblW w:w="0" w:type="auto"/>
        <w:tblLayout w:type="fixed"/>
      </w:tblPr>
      <w:tblGrid>
        <w:gridCol w:w="2300"/>
        <w:gridCol w:w="2200"/>
        <w:gridCol w:w="4500"/>
      </w:tblGrid>
      <w:tr>
        <w:trPr>
          <w:tblHeader/>
          <w:cantSplit/>
        </w:trPr>
        <w:tc>
          <w:tcPr>
            <w:tcW w:w="2300" w:type="dxa"/>
            <w:shd w:val="clear" w:color="auto" w:fill="1F4E78"/>
          </w:tcPr>
          <w:p>
            <w:pPr>
              <w:pStyle w:val="TableText"/>
              <w:keepLines/>
            </w:pPr>
            <w:r>
              <w:rPr>
                <w:b/>
                <w:color w:val="FFFFFF"/>
                <w:sz w:val="18"/>
                <w:szCs w:val="18"/>
              </w:rPr>
              <w:t xml:space="preserve">Output</w:t>
            </w:r>
          </w:p>
        </w:tc>
        <w:tc>
          <w:tcPr>
            <w:tcW w:w="2200" w:type="dxa"/>
            <w:shd w:val="clear" w:color="auto" w:fill="1F4E78"/>
          </w:tcPr>
          <w:p>
            <w:pPr>
              <w:pStyle w:val="TableText"/>
              <w:keepLines/>
            </w:pPr>
            <w:r>
              <w:rPr>
                <w:b/>
                <w:color w:val="FFFFFF"/>
                <w:sz w:val="18"/>
                <w:szCs w:val="18"/>
              </w:rPr>
              <w:t xml:space="preserve">Central-preset result</w:t>
            </w:r>
          </w:p>
        </w:tc>
        <w:tc>
          <w:tcPr>
            <w:tcW w:w="4500" w:type="dxa"/>
            <w:shd w:val="clear" w:color="auto" w:fill="1F4E78"/>
          </w:tcPr>
          <w:p>
            <w:pPr>
              <w:pStyle w:val="TableText"/>
              <w:keepLines/>
            </w:pPr>
            <w:r>
              <w:rPr>
                <w:b/>
                <w:color w:val="FFFFFF"/>
                <w:sz w:val="18"/>
                <w:szCs w:val="18"/>
              </w:rPr>
              <w:t xml:space="preserve">How to read it</w:t>
            </w:r>
          </w:p>
        </w:tc>
      </w:tr>
      <w:tr>
        <w:trPr>
          <w:cantSplit/>
        </w:trPr>
        <w:tc>
          <w:tcPr>
            <w:tcW w:w="2300" w:type="dxa"/>
          </w:tcPr>
          <w:p>
            <w:pPr>
              <w:pStyle w:val="TableText"/>
              <w:keepLines/>
            </w:pPr>
            <w:r>
              <w:rPr>
                <w:sz w:val="18"/>
                <w:szCs w:val="18"/>
              </w:rPr>
              <w:t xml:space="preserve">Executed additional CapEx</w:t>
            </w:r>
          </w:p>
        </w:tc>
        <w:tc>
          <w:tcPr>
            <w:tcW w:w="2200" w:type="dxa"/>
          </w:tcPr>
          <w:p>
            <w:pPr>
              <w:pStyle w:val="TableText"/>
              <w:keepLines/>
            </w:pPr>
            <w:r>
              <w:rPr>
                <w:sz w:val="18"/>
                <w:szCs w:val="18"/>
              </w:rPr>
              <w:t xml:space="preserve">0.45% of GDP per year</w:t>
            </w:r>
          </w:p>
        </w:tc>
        <w:tc>
          <w:tcPr>
            <w:tcW w:w="4500" w:type="dxa"/>
          </w:tcPr>
          <w:p>
            <w:pPr>
              <w:pStyle w:val="TableText"/>
              <w:keepLines/>
            </w:pPr>
            <w:r>
              <w:rPr>
                <w:sz w:val="18"/>
                <w:szCs w:val="18"/>
              </w:rPr>
              <w:t xml:space="preserve">0.5% allocation × 90% execution.</w:t>
            </w:r>
          </w:p>
        </w:tc>
      </w:tr>
      <w:tr>
        <w:trPr>
          <w:cantSplit/>
        </w:trPr>
        <w:tc>
          <w:tcPr>
            <w:tcW w:w="2300" w:type="dxa"/>
          </w:tcPr>
          <w:p>
            <w:pPr>
              <w:pStyle w:val="TableText"/>
              <w:keepLines/>
            </w:pPr>
            <w:r>
              <w:rPr>
                <w:sz w:val="18"/>
                <w:szCs w:val="18"/>
              </w:rPr>
              <w:t xml:space="preserve">Productive investment</w:t>
            </w:r>
          </w:p>
        </w:tc>
        <w:tc>
          <w:tcPr>
            <w:tcW w:w="2200" w:type="dxa"/>
          </w:tcPr>
          <w:p>
            <w:pPr>
              <w:pStyle w:val="TableText"/>
              <w:keepLines/>
            </w:pPr>
            <w:r>
              <w:rPr>
                <w:sz w:val="18"/>
                <w:szCs w:val="18"/>
              </w:rPr>
              <w:t xml:space="preserve">0.41% of GDP per year</w:t>
            </w:r>
          </w:p>
        </w:tc>
        <w:tc>
          <w:tcPr>
            <w:tcW w:w="4500" w:type="dxa"/>
          </w:tcPr>
          <w:p>
            <w:pPr>
              <w:pStyle w:val="TableText"/>
              <w:keepLines/>
            </w:pPr>
            <w:r>
              <w:rPr>
                <w:sz w:val="18"/>
                <w:szCs w:val="18"/>
              </w:rPr>
              <w:t xml:space="preserve">Executed spending discounted for a 10% overrun.</w:t>
            </w:r>
          </w:p>
        </w:tc>
      </w:tr>
      <w:tr>
        <w:trPr>
          <w:cantSplit/>
        </w:trPr>
        <w:tc>
          <w:tcPr>
            <w:tcW w:w="2300" w:type="dxa"/>
          </w:tcPr>
          <w:p>
            <w:pPr>
              <w:pStyle w:val="TableText"/>
              <w:keepLines/>
            </w:pPr>
            <w:r>
              <w:rPr>
                <w:sz w:val="18"/>
                <w:szCs w:val="18"/>
              </w:rPr>
              <w:t xml:space="preserve">Annual GDP effect after lag</w:t>
            </w:r>
          </w:p>
        </w:tc>
        <w:tc>
          <w:tcPr>
            <w:tcW w:w="2200" w:type="dxa"/>
          </w:tcPr>
          <w:p>
            <w:pPr>
              <w:pStyle w:val="TableText"/>
              <w:keepLines/>
            </w:pPr>
            <w:r>
              <w:rPr>
                <w:sz w:val="18"/>
                <w:szCs w:val="18"/>
              </w:rPr>
              <w:t xml:space="preserve">0.47% of GDP</w:t>
            </w:r>
          </w:p>
        </w:tc>
        <w:tc>
          <w:tcPr>
            <w:tcW w:w="4500" w:type="dxa"/>
          </w:tcPr>
          <w:p>
            <w:pPr>
              <w:pStyle w:val="TableText"/>
              <w:keepLines/>
            </w:pPr>
            <w:r>
              <w:rPr>
                <w:sz w:val="18"/>
                <w:szCs w:val="18"/>
              </w:rPr>
              <w:t xml:space="preserve">Direct multiplier plus crowd-in effect.</w:t>
            </w:r>
          </w:p>
        </w:tc>
      </w:tr>
      <w:tr>
        <w:trPr>
          <w:cantSplit/>
        </w:trPr>
        <w:tc>
          <w:tcPr>
            <w:tcW w:w="2300" w:type="dxa"/>
          </w:tcPr>
          <w:p>
            <w:pPr>
              <w:pStyle w:val="TableText"/>
              <w:keepLines/>
            </w:pPr>
            <w:r>
              <w:rPr>
                <w:sz w:val="18"/>
                <w:szCs w:val="18"/>
              </w:rPr>
              <w:t xml:space="preserve">Five-year cumulative GDP effect</w:t>
            </w:r>
          </w:p>
        </w:tc>
        <w:tc>
          <w:tcPr>
            <w:tcW w:w="2200" w:type="dxa"/>
          </w:tcPr>
          <w:p>
            <w:pPr>
              <w:pStyle w:val="TableText"/>
              <w:keepLines/>
            </w:pPr>
            <w:r>
              <w:rPr>
                <w:sz w:val="18"/>
                <w:szCs w:val="18"/>
              </w:rPr>
              <w:t xml:space="preserve">1.88%</w:t>
            </w:r>
          </w:p>
        </w:tc>
        <w:tc>
          <w:tcPr>
            <w:tcW w:w="4500" w:type="dxa"/>
          </w:tcPr>
          <w:p>
            <w:pPr>
              <w:pStyle w:val="TableText"/>
              <w:keepLines/>
            </w:pPr>
            <w:r>
              <w:rPr>
                <w:sz w:val="18"/>
                <w:szCs w:val="18"/>
              </w:rPr>
              <w:t xml:space="preserve">Sum of annual effects realised within the horizon.</w:t>
            </w:r>
          </w:p>
        </w:tc>
      </w:tr>
      <w:tr>
        <w:trPr>
          <w:cantSplit/>
        </w:trPr>
        <w:tc>
          <w:tcPr>
            <w:tcW w:w="2300" w:type="dxa"/>
          </w:tcPr>
          <w:p>
            <w:pPr>
              <w:pStyle w:val="TableText"/>
              <w:keepLines/>
            </w:pPr>
            <w:r>
              <w:rPr>
                <w:sz w:val="18"/>
                <w:szCs w:val="18"/>
              </w:rPr>
              <w:t xml:space="preserve">GDP per ₹1 announced CapEx</w:t>
            </w:r>
          </w:p>
        </w:tc>
        <w:tc>
          <w:tcPr>
            <w:tcW w:w="2200" w:type="dxa"/>
          </w:tcPr>
          <w:p>
            <w:pPr>
              <w:pStyle w:val="TableText"/>
              <w:keepLines/>
            </w:pPr>
            <w:r>
              <w:rPr>
                <w:sz w:val="18"/>
                <w:szCs w:val="18"/>
              </w:rPr>
              <w:t xml:space="preserve">₹0.75</w:t>
            </w:r>
          </w:p>
        </w:tc>
        <w:tc>
          <w:tcPr>
            <w:tcW w:w="4500" w:type="dxa"/>
          </w:tcPr>
          <w:p>
            <w:pPr>
              <w:pStyle w:val="TableText"/>
              <w:keepLines/>
            </w:pPr>
            <w:r>
              <w:rPr>
                <w:sz w:val="18"/>
                <w:szCs w:val="18"/>
              </w:rPr>
              <w:t xml:space="preserve">Modelled cumulative GDP within five years divided by five annual allocations.</w:t>
            </w:r>
          </w:p>
        </w:tc>
      </w:tr>
      <w:tr>
        <w:trPr>
          <w:cantSplit/>
        </w:trPr>
        <w:tc>
          <w:tcPr>
            <w:tcW w:w="2300" w:type="dxa"/>
          </w:tcPr>
          <w:p>
            <w:pPr>
              <w:pStyle w:val="TableText"/>
              <w:keepLines/>
            </w:pPr>
            <w:r>
              <w:rPr>
                <w:sz w:val="18"/>
                <w:szCs w:val="18"/>
              </w:rPr>
              <w:t xml:space="preserve">Year-five debt-ratio change</w:t>
            </w:r>
          </w:p>
        </w:tc>
        <w:tc>
          <w:tcPr>
            <w:tcW w:w="2200" w:type="dxa"/>
          </w:tcPr>
          <w:p>
            <w:pPr>
              <w:pStyle w:val="TableText"/>
              <w:keepLines/>
            </w:pPr>
            <w:r>
              <w:rPr>
                <w:sz w:val="18"/>
                <w:szCs w:val="18"/>
              </w:rPr>
              <w:t xml:space="preserve">-0.19 percentage points</w:t>
            </w:r>
          </w:p>
        </w:tc>
        <w:tc>
          <w:tcPr>
            <w:tcW w:w="4500" w:type="dxa"/>
          </w:tcPr>
          <w:p>
            <w:pPr>
              <w:pStyle w:val="TableText"/>
              <w:keepLines/>
            </w:pPr>
            <w:r>
              <w:rPr>
                <w:sz w:val="18"/>
                <w:szCs w:val="18"/>
              </w:rPr>
              <w:t xml:space="preserve">Difference from the dynamic baseline after borrowing, interest, growth and revenue feedback.</w:t>
            </w:r>
          </w:p>
        </w:tc>
      </w:tr>
    </w:tbl>
    <w:p>
      <w:pPr>
        <w:spacing w:after="80"/>
      </w:pPr>
      <w:r>
        <w:t xml:space="preserve"/>
      </w:r>
    </w:p>
    <w:p>
      <w:pPr>
        <w:pStyle w:val="Heading2"/>
        <w:keepNext/>
      </w:pPr>
      <w:r>
        <w:t xml:space="preserve">Preset interpretation</w:t>
      </w:r>
    </w:p>
    <w:tbl>
      <w:tblPr>
        <w:tblStyle w:val="ArchitectureTable"/>
        <w:tblW w:w="0" w:type="auto"/>
        <w:tblLayout w:type="fixed"/>
      </w:tblPr>
      <w:tblGrid>
        <w:gridCol w:w="1700"/>
        <w:gridCol w:w="5200"/>
        <w:gridCol w:w="2000"/>
      </w:tblGrid>
      <w:tr>
        <w:trPr>
          <w:tblHeader/>
          <w:cantSplit/>
        </w:trPr>
        <w:tc>
          <w:tcPr>
            <w:tcW w:w="1700" w:type="dxa"/>
            <w:shd w:val="clear" w:color="auto" w:fill="1F4E78"/>
          </w:tcPr>
          <w:p>
            <w:pPr>
              <w:pStyle w:val="TableText"/>
              <w:keepLines/>
            </w:pPr>
            <w:r>
              <w:rPr>
                <w:b/>
                <w:color w:val="FFFFFF"/>
                <w:sz w:val="18"/>
                <w:szCs w:val="18"/>
              </w:rPr>
              <w:t xml:space="preserve">Preset</w:t>
            </w:r>
          </w:p>
        </w:tc>
        <w:tc>
          <w:tcPr>
            <w:tcW w:w="5200" w:type="dxa"/>
            <w:shd w:val="clear" w:color="auto" w:fill="1F4E78"/>
          </w:tcPr>
          <w:p>
            <w:pPr>
              <w:pStyle w:val="TableText"/>
              <w:keepLines/>
            </w:pPr>
            <w:r>
              <w:rPr>
                <w:b/>
                <w:color w:val="FFFFFF"/>
                <w:sz w:val="18"/>
                <w:szCs w:val="18"/>
              </w:rPr>
              <w:t xml:space="preserve">Economic narrative</w:t>
            </w:r>
          </w:p>
        </w:tc>
        <w:tc>
          <w:tcPr>
            <w:tcW w:w="2000" w:type="dxa"/>
            <w:shd w:val="clear" w:color="auto" w:fill="1F4E78"/>
          </w:tcPr>
          <w:p>
            <w:pPr>
              <w:pStyle w:val="TableText"/>
              <w:keepLines/>
            </w:pPr>
            <w:r>
              <w:rPr>
                <w:b/>
                <w:color w:val="FFFFFF"/>
                <w:sz w:val="18"/>
                <w:szCs w:val="18"/>
              </w:rPr>
              <w:t xml:space="preserve">Use</w:t>
            </w:r>
          </w:p>
        </w:tc>
      </w:tr>
      <w:tr>
        <w:trPr>
          <w:cantSplit/>
        </w:trPr>
        <w:tc>
          <w:tcPr>
            <w:tcW w:w="1700" w:type="dxa"/>
          </w:tcPr>
          <w:p>
            <w:pPr>
              <w:pStyle w:val="TableText"/>
              <w:keepLines/>
            </w:pPr>
            <w:r>
              <w:rPr>
                <w:sz w:val="18"/>
                <w:szCs w:val="18"/>
              </w:rPr>
              <w:t xml:space="preserve">Conservative</w:t>
            </w:r>
          </w:p>
        </w:tc>
        <w:tc>
          <w:tcPr>
            <w:tcW w:w="5200" w:type="dxa"/>
          </w:tcPr>
          <w:p>
            <w:pPr>
              <w:pStyle w:val="TableText"/>
              <w:keepLines/>
            </w:pPr>
            <w:r>
              <w:rPr>
                <w:sz w:val="18"/>
                <w:szCs w:val="18"/>
              </w:rPr>
              <w:t xml:space="preserve">Lower execution and multiplier, two-year lag, mild crowding out, higher overruns, full borrowing and weaker revenue feedback.</w:t>
            </w:r>
          </w:p>
        </w:tc>
        <w:tc>
          <w:tcPr>
            <w:tcW w:w="2000" w:type="dxa"/>
          </w:tcPr>
          <w:p>
            <w:pPr>
              <w:pStyle w:val="TableText"/>
              <w:keepLines/>
            </w:pPr>
            <w:r>
              <w:rPr>
                <w:sz w:val="18"/>
                <w:szCs w:val="18"/>
              </w:rPr>
              <w:t xml:space="preserve">Stress test for weak delivery and expensive financing.</w:t>
            </w:r>
          </w:p>
        </w:tc>
      </w:tr>
      <w:tr>
        <w:trPr>
          <w:cantSplit/>
        </w:trPr>
        <w:tc>
          <w:tcPr>
            <w:tcW w:w="1700" w:type="dxa"/>
          </w:tcPr>
          <w:p>
            <w:pPr>
              <w:pStyle w:val="TableText"/>
              <w:keepLines/>
            </w:pPr>
            <w:r>
              <w:rPr>
                <w:sz w:val="18"/>
                <w:szCs w:val="18"/>
              </w:rPr>
              <w:t xml:space="preserve">Central</w:t>
            </w:r>
          </w:p>
        </w:tc>
        <w:tc>
          <w:tcPr>
            <w:tcW w:w="5200" w:type="dxa"/>
          </w:tcPr>
          <w:p>
            <w:pPr>
              <w:pStyle w:val="TableText"/>
              <w:keepLines/>
            </w:pPr>
            <w:r>
              <w:rPr>
                <w:sz w:val="18"/>
                <w:szCs w:val="18"/>
              </w:rPr>
              <w:t xml:space="preserve">High but imperfect execution, unit multiplier, one-year lag, modest crowd-in and partial borrowing.</w:t>
            </w:r>
          </w:p>
        </w:tc>
        <w:tc>
          <w:tcPr>
            <w:tcW w:w="2000" w:type="dxa"/>
          </w:tcPr>
          <w:p>
            <w:pPr>
              <w:pStyle w:val="TableText"/>
              <w:keepLines/>
            </w:pPr>
            <w:r>
              <w:rPr>
                <w:sz w:val="18"/>
                <w:szCs w:val="18"/>
              </w:rPr>
              <w:t xml:space="preserve">Neutral working case, not an official forecast.</w:t>
            </w:r>
          </w:p>
        </w:tc>
      </w:tr>
      <w:tr>
        <w:trPr>
          <w:cantSplit/>
        </w:trPr>
        <w:tc>
          <w:tcPr>
            <w:tcW w:w="1700" w:type="dxa"/>
          </w:tcPr>
          <w:p>
            <w:pPr>
              <w:pStyle w:val="TableText"/>
              <w:keepLines/>
            </w:pPr>
            <w:r>
              <w:rPr>
                <w:sz w:val="18"/>
                <w:szCs w:val="18"/>
              </w:rPr>
              <w:t xml:space="preserve">Optimistic</w:t>
            </w:r>
          </w:p>
        </w:tc>
        <w:tc>
          <w:tcPr>
            <w:tcW w:w="5200" w:type="dxa"/>
          </w:tcPr>
          <w:p>
            <w:pPr>
              <w:pStyle w:val="TableText"/>
              <w:keepLines/>
            </w:pPr>
            <w:r>
              <w:rPr>
                <w:sz w:val="18"/>
                <w:szCs w:val="18"/>
              </w:rPr>
              <w:t xml:space="preserve">Full execution, higher multiplier, rapid implementation, stronger crowd-in, lower overrun and financing cost.</w:t>
            </w:r>
          </w:p>
        </w:tc>
        <w:tc>
          <w:tcPr>
            <w:tcW w:w="2000" w:type="dxa"/>
          </w:tcPr>
          <w:p>
            <w:pPr>
              <w:pStyle w:val="TableText"/>
              <w:keepLines/>
            </w:pPr>
            <w:r>
              <w:rPr>
                <w:sz w:val="18"/>
                <w:szCs w:val="18"/>
              </w:rPr>
              <w:t xml:space="preserve">Upper-bound transmission scenario.</w:t>
            </w:r>
          </w:p>
        </w:tc>
      </w:tr>
    </w:tbl>
    <w:p>
      <w:pPr>
        <w:spacing w:after="80"/>
      </w:pPr>
      <w:r>
        <w:t xml:space="preserve"/>
      </w:r>
    </w:p>
    <w:p>
      <w:pPr>
        <w:pStyle w:val="Heading2"/>
        <w:keepNext/>
      </w:pPr>
      <w:r>
        <w:t xml:space="preserve">Model interpretation and failure modes</w:t>
      </w:r>
    </w:p>
    <w:p>
      <w:pPr>
        <w:pStyle w:val="ListParagraph"/>
        <w:keepLines/>
        <w:ind w:left="360"/>
      </w:pPr>
      <w:r>
        <w:rPr>
          <w:b/>
          <w:color w:val="D97706"/>
        </w:rPr>
        <w:t xml:space="preserve">•</w:t>
      </w:r>
      <w:r>
        <w:t xml:space="preserve">  A negative year-five debt change means the modelled denominator and revenue effects more than offset the incremental debt addition relative to the dynamic baseline. It does not mean the absolute debt stock falls.</w:t>
      </w:r>
    </w:p>
    <w:p>
      <w:pPr>
        <w:pStyle w:val="ListParagraph"/>
        <w:keepLines/>
        <w:ind w:left="360"/>
      </w:pPr>
      <w:r>
        <w:rPr>
          <w:b/>
          <w:color w:val="D97706"/>
        </w:rPr>
        <w:t xml:space="preserve">•</w:t>
      </w:r>
      <w:r>
        <w:t xml:space="preserve">  A high multiplier can mechanically improve both GDP per rupee and debt/GDP. Analysts should therefore report the assumed multiplier beside every result.</w:t>
      </w:r>
    </w:p>
    <w:p>
      <w:pPr>
        <w:pStyle w:val="ListParagraph"/>
        <w:keepLines/>
        <w:ind w:left="360"/>
      </w:pPr>
      <w:r>
        <w:rPr>
          <w:b/>
          <w:color w:val="D97706"/>
        </w:rPr>
        <w:t xml:space="preserve">•</w:t>
      </w:r>
      <w:r>
        <w:t xml:space="preserve">  Lower execution reduces both productive output and borrowing. Higher cost overruns reduce productive output without reducing executed spending.</w:t>
      </w:r>
    </w:p>
    <w:p>
      <w:pPr>
        <w:pStyle w:val="ListParagraph"/>
        <w:keepLines/>
        <w:ind w:left="360"/>
      </w:pPr>
      <w:r>
        <w:rPr>
          <w:b/>
          <w:color w:val="D97706"/>
        </w:rPr>
        <w:t xml:space="preserve">•</w:t>
      </w:r>
      <w:r>
        <w:t xml:space="preserve">  The model treats each annual impulse symmetrically and does not model depreciation, sector-specific multipliers, project gestation distributions, inflation composition, monetary-policy responses or state-government feedback.</w:t>
      </w:r>
    </w:p>
    <w:p>
      <w:pPr>
        <w:pStyle w:val="ListParagraph"/>
        <w:keepLines/>
        <w:ind w:left="360"/>
      </w:pPr>
      <w:r>
        <w:rPr>
          <w:b/>
          <w:color w:val="D97706"/>
        </w:rPr>
        <w:t xml:space="preserve">•</w:t>
      </w:r>
      <w:r>
        <w:t xml:space="preserve">  Cumulative GDP is an accounting sum of annual level effects inside the selected horizon. It is not a present-value welfare calculation.</w:t>
      </w:r>
    </w:p>
    <w:p>
      <w:pPr>
        <w:pStyle w:val="ListParagraph"/>
        <w:keepLines/>
        <w:ind w:left="360"/>
      </w:pPr>
      <w:r>
        <w:rPr>
          <w:b/>
          <w:color w:val="D97706"/>
        </w:rPr>
        <w:t xml:space="preserve">•</w:t>
      </w:r>
      <w:r>
        <w:t xml:space="preserve">  The dynamic baseline includes the primary balance and r−g arithmetic, but it still omits explicit stock-flow adjustments, maturity structure, valuation effects and endogenous monetary or fiscal responses.</w:t>
      </w:r>
    </w:p>
    <w:p>
      <w:pPr>
        <w:pStyle w:val="ListParagraph"/>
        <w:keepLines/>
        <w:ind w:left="360"/>
      </w:pPr>
      <w:r>
        <w:rPr>
          <w:b/>
          <w:color w:val="D97706"/>
        </w:rPr>
        <w:t xml:space="preserve">•</w:t>
      </w:r>
      <w:r>
        <w:t xml:space="preserve">  The uncertainty view uses 1,200 deterministic seeded draws. The sensitivity tornado moves one registered range at a time; the clickable frontier maps CapEx and multiplier combinations; the one-year backtest reports MAE and RMSE against observed debt.</w:t>
      </w:r>
    </w:p>
    <w:p>
      <w:pPr>
        <w:pStyle w:val="Heading1"/>
        <w:keepNext/>
      </w:pPr>
      <w:r>
        <w:t xml:space="preserve">13. How to interpret the entire story</w:t>
      </w:r>
    </w:p>
    <w:p>
      <w:pPr>
        <w:pStyle w:val="ListParagraph"/>
        <w:keepLines/>
        <w:ind w:left="240"/>
      </w:pPr>
      <w:r>
        <w:rPr>
          <w:b/>
          <w:color w:val="1F4E78"/>
        </w:rPr>
        <w:t xml:space="preserve">1. </w:t>
      </w:r>
      <w:r>
        <w:t xml:space="preserve">Start with execution, not the headline budget. Confirm that the policy impulse was both large relative to GDP and substantially delivered.</w:t>
      </w:r>
    </w:p>
    <w:p>
      <w:pPr>
        <w:pStyle w:val="ListParagraph"/>
        <w:keepLines/>
        <w:ind w:left="240"/>
      </w:pPr>
      <w:r>
        <w:rPr>
          <w:b/>
          <w:color w:val="1F4E78"/>
        </w:rPr>
        <w:t xml:space="preserve">2. </w:t>
      </w:r>
      <w:r>
        <w:t xml:space="preserve">Check allocation and physical delivery separately. A rising Roads or Railways BE is an input; kilometres are selected outputs; neither establishes quality-adjusted capital services.</w:t>
      </w:r>
    </w:p>
    <w:p>
      <w:pPr>
        <w:pStyle w:val="ListParagraph"/>
        <w:keepLines/>
        <w:ind w:left="240"/>
      </w:pPr>
      <w:r>
        <w:rPr>
          <w:b/>
          <w:color w:val="1F4E78"/>
        </w:rPr>
        <w:t xml:space="preserve">3. </w:t>
      </w:r>
      <w:r>
        <w:t xml:space="preserve">Read absolute market performance before relative performance. Then ask whether the CapEx-sensitive sector beat Nifty 50 and whether the pattern differs from FMCG.</w:t>
      </w:r>
    </w:p>
    <w:p>
      <w:pPr>
        <w:pStyle w:val="ListParagraph"/>
        <w:keepLines/>
        <w:ind w:left="240"/>
      </w:pPr>
      <w:r>
        <w:rPr>
          <w:b/>
          <w:color w:val="1F4E78"/>
        </w:rPr>
        <w:t xml:space="preserve">4. </w:t>
      </w:r>
      <w:r>
        <w:t xml:space="preserve">Use both timing directions. A strong market-leads result may indicate anticipation; a forward result is more consistent with later response but remains non-causal.</w:t>
      </w:r>
    </w:p>
    <w:p>
      <w:pPr>
        <w:pStyle w:val="ListParagraph"/>
        <w:keepLines/>
        <w:ind w:left="240"/>
      </w:pPr>
      <w:r>
        <w:rPr>
          <w:b/>
          <w:color w:val="1F4E78"/>
        </w:rPr>
        <w:t xml:space="preserve">5. </w:t>
      </w:r>
      <w:r>
        <w:t xml:space="preserve">Inspect scatter points, the fitted line, n and pandemic sensitivity. Do not report a coefficient without its timing window and sample size.</w:t>
      </w:r>
    </w:p>
    <w:p>
      <w:pPr>
        <w:pStyle w:val="ListParagraph"/>
        <w:keepLines/>
        <w:ind w:left="240"/>
      </w:pPr>
      <w:r>
        <w:rPr>
          <w:b/>
          <w:color w:val="1F4E78"/>
        </w:rPr>
        <w:t xml:space="preserve">6. </w:t>
      </w:r>
      <w:r>
        <w:t xml:space="preserve">Check corporate revenue, earnings, CapEx and PPE. A market re-rating unsupported by fundamentals is a weaker transmission story.</w:t>
      </w:r>
    </w:p>
    <w:p>
      <w:pPr>
        <w:pStyle w:val="ListParagraph"/>
        <w:keepLines/>
        <w:ind w:left="240"/>
      </w:pPr>
      <w:r>
        <w:rPr>
          <w:b/>
          <w:color w:val="1F4E78"/>
        </w:rPr>
        <w:t xml:space="preserve">7. </w:t>
      </w:r>
      <w:r>
        <w:t xml:space="preserve">Move to private GFCF, utilisation and capital-goods IIP. This is where expectations must become realised productive activity.</w:t>
      </w:r>
    </w:p>
    <w:p>
      <w:pPr>
        <w:pStyle w:val="ListParagraph"/>
        <w:keepLines/>
        <w:ind w:left="240"/>
      </w:pPr>
      <w:r>
        <w:rPr>
          <w:b/>
          <w:color w:val="1F4E78"/>
        </w:rPr>
        <w:t xml:space="preserve">8. </w:t>
      </w:r>
      <w:r>
        <w:t xml:space="preserve">Finish with fiscal capacity. Compare growth evidence with debt, primary balance and interest pressure rather than treating CapEx as costless.</w:t>
      </w:r>
    </w:p>
    <w:p>
      <w:pPr>
        <w:pStyle w:val="ListParagraph"/>
        <w:keepLines/>
        <w:ind w:left="240"/>
      </w:pPr>
      <w:r>
        <w:rPr>
          <w:b/>
          <w:color w:val="1F4E78"/>
        </w:rPr>
        <w:t xml:space="preserve">9. </w:t>
      </w:r>
      <w:r>
        <w:t xml:space="preserve">Use the scenario lab only after the historical evidence. Vary execution, multiplier and financing assumptions to identify which assumptions drive the conclusion.</w:t>
      </w:r>
    </w:p>
    <w:p>
      <w:pPr>
        <w:pStyle w:val="Heading1"/>
        <w:keepNext/>
      </w:pPr>
      <w:r>
        <w:t xml:space="preserve">14. Limitations and research extensions</w:t>
      </w:r>
    </w:p>
    <w:tbl>
      <w:tblPr>
        <w:tblStyle w:val="ArchitectureTable"/>
        <w:tblW w:w="0" w:type="auto"/>
        <w:tblLayout w:type="fixed"/>
      </w:tblPr>
      <w:tblGrid>
        <w:gridCol w:w="2100"/>
        <w:gridCol w:w="3400"/>
        <w:gridCol w:w="3500"/>
      </w:tblGrid>
      <w:tr>
        <w:trPr>
          <w:tblHeader/>
          <w:cantSplit/>
        </w:trPr>
        <w:tc>
          <w:tcPr>
            <w:tcW w:w="2100" w:type="dxa"/>
            <w:shd w:val="clear" w:color="auto" w:fill="1F4E78"/>
          </w:tcPr>
          <w:p>
            <w:pPr>
              <w:pStyle w:val="TableText"/>
              <w:keepLines/>
            </w:pPr>
            <w:r>
              <w:rPr>
                <w:b/>
                <w:color w:val="FFFFFF"/>
                <w:sz w:val="15"/>
                <w:szCs w:val="15"/>
              </w:rPr>
              <w:t xml:space="preserve">Limitation</w:t>
            </w:r>
          </w:p>
        </w:tc>
        <w:tc>
          <w:tcPr>
            <w:tcW w:w="3400" w:type="dxa"/>
            <w:shd w:val="clear" w:color="auto" w:fill="1F4E78"/>
          </w:tcPr>
          <w:p>
            <w:pPr>
              <w:pStyle w:val="TableText"/>
              <w:keepLines/>
            </w:pPr>
            <w:r>
              <w:rPr>
                <w:b/>
                <w:color w:val="FFFFFF"/>
                <w:sz w:val="15"/>
                <w:szCs w:val="15"/>
              </w:rPr>
              <w:t xml:space="preserve">Why it matters</w:t>
            </w:r>
          </w:p>
        </w:tc>
        <w:tc>
          <w:tcPr>
            <w:tcW w:w="3500" w:type="dxa"/>
            <w:shd w:val="clear" w:color="auto" w:fill="1F4E78"/>
          </w:tcPr>
          <w:p>
            <w:pPr>
              <w:pStyle w:val="TableText"/>
              <w:keepLines/>
            </w:pPr>
            <w:r>
              <w:rPr>
                <w:b/>
                <w:color w:val="FFFFFF"/>
                <w:sz w:val="15"/>
                <w:szCs w:val="15"/>
              </w:rPr>
              <w:t xml:space="preserve">Best next extension</w:t>
            </w:r>
          </w:p>
        </w:tc>
      </w:tr>
      <w:tr>
        <w:trPr>
          <w:cantSplit/>
        </w:trPr>
        <w:tc>
          <w:tcPr>
            <w:tcW w:w="2100" w:type="dxa"/>
          </w:tcPr>
          <w:p>
            <w:pPr>
              <w:pStyle w:val="TableText"/>
              <w:keepLines/>
            </w:pPr>
            <w:r>
              <w:rPr>
                <w:sz w:val="15"/>
                <w:szCs w:val="15"/>
              </w:rPr>
              <w:t xml:space="preserve">Small annual timing sample</w:t>
            </w:r>
          </w:p>
        </w:tc>
        <w:tc>
          <w:tcPr>
            <w:tcW w:w="3400" w:type="dxa"/>
          </w:tcPr>
          <w:p>
            <w:pPr>
              <w:pStyle w:val="TableText"/>
              <w:keepLines/>
            </w:pPr>
            <w:r>
              <w:rPr>
                <w:sz w:val="15"/>
                <w:szCs w:val="15"/>
              </w:rPr>
              <w:t xml:space="preserve">Coefficients can change sharply when one fiscal year moves.</w:t>
            </w:r>
          </w:p>
        </w:tc>
        <w:tc>
          <w:tcPr>
            <w:tcW w:w="3500" w:type="dxa"/>
          </w:tcPr>
          <w:p>
            <w:pPr>
              <w:pStyle w:val="TableText"/>
              <w:keepLines/>
            </w:pPr>
            <w:r>
              <w:rPr>
                <w:sz w:val="15"/>
                <w:szCs w:val="15"/>
              </w:rPr>
              <w:t xml:space="preserve">Extend history where index definitions permit; report bootstrap or randomisation uncertainty without data-mining lags.</w:t>
            </w:r>
          </w:p>
        </w:tc>
      </w:tr>
      <w:tr>
        <w:trPr>
          <w:cantSplit/>
        </w:trPr>
        <w:tc>
          <w:tcPr>
            <w:tcW w:w="2100" w:type="dxa"/>
          </w:tcPr>
          <w:p>
            <w:pPr>
              <w:pStyle w:val="TableText"/>
              <w:keepLines/>
            </w:pPr>
            <w:r>
              <w:rPr>
                <w:sz w:val="15"/>
                <w:szCs w:val="15"/>
              </w:rPr>
              <w:t xml:space="preserve">Nominal CapEx</w:t>
            </w:r>
          </w:p>
        </w:tc>
        <w:tc>
          <w:tcPr>
            <w:tcW w:w="3400" w:type="dxa"/>
          </w:tcPr>
          <w:p>
            <w:pPr>
              <w:pStyle w:val="TableText"/>
              <w:keepLines/>
            </w:pPr>
            <w:r>
              <w:rPr>
                <w:sz w:val="15"/>
                <w:szCs w:val="15"/>
              </w:rPr>
              <w:t xml:space="preserve">Inflation can mimic stronger real investment.</w:t>
            </w:r>
          </w:p>
        </w:tc>
        <w:tc>
          <w:tcPr>
            <w:tcW w:w="3500" w:type="dxa"/>
          </w:tcPr>
          <w:p>
            <w:pPr>
              <w:pStyle w:val="TableText"/>
              <w:keepLines/>
            </w:pPr>
            <w:r>
              <w:rPr>
                <w:sz w:val="15"/>
                <w:szCs w:val="15"/>
              </w:rPr>
              <w:t xml:space="preserve">Register a defensible government-investment deflator and publish both nominal and real growth.</w:t>
            </w:r>
          </w:p>
        </w:tc>
      </w:tr>
      <w:tr>
        <w:trPr>
          <w:cantSplit/>
        </w:trPr>
        <w:tc>
          <w:tcPr>
            <w:tcW w:w="2100" w:type="dxa"/>
          </w:tcPr>
          <w:p>
            <w:pPr>
              <w:pStyle w:val="TableText"/>
              <w:keepLines/>
            </w:pPr>
            <w:r>
              <w:rPr>
                <w:sz w:val="15"/>
                <w:szCs w:val="15"/>
              </w:rPr>
              <w:t xml:space="preserve">Budget rather than ministry actuals</w:t>
            </w:r>
          </w:p>
        </w:tc>
        <w:tc>
          <w:tcPr>
            <w:tcW w:w="3400" w:type="dxa"/>
          </w:tcPr>
          <w:p>
            <w:pPr>
              <w:pStyle w:val="TableText"/>
              <w:keepLines/>
            </w:pPr>
            <w:r>
              <w:rPr>
                <w:sz w:val="15"/>
                <w:szCs w:val="15"/>
              </w:rPr>
              <w:t xml:space="preserve">Allocation does not prove sector execution.</w:t>
            </w:r>
          </w:p>
        </w:tc>
        <w:tc>
          <w:tcPr>
            <w:tcW w:w="3500" w:type="dxa"/>
          </w:tcPr>
          <w:p>
            <w:pPr>
              <w:pStyle w:val="TableText"/>
              <w:keepLines/>
            </w:pPr>
            <w:r>
              <w:rPr>
                <w:sz w:val="15"/>
                <w:szCs w:val="15"/>
              </w:rPr>
              <w:t xml:space="preserve">Build comparable Roads and Railways actual/revised capital series by budget vintage.</w:t>
            </w:r>
          </w:p>
        </w:tc>
      </w:tr>
      <w:tr>
        <w:trPr>
          <w:cantSplit/>
        </w:trPr>
        <w:tc>
          <w:tcPr>
            <w:tcW w:w="2100" w:type="dxa"/>
          </w:tcPr>
          <w:p>
            <w:pPr>
              <w:pStyle w:val="TableText"/>
              <w:keepLines/>
            </w:pPr>
            <w:r>
              <w:rPr>
                <w:sz w:val="15"/>
                <w:szCs w:val="15"/>
              </w:rPr>
              <w:t xml:space="preserve">Output quantity without quality</w:t>
            </w:r>
          </w:p>
        </w:tc>
        <w:tc>
          <w:tcPr>
            <w:tcW w:w="3400" w:type="dxa"/>
          </w:tcPr>
          <w:p>
            <w:pPr>
              <w:pStyle w:val="TableText"/>
              <w:keepLines/>
            </w:pPr>
            <w:r>
              <w:rPr>
                <w:sz w:val="15"/>
                <w:szCs w:val="15"/>
              </w:rPr>
              <w:t xml:space="preserve">Kilometres ignore lanes, reliability and usage.</w:t>
            </w:r>
          </w:p>
        </w:tc>
        <w:tc>
          <w:tcPr>
            <w:tcW w:w="3500" w:type="dxa"/>
          </w:tcPr>
          <w:p>
            <w:pPr>
              <w:pStyle w:val="TableText"/>
              <w:keepLines/>
            </w:pPr>
            <w:r>
              <w:rPr>
                <w:sz w:val="15"/>
                <w:szCs w:val="15"/>
              </w:rPr>
              <w:t xml:space="preserve">Add lane-km, freight capacity, travel-time or utilisation outcomes with consistent definitions.</w:t>
            </w:r>
          </w:p>
        </w:tc>
      </w:tr>
      <w:tr>
        <w:trPr>
          <w:cantSplit/>
        </w:trPr>
        <w:tc>
          <w:tcPr>
            <w:tcW w:w="2100" w:type="dxa"/>
          </w:tcPr>
          <w:p>
            <w:pPr>
              <w:pStyle w:val="TableText"/>
              <w:keepLines/>
            </w:pPr>
            <w:r>
              <w:rPr>
                <w:sz w:val="15"/>
                <w:szCs w:val="15"/>
              </w:rPr>
              <w:t xml:space="preserve">Short private GFCF history</w:t>
            </w:r>
          </w:p>
        </w:tc>
        <w:tc>
          <w:tcPr>
            <w:tcW w:w="3400" w:type="dxa"/>
          </w:tcPr>
          <w:p>
            <w:pPr>
              <w:pStyle w:val="TableText"/>
              <w:keepLines/>
            </w:pPr>
            <w:r>
              <w:rPr>
                <w:sz w:val="15"/>
                <w:szCs w:val="15"/>
              </w:rPr>
              <w:t xml:space="preserve">Crowding-in inference is underpowered.</w:t>
            </w:r>
          </w:p>
        </w:tc>
        <w:tc>
          <w:tcPr>
            <w:tcW w:w="3500" w:type="dxa"/>
          </w:tcPr>
          <w:p>
            <w:pPr>
              <w:pStyle w:val="TableText"/>
              <w:keepLines/>
            </w:pPr>
            <w:r>
              <w:rPr>
                <w:sz w:val="15"/>
                <w:szCs w:val="15"/>
              </w:rPr>
              <w:t xml:space="preserve">Use a longer compatible national-accounts vintage or clearly model a structural break.</w:t>
            </w:r>
          </w:p>
        </w:tc>
      </w:tr>
      <w:tr>
        <w:trPr>
          <w:cantSplit/>
        </w:trPr>
        <w:tc>
          <w:tcPr>
            <w:tcW w:w="2100" w:type="dxa"/>
          </w:tcPr>
          <w:p>
            <w:pPr>
              <w:pStyle w:val="TableText"/>
              <w:keepLines/>
            </w:pPr>
            <w:r>
              <w:rPr>
                <w:sz w:val="15"/>
                <w:szCs w:val="15"/>
              </w:rPr>
              <w:t xml:space="preserve">Corporate-provider comparability</w:t>
            </w:r>
          </w:p>
        </w:tc>
        <w:tc>
          <w:tcPr>
            <w:tcW w:w="3400" w:type="dxa"/>
          </w:tcPr>
          <w:p>
            <w:pPr>
              <w:pStyle w:val="TableText"/>
              <w:keepLines/>
            </w:pPr>
            <w:r>
              <w:rPr>
                <w:sz w:val="15"/>
                <w:szCs w:val="15"/>
              </w:rPr>
              <w:t xml:space="preserve">Statement taxonomy and coverage can change.</w:t>
            </w:r>
          </w:p>
        </w:tc>
        <w:tc>
          <w:tcPr>
            <w:tcW w:w="3500" w:type="dxa"/>
          </w:tcPr>
          <w:p>
            <w:pPr>
              <w:pStyle w:val="TableText"/>
              <w:keepLines/>
            </w:pPr>
            <w:r>
              <w:rPr>
                <w:sz w:val="15"/>
                <w:szCs w:val="15"/>
              </w:rPr>
              <w:t xml:space="preserve">Replace or validate provider fields with company annual reports and document restatements.</w:t>
            </w:r>
          </w:p>
        </w:tc>
      </w:tr>
      <w:tr>
        <w:trPr>
          <w:cantSplit/>
        </w:trPr>
        <w:tc>
          <w:tcPr>
            <w:tcW w:w="2100" w:type="dxa"/>
          </w:tcPr>
          <w:p>
            <w:pPr>
              <w:pStyle w:val="TableText"/>
              <w:keepLines/>
            </w:pPr>
            <w:r>
              <w:rPr>
                <w:sz w:val="15"/>
                <w:szCs w:val="15"/>
              </w:rPr>
              <w:t xml:space="preserve">No causal design</w:t>
            </w:r>
          </w:p>
        </w:tc>
        <w:tc>
          <w:tcPr>
            <w:tcW w:w="3400" w:type="dxa"/>
          </w:tcPr>
          <w:p>
            <w:pPr>
              <w:pStyle w:val="TableText"/>
              <w:keepLines/>
            </w:pPr>
            <w:r>
              <w:rPr>
                <w:sz w:val="15"/>
                <w:szCs w:val="15"/>
              </w:rPr>
              <w:t xml:space="preserve">Common macro shocks remain plausible explanations.</w:t>
            </w:r>
          </w:p>
        </w:tc>
        <w:tc>
          <w:tcPr>
            <w:tcW w:w="3500" w:type="dxa"/>
          </w:tcPr>
          <w:p>
            <w:pPr>
              <w:pStyle w:val="TableText"/>
              <w:keepLines/>
            </w:pPr>
            <w:r>
              <w:rPr>
                <w:sz w:val="15"/>
                <w:szCs w:val="15"/>
              </w:rPr>
              <w:t xml:space="preserve">Pre-register a panel, event-study, project-level or instrumental-variable strategy only when treatment and counterfactual data support it.</w:t>
            </w:r>
          </w:p>
        </w:tc>
      </w:tr>
      <w:tr>
        <w:trPr>
          <w:cantSplit/>
        </w:trPr>
        <w:tc>
          <w:tcPr>
            <w:tcW w:w="2100" w:type="dxa"/>
          </w:tcPr>
          <w:p>
            <w:pPr>
              <w:pStyle w:val="TableText"/>
              <w:keepLines/>
            </w:pPr>
            <w:r>
              <w:rPr>
                <w:sz w:val="15"/>
                <w:szCs w:val="15"/>
              </w:rPr>
              <w:t xml:space="preserve">Conditional uncertainty</w:t>
            </w:r>
          </w:p>
        </w:tc>
        <w:tc>
          <w:tcPr>
            <w:tcW w:w="3400" w:type="dxa"/>
          </w:tcPr>
          <w:p>
            <w:pPr>
              <w:pStyle w:val="TableText"/>
              <w:keepLines/>
            </w:pPr>
            <w:r>
              <w:rPr>
                <w:sz w:val="15"/>
                <w:szCs w:val="15"/>
              </w:rPr>
              <w:t xml:space="preserve">Registered ranges are analyst assumptions, not estimated sampling distributions.</w:t>
            </w:r>
          </w:p>
        </w:tc>
        <w:tc>
          <w:tcPr>
            <w:tcW w:w="3500" w:type="dxa"/>
          </w:tcPr>
          <w:p>
            <w:pPr>
              <w:pStyle w:val="TableText"/>
              <w:keepLines/>
            </w:pPr>
            <w:r>
              <w:rPr>
                <w:sz w:val="15"/>
                <w:szCs w:val="15"/>
              </w:rPr>
              <w:t xml:space="preserve">Add parameter provenance and correlated macro shocks before considering a formal forecast.</w:t>
            </w:r>
          </w:p>
        </w:tc>
      </w:tr>
    </w:tbl>
    <w:p>
      <w:pPr>
        <w:spacing w:after="80"/>
      </w:pPr>
      <w:r>
        <w:t xml:space="preserve"/>
      </w:r>
    </w:p>
    <w:p>
      <w:pPr>
        <w:pStyle w:val="Heading1"/>
        <w:keepNext/>
      </w:pPr>
      <w:r>
        <w:t xml:space="preserve">15. Source map</w:t>
      </w:r>
    </w:p>
    <w:tbl>
      <w:tblPr>
        <w:tblStyle w:val="ArchitectureTable"/>
        <w:tblW w:w="0" w:type="auto"/>
        <w:tblLayout w:type="fixed"/>
      </w:tblPr>
      <w:tblGrid>
        <w:gridCol w:w="3800"/>
        <w:gridCol w:w="5200"/>
      </w:tblGrid>
      <w:tr>
        <w:trPr>
          <w:tblHeader/>
          <w:cantSplit/>
        </w:trPr>
        <w:tc>
          <w:tcPr>
            <w:tcW w:w="3800" w:type="dxa"/>
            <w:shd w:val="clear" w:color="auto" w:fill="1F4E78"/>
          </w:tcPr>
          <w:p>
            <w:pPr>
              <w:pStyle w:val="TableText"/>
              <w:keepLines/>
            </w:pPr>
            <w:r>
              <w:rPr>
                <w:b/>
                <w:color w:val="FFFFFF"/>
                <w:sz w:val="14"/>
                <w:szCs w:val="14"/>
              </w:rPr>
              <w:t xml:space="preserve">Source</w:t>
            </w:r>
          </w:p>
        </w:tc>
        <w:tc>
          <w:tcPr>
            <w:tcW w:w="5200" w:type="dxa"/>
            <w:shd w:val="clear" w:color="auto" w:fill="1F4E78"/>
          </w:tcPr>
          <w:p>
            <w:pPr>
              <w:pStyle w:val="TableText"/>
              <w:keepLines/>
            </w:pPr>
            <w:r>
              <w:rPr>
                <w:b/>
                <w:color w:val="FFFFFF"/>
                <w:sz w:val="14"/>
                <w:szCs w:val="14"/>
              </w:rPr>
              <w:t xml:space="preserve">Official location or provenance note</w:t>
            </w:r>
          </w:p>
        </w:tc>
      </w:tr>
      <w:tr>
        <w:trPr>
          <w:cantSplit/>
        </w:trPr>
        <w:tc>
          <w:tcPr>
            <w:tcW w:w="3800" w:type="dxa"/>
          </w:tcPr>
          <w:p>
            <w:pPr>
              <w:pStyle w:val="TableText"/>
              <w:keepLines/>
            </w:pPr>
            <w:r>
              <w:rPr>
                <w:sz w:val="14"/>
                <w:szCs w:val="14"/>
              </w:rPr>
              <w:t xml:space="preserve">Union Budget 2018-19</w:t>
            </w:r>
          </w:p>
        </w:tc>
        <w:tc>
          <w:tcPr>
            <w:tcW w:w="5200" w:type="dxa"/>
          </w:tcPr>
          <w:p>
            <w:pPr>
              <w:pStyle w:val="TableText"/>
              <w:keepLines/>
            </w:pPr>
            <w:r>
              <w:rPr>
                <w:sz w:val="14"/>
                <w:szCs w:val="14"/>
              </w:rPr>
              <w:t xml:space="preserve">https://www.indiabudget.gov.in/budget2018-2019/ub2018-19/bag/bag6.pdf</w:t>
            </w:r>
          </w:p>
        </w:tc>
      </w:tr>
      <w:tr>
        <w:trPr>
          <w:cantSplit/>
        </w:trPr>
        <w:tc>
          <w:tcPr>
            <w:tcW w:w="3800" w:type="dxa"/>
          </w:tcPr>
          <w:p>
            <w:pPr>
              <w:pStyle w:val="TableText"/>
              <w:keepLines/>
            </w:pPr>
            <w:r>
              <w:rPr>
                <w:sz w:val="14"/>
                <w:szCs w:val="14"/>
              </w:rPr>
              <w:t xml:space="preserve">Union Budget 2019-20</w:t>
            </w:r>
          </w:p>
        </w:tc>
        <w:tc>
          <w:tcPr>
            <w:tcW w:w="5200" w:type="dxa"/>
          </w:tcPr>
          <w:p>
            <w:pPr>
              <w:pStyle w:val="TableText"/>
              <w:keepLines/>
            </w:pPr>
            <w:r>
              <w:rPr>
                <w:sz w:val="14"/>
                <w:szCs w:val="14"/>
              </w:rPr>
              <w:t xml:space="preserve">https://www.indiabudget.gov.in/budget2019-20/doc/Budget_at_Glance/bag6.pdf</w:t>
            </w:r>
          </w:p>
        </w:tc>
      </w:tr>
      <w:tr>
        <w:trPr>
          <w:cantSplit/>
        </w:trPr>
        <w:tc>
          <w:tcPr>
            <w:tcW w:w="3800" w:type="dxa"/>
          </w:tcPr>
          <w:p>
            <w:pPr>
              <w:pStyle w:val="TableText"/>
              <w:keepLines/>
            </w:pPr>
            <w:r>
              <w:rPr>
                <w:sz w:val="14"/>
                <w:szCs w:val="14"/>
              </w:rPr>
              <w:t xml:space="preserve">Union Budget 2020-21</w:t>
            </w:r>
          </w:p>
        </w:tc>
        <w:tc>
          <w:tcPr>
            <w:tcW w:w="5200" w:type="dxa"/>
          </w:tcPr>
          <w:p>
            <w:pPr>
              <w:pStyle w:val="TableText"/>
              <w:keepLines/>
            </w:pPr>
            <w:r>
              <w:rPr>
                <w:sz w:val="14"/>
                <w:szCs w:val="14"/>
              </w:rPr>
              <w:t xml:space="preserve">https://www.indiabudget.gov.in/budget2020-21/doc/Budget_at_Glance/bag6.pdf</w:t>
            </w:r>
          </w:p>
        </w:tc>
      </w:tr>
      <w:tr>
        <w:trPr>
          <w:cantSplit/>
        </w:trPr>
        <w:tc>
          <w:tcPr>
            <w:tcW w:w="3800" w:type="dxa"/>
          </w:tcPr>
          <w:p>
            <w:pPr>
              <w:pStyle w:val="TableText"/>
              <w:keepLines/>
            </w:pPr>
            <w:r>
              <w:rPr>
                <w:sz w:val="14"/>
                <w:szCs w:val="14"/>
              </w:rPr>
              <w:t xml:space="preserve">Union Budget 2021-22</w:t>
            </w:r>
          </w:p>
        </w:tc>
        <w:tc>
          <w:tcPr>
            <w:tcW w:w="5200" w:type="dxa"/>
          </w:tcPr>
          <w:p>
            <w:pPr>
              <w:pStyle w:val="TableText"/>
              <w:keepLines/>
            </w:pPr>
            <w:r>
              <w:rPr>
                <w:sz w:val="14"/>
                <w:szCs w:val="14"/>
              </w:rPr>
              <w:t xml:space="preserve">https://www.indiabudget.gov.in/budget2021-22/doc/Budget_at_Glance/bag6.pdf</w:t>
            </w:r>
          </w:p>
        </w:tc>
      </w:tr>
      <w:tr>
        <w:trPr>
          <w:cantSplit/>
        </w:trPr>
        <w:tc>
          <w:tcPr>
            <w:tcW w:w="3800" w:type="dxa"/>
          </w:tcPr>
          <w:p>
            <w:pPr>
              <w:pStyle w:val="TableText"/>
              <w:keepLines/>
            </w:pPr>
            <w:r>
              <w:rPr>
                <w:sz w:val="14"/>
                <w:szCs w:val="14"/>
              </w:rPr>
              <w:t xml:space="preserve">Union Budget 2022-23</w:t>
            </w:r>
          </w:p>
        </w:tc>
        <w:tc>
          <w:tcPr>
            <w:tcW w:w="5200" w:type="dxa"/>
          </w:tcPr>
          <w:p>
            <w:pPr>
              <w:pStyle w:val="TableText"/>
              <w:keepLines/>
            </w:pPr>
            <w:r>
              <w:rPr>
                <w:sz w:val="14"/>
                <w:szCs w:val="14"/>
              </w:rPr>
              <w:t xml:space="preserve">https://www.indiabudget.gov.in/budget2022-23/doc/Budget_at_Glance/bag6.pdf</w:t>
            </w:r>
          </w:p>
        </w:tc>
      </w:tr>
      <w:tr>
        <w:trPr>
          <w:cantSplit/>
        </w:trPr>
        <w:tc>
          <w:tcPr>
            <w:tcW w:w="3800" w:type="dxa"/>
          </w:tcPr>
          <w:p>
            <w:pPr>
              <w:pStyle w:val="TableText"/>
              <w:keepLines/>
            </w:pPr>
            <w:r>
              <w:rPr>
                <w:sz w:val="14"/>
                <w:szCs w:val="14"/>
              </w:rPr>
              <w:t xml:space="preserve">Union Budget 2023-24</w:t>
            </w:r>
          </w:p>
        </w:tc>
        <w:tc>
          <w:tcPr>
            <w:tcW w:w="5200" w:type="dxa"/>
          </w:tcPr>
          <w:p>
            <w:pPr>
              <w:pStyle w:val="TableText"/>
              <w:keepLines/>
            </w:pPr>
            <w:r>
              <w:rPr>
                <w:sz w:val="14"/>
                <w:szCs w:val="14"/>
              </w:rPr>
              <w:t xml:space="preserve">https://www.indiabudget.gov.in/budget2023-24/doc/Budget_at_Glance/bag6.pdf</w:t>
            </w:r>
          </w:p>
        </w:tc>
      </w:tr>
      <w:tr>
        <w:trPr>
          <w:cantSplit/>
        </w:trPr>
        <w:tc>
          <w:tcPr>
            <w:tcW w:w="3800" w:type="dxa"/>
          </w:tcPr>
          <w:p>
            <w:pPr>
              <w:pStyle w:val="TableText"/>
              <w:keepLines/>
            </w:pPr>
            <w:r>
              <w:rPr>
                <w:sz w:val="14"/>
                <w:szCs w:val="14"/>
              </w:rPr>
              <w:t xml:space="preserve">Union Budget 2024-25</w:t>
            </w:r>
          </w:p>
        </w:tc>
        <w:tc>
          <w:tcPr>
            <w:tcW w:w="5200" w:type="dxa"/>
          </w:tcPr>
          <w:p>
            <w:pPr>
              <w:pStyle w:val="TableText"/>
              <w:keepLines/>
            </w:pPr>
            <w:r>
              <w:rPr>
                <w:sz w:val="14"/>
                <w:szCs w:val="14"/>
              </w:rPr>
              <w:t xml:space="preserve">https://www.indiabudget.gov.in/budget2024-25/doc/Budget_at_Glance/bag6.pdf</w:t>
            </w:r>
          </w:p>
        </w:tc>
      </w:tr>
      <w:tr>
        <w:trPr>
          <w:cantSplit/>
        </w:trPr>
        <w:tc>
          <w:tcPr>
            <w:tcW w:w="3800" w:type="dxa"/>
          </w:tcPr>
          <w:p>
            <w:pPr>
              <w:pStyle w:val="TableText"/>
              <w:keepLines/>
            </w:pPr>
            <w:r>
              <w:rPr>
                <w:sz w:val="14"/>
                <w:szCs w:val="14"/>
              </w:rPr>
              <w:t xml:space="preserve">Union Budget 2025-26</w:t>
            </w:r>
          </w:p>
        </w:tc>
        <w:tc>
          <w:tcPr>
            <w:tcW w:w="5200" w:type="dxa"/>
          </w:tcPr>
          <w:p>
            <w:pPr>
              <w:pStyle w:val="TableText"/>
              <w:keepLines/>
            </w:pPr>
            <w:r>
              <w:rPr>
                <w:sz w:val="14"/>
                <w:szCs w:val="14"/>
              </w:rPr>
              <w:t xml:space="preserve">https://www.indiabudget.gov.in/budget2025-26/doc/Budget_at_Glance/bag6.pdf</w:t>
            </w:r>
          </w:p>
        </w:tc>
      </w:tr>
      <w:tr>
        <w:trPr>
          <w:cantSplit/>
        </w:trPr>
        <w:tc>
          <w:tcPr>
            <w:tcW w:w="3800" w:type="dxa"/>
          </w:tcPr>
          <w:p>
            <w:pPr>
              <w:pStyle w:val="TableText"/>
              <w:keepLines/>
            </w:pPr>
            <w:r>
              <w:rPr>
                <w:sz w:val="14"/>
                <w:szCs w:val="14"/>
              </w:rPr>
              <w:t xml:space="preserve">Union Budget 2026-27</w:t>
            </w:r>
          </w:p>
        </w:tc>
        <w:tc>
          <w:tcPr>
            <w:tcW w:w="5200" w:type="dxa"/>
          </w:tcPr>
          <w:p>
            <w:pPr>
              <w:pStyle w:val="TableText"/>
              <w:keepLines/>
            </w:pPr>
            <w:r>
              <w:rPr>
                <w:sz w:val="14"/>
                <w:szCs w:val="14"/>
              </w:rPr>
              <w:t xml:space="preserve">https://www.indiabudget.gov.in/doc/Budget_at_Glance/bag6.pdf</w:t>
            </w:r>
          </w:p>
        </w:tc>
      </w:tr>
      <w:tr>
        <w:trPr>
          <w:cantSplit/>
        </w:trPr>
        <w:tc>
          <w:tcPr>
            <w:tcW w:w="3800" w:type="dxa"/>
          </w:tcPr>
          <w:p>
            <w:pPr>
              <w:pStyle w:val="TableText"/>
              <w:keepLines/>
            </w:pPr>
            <w:r>
              <w:rPr>
                <w:sz w:val="14"/>
                <w:szCs w:val="14"/>
              </w:rPr>
              <w:t xml:space="preserve">Table 1 : Macro-Economic Aggregates (Base Year: 2011-12 At Current Prices)</w:t>
            </w:r>
          </w:p>
        </w:tc>
        <w:tc>
          <w:tcPr>
            <w:tcW w:w="5200" w:type="dxa"/>
          </w:tcPr>
          <w:p>
            <w:pPr>
              <w:pStyle w:val="TableText"/>
              <w:keepLines/>
            </w:pPr>
            <w:r>
              <w:rPr>
                <w:sz w:val="14"/>
                <w:szCs w:val="14"/>
              </w:rPr>
              <w:t xml:space="preserve">https://www.rbi.org.in/scripts/PublicationsView.aspx?id=23175</w:t>
            </w:r>
          </w:p>
        </w:tc>
      </w:tr>
      <w:tr>
        <w:trPr>
          <w:cantSplit/>
        </w:trPr>
        <w:tc>
          <w:tcPr>
            <w:tcW w:w="3800" w:type="dxa"/>
          </w:tcPr>
          <w:p>
            <w:pPr>
              <w:pStyle w:val="TableText"/>
              <w:keepLines/>
            </w:pPr>
            <w:r>
              <w:rPr>
                <w:sz w:val="14"/>
                <w:szCs w:val="14"/>
              </w:rPr>
              <w:t xml:space="preserve">Union Budget 2019-20 — Expenditure Profile, Statement 3</w:t>
            </w:r>
          </w:p>
        </w:tc>
        <w:tc>
          <w:tcPr>
            <w:tcW w:w="5200" w:type="dxa"/>
          </w:tcPr>
          <w:p>
            <w:pPr>
              <w:pStyle w:val="TableText"/>
              <w:keepLines/>
            </w:pPr>
            <w:r>
              <w:rPr>
                <w:sz w:val="14"/>
                <w:szCs w:val="14"/>
              </w:rPr>
              <w:t xml:space="preserve">https://www.indiabudget.gov.in/budget2019-20/doc/eb/stat3a.pdf</w:t>
            </w:r>
          </w:p>
        </w:tc>
      </w:tr>
      <w:tr>
        <w:trPr>
          <w:cantSplit/>
        </w:trPr>
        <w:tc>
          <w:tcPr>
            <w:tcW w:w="3800" w:type="dxa"/>
          </w:tcPr>
          <w:p>
            <w:pPr>
              <w:pStyle w:val="TableText"/>
              <w:keepLines/>
            </w:pPr>
            <w:r>
              <w:rPr>
                <w:sz w:val="14"/>
                <w:szCs w:val="14"/>
              </w:rPr>
              <w:t xml:space="preserve">Union Budget 2021-22 — Expenditure Profile, Statement 3</w:t>
            </w:r>
          </w:p>
        </w:tc>
        <w:tc>
          <w:tcPr>
            <w:tcW w:w="5200" w:type="dxa"/>
          </w:tcPr>
          <w:p>
            <w:pPr>
              <w:pStyle w:val="TableText"/>
              <w:keepLines/>
            </w:pPr>
            <w:r>
              <w:rPr>
                <w:sz w:val="14"/>
                <w:szCs w:val="14"/>
              </w:rPr>
              <w:t xml:space="preserve">https://www.indiabudget.gov.in/budget2021-22/doc/eb/stat3a.pdf</w:t>
            </w:r>
          </w:p>
        </w:tc>
      </w:tr>
      <w:tr>
        <w:trPr>
          <w:cantSplit/>
        </w:trPr>
        <w:tc>
          <w:tcPr>
            <w:tcW w:w="3800" w:type="dxa"/>
          </w:tcPr>
          <w:p>
            <w:pPr>
              <w:pStyle w:val="TableText"/>
              <w:keepLines/>
            </w:pPr>
            <w:r>
              <w:rPr>
                <w:sz w:val="14"/>
                <w:szCs w:val="14"/>
              </w:rPr>
              <w:t xml:space="preserve">Union Budget 2023-24 — Expenditure Profile, Statement 3</w:t>
            </w:r>
          </w:p>
        </w:tc>
        <w:tc>
          <w:tcPr>
            <w:tcW w:w="5200" w:type="dxa"/>
          </w:tcPr>
          <w:p>
            <w:pPr>
              <w:pStyle w:val="TableText"/>
              <w:keepLines/>
            </w:pPr>
            <w:r>
              <w:rPr>
                <w:sz w:val="14"/>
                <w:szCs w:val="14"/>
              </w:rPr>
              <w:t xml:space="preserve">https://www.indiabudget.gov.in/budget2023-24/doc/eb/stat3a.pdf</w:t>
            </w:r>
          </w:p>
        </w:tc>
      </w:tr>
      <w:tr>
        <w:trPr>
          <w:cantSplit/>
        </w:trPr>
        <w:tc>
          <w:tcPr>
            <w:tcW w:w="3800" w:type="dxa"/>
          </w:tcPr>
          <w:p>
            <w:pPr>
              <w:pStyle w:val="TableText"/>
              <w:keepLines/>
            </w:pPr>
            <w:r>
              <w:rPr>
                <w:sz w:val="14"/>
                <w:szCs w:val="14"/>
              </w:rPr>
              <w:t xml:space="preserve">Union Budget 2025-26 — Expenditure Profile, Statement 3</w:t>
            </w:r>
          </w:p>
        </w:tc>
        <w:tc>
          <w:tcPr>
            <w:tcW w:w="5200" w:type="dxa"/>
          </w:tcPr>
          <w:p>
            <w:pPr>
              <w:pStyle w:val="TableText"/>
              <w:keepLines/>
            </w:pPr>
            <w:r>
              <w:rPr>
                <w:sz w:val="14"/>
                <w:szCs w:val="14"/>
              </w:rPr>
              <w:t xml:space="preserve">https://www.indiabudget.gov.in/budget2025-26/doc/eb/vol1.pdf</w:t>
            </w:r>
          </w:p>
        </w:tc>
      </w:tr>
      <w:tr>
        <w:trPr>
          <w:cantSplit/>
        </w:trPr>
        <w:tc>
          <w:tcPr>
            <w:tcW w:w="3800" w:type="dxa"/>
          </w:tcPr>
          <w:p>
            <w:pPr>
              <w:pStyle w:val="TableText"/>
              <w:keepLines/>
            </w:pPr>
            <w:r>
              <w:rPr>
                <w:sz w:val="14"/>
                <w:szCs w:val="14"/>
              </w:rPr>
              <w:t xml:space="preserve">MoRTH Annual Report 2024-25 — year-wise NH construction</w:t>
            </w:r>
          </w:p>
        </w:tc>
        <w:tc>
          <w:tcPr>
            <w:tcW w:w="5200" w:type="dxa"/>
          </w:tcPr>
          <w:p>
            <w:pPr>
              <w:pStyle w:val="TableText"/>
              <w:keepLines/>
            </w:pPr>
            <w:r>
              <w:rPr>
                <w:sz w:val="14"/>
                <w:szCs w:val="14"/>
              </w:rPr>
              <w:t xml:space="preserve">https://morth.nic.in/sites/default/files/Annual-Report-English-with-Cover.pdf</w:t>
            </w:r>
          </w:p>
        </w:tc>
      </w:tr>
      <w:tr>
        <w:trPr>
          <w:cantSplit/>
        </w:trPr>
        <w:tc>
          <w:tcPr>
            <w:tcW w:w="3800" w:type="dxa"/>
          </w:tcPr>
          <w:p>
            <w:pPr>
              <w:pStyle w:val="TableText"/>
              <w:keepLines/>
            </w:pPr>
            <w:r>
              <w:rPr>
                <w:sz w:val="14"/>
                <w:szCs w:val="14"/>
              </w:rPr>
              <w:t xml:space="preserve">Indian Railways Annual Report and Accounts 2023-24</w:t>
            </w:r>
          </w:p>
        </w:tc>
        <w:tc>
          <w:tcPr>
            <w:tcW w:w="5200" w:type="dxa"/>
          </w:tcPr>
          <w:p>
            <w:pPr>
              <w:pStyle w:val="TableText"/>
              <w:keepLines/>
            </w:pPr>
            <w:r>
              <w:rPr>
                <w:sz w:val="14"/>
                <w:szCs w:val="14"/>
              </w:rPr>
              <w:t xml:space="preserve">https://indianrailways.gov.in/railwayboard/uploads/directorate/stat_econ/2025/Indian%20Railways%20Annual%20Report%20%20Accounts%202023-24%20-English.pdf</w:t>
            </w:r>
          </w:p>
        </w:tc>
      </w:tr>
      <w:tr>
        <w:trPr>
          <w:cantSplit/>
        </w:trPr>
        <w:tc>
          <w:tcPr>
            <w:tcW w:w="3800" w:type="dxa"/>
          </w:tcPr>
          <w:p>
            <w:pPr>
              <w:pStyle w:val="TableText"/>
              <w:keepLines/>
            </w:pPr>
            <w:r>
              <w:rPr>
                <w:sz w:val="14"/>
                <w:szCs w:val="14"/>
              </w:rPr>
              <w:t xml:space="preserve">RBI Handbook of Statistics on the Indian Economy, Table 30 (source: NSO)</w:t>
            </w:r>
          </w:p>
        </w:tc>
        <w:tc>
          <w:tcPr>
            <w:tcW w:w="5200" w:type="dxa"/>
          </w:tcPr>
          <w:p>
            <w:pPr>
              <w:pStyle w:val="TableText"/>
              <w:keepLines/>
            </w:pPr>
            <w:r>
              <w:rPr>
                <w:sz w:val="14"/>
                <w:szCs w:val="14"/>
              </w:rPr>
              <w:t xml:space="preserve">https://rbi.org.in/scripts/PublicationsView.aspx?id=21836</w:t>
            </w:r>
          </w:p>
        </w:tc>
      </w:tr>
      <w:tr>
        <w:trPr>
          <w:cantSplit/>
        </w:trPr>
        <w:tc>
          <w:tcPr>
            <w:tcW w:w="3800" w:type="dxa"/>
          </w:tcPr>
          <w:p>
            <w:pPr>
              <w:pStyle w:val="TableText"/>
              <w:keepLines/>
            </w:pPr>
            <w:r>
              <w:rPr>
                <w:sz w:val="14"/>
                <w:szCs w:val="14"/>
              </w:rPr>
              <w:t xml:space="preserve">MoSPI new-series GDP estimates — Statement 7.1B</w:t>
            </w:r>
          </w:p>
        </w:tc>
        <w:tc>
          <w:tcPr>
            <w:tcW w:w="5200" w:type="dxa"/>
          </w:tcPr>
          <w:p>
            <w:pPr>
              <w:pStyle w:val="TableText"/>
              <w:keepLines/>
            </w:pPr>
            <w:r>
              <w:rPr>
                <w:sz w:val="14"/>
                <w:szCs w:val="14"/>
              </w:rPr>
              <w:t xml:space="preserve">https://mospi.gov.in/uploads/release_calendar/1772190058170_Press_Note_on_New_Series_of_GDP_Estimates_with_Base_Year_2022-23_27022026.pdf</w:t>
            </w:r>
          </w:p>
        </w:tc>
      </w:tr>
      <w:tr>
        <w:trPr>
          <w:cantSplit/>
        </w:trPr>
        <w:tc>
          <w:tcPr>
            <w:tcW w:w="3800" w:type="dxa"/>
          </w:tcPr>
          <w:p>
            <w:pPr>
              <w:pStyle w:val="TableText"/>
              <w:keepLines/>
            </w:pPr>
            <w:r>
              <w:rPr>
                <w:sz w:val="14"/>
                <w:szCs w:val="14"/>
              </w:rPr>
              <w:t xml:space="preserve">Validated government investment artifact</w:t>
            </w:r>
          </w:p>
        </w:tc>
        <w:tc>
          <w:tcPr>
            <w:tcW w:w="5200" w:type="dxa"/>
          </w:tcPr>
          <w:p>
            <w:pPr>
              <w:pStyle w:val="TableText"/>
              <w:keepLines/>
            </w:pPr>
            <w:r>
              <w:rPr>
                <w:sz w:val="14"/>
                <w:szCs w:val="14"/>
              </w:rPr>
              <w:t xml:space="preserve">Recorded upstream artifact; no URL in this chart contract</w:t>
            </w:r>
          </w:p>
        </w:tc>
      </w:tr>
      <w:tr>
        <w:trPr>
          <w:cantSplit/>
        </w:trPr>
        <w:tc>
          <w:tcPr>
            <w:tcW w:w="3800" w:type="dxa"/>
          </w:tcPr>
          <w:p>
            <w:pPr>
              <w:pStyle w:val="TableText"/>
              <w:keepLines/>
            </w:pPr>
            <w:r>
              <w:rPr>
                <w:sz w:val="14"/>
                <w:szCs w:val="14"/>
              </w:rPr>
              <w:t xml:space="preserve">RBI OBICUS — Table 1 Capacity Utilisation</w:t>
            </w:r>
          </w:p>
        </w:tc>
        <w:tc>
          <w:tcPr>
            <w:tcW w:w="5200" w:type="dxa"/>
          </w:tcPr>
          <w:p>
            <w:pPr>
              <w:pStyle w:val="TableText"/>
              <w:keepLines/>
            </w:pPr>
            <w:r>
              <w:rPr>
                <w:sz w:val="14"/>
                <w:szCs w:val="14"/>
              </w:rPr>
              <w:t xml:space="preserve">https://www.rbi.org.in/scripts/PublicationsView.aspx?id=23808</w:t>
            </w:r>
          </w:p>
        </w:tc>
      </w:tr>
      <w:tr>
        <w:trPr>
          <w:cantSplit/>
        </w:trPr>
        <w:tc>
          <w:tcPr>
            <w:tcW w:w="3800" w:type="dxa"/>
          </w:tcPr>
          <w:p>
            <w:pPr>
              <w:pStyle w:val="TableText"/>
              <w:keepLines/>
            </w:pPr>
            <w:r>
              <w:rPr>
                <w:sz w:val="14"/>
                <w:szCs w:val="14"/>
              </w:rPr>
              <w:t xml:space="preserve">Table 239 : Select Debt Indicators of Central and State Governments (As Percentage to GDP)</w:t>
            </w:r>
          </w:p>
        </w:tc>
        <w:tc>
          <w:tcPr>
            <w:tcW w:w="5200" w:type="dxa"/>
          </w:tcPr>
          <w:p>
            <w:pPr>
              <w:pStyle w:val="TableText"/>
              <w:keepLines/>
            </w:pPr>
            <w:r>
              <w:rPr>
                <w:sz w:val="14"/>
                <w:szCs w:val="14"/>
              </w:rPr>
              <w:t xml:space="preserve">https://www.rbi.org.in/scripts/PublicationsView.aspx?id=23413</w:t>
            </w:r>
          </w:p>
        </w:tc>
      </w:tr>
      <w:tr>
        <w:trPr>
          <w:cantSplit/>
        </w:trPr>
        <w:tc>
          <w:tcPr>
            <w:tcW w:w="3800" w:type="dxa"/>
          </w:tcPr>
          <w:p>
            <w:pPr>
              <w:pStyle w:val="TableText"/>
              <w:keepLines/>
            </w:pPr>
            <w:r>
              <w:rPr>
                <w:sz w:val="14"/>
                <w:szCs w:val="14"/>
              </w:rPr>
              <w:t xml:space="preserve">Table 236 : Select Fiscal Indicators of the Central Government (As Percentage to GDP)</w:t>
            </w:r>
          </w:p>
        </w:tc>
        <w:tc>
          <w:tcPr>
            <w:tcW w:w="5200" w:type="dxa"/>
          </w:tcPr>
          <w:p>
            <w:pPr>
              <w:pStyle w:val="TableText"/>
              <w:keepLines/>
            </w:pPr>
            <w:r>
              <w:rPr>
                <w:sz w:val="14"/>
                <w:szCs w:val="14"/>
              </w:rPr>
              <w:t xml:space="preserve">https://www.rbi.org.in/scripts/PublicationsView.aspx?id=23410</w:t>
            </w:r>
          </w:p>
        </w:tc>
      </w:tr>
      <w:tr>
        <w:trPr>
          <w:cantSplit/>
        </w:trPr>
        <w:tc>
          <w:tcPr>
            <w:tcW w:w="3800" w:type="dxa"/>
          </w:tcPr>
          <w:p>
            <w:pPr>
              <w:pStyle w:val="TableText"/>
              <w:keepLines/>
            </w:pPr>
            <w:r>
              <w:rPr>
                <w:sz w:val="14"/>
                <w:szCs w:val="14"/>
              </w:rPr>
              <w:t xml:space="preserve">Company annual financial statements via Yahoo Finance</w:t>
            </w:r>
          </w:p>
        </w:tc>
        <w:tc>
          <w:tcPr>
            <w:tcW w:w="5200" w:type="dxa"/>
          </w:tcPr>
          <w:p>
            <w:pPr>
              <w:pStyle w:val="TableText"/>
              <w:keepLines/>
            </w:pPr>
            <w:r>
              <w:rPr>
                <w:sz w:val="14"/>
                <w:szCs w:val="14"/>
              </w:rPr>
              <w:t xml:space="preserve">Recorded upstream artifact; no URL in this chart contract</w:t>
            </w:r>
          </w:p>
        </w:tc>
      </w:tr>
      <w:tr>
        <w:trPr>
          <w:cantSplit/>
        </w:trPr>
        <w:tc>
          <w:tcPr>
            <w:tcW w:w="3800" w:type="dxa"/>
          </w:tcPr>
          <w:p>
            <w:pPr>
              <w:pStyle w:val="TableText"/>
              <w:keepLines/>
            </w:pPr>
            <w:r>
              <w:rPr>
                <w:sz w:val="14"/>
                <w:szCs w:val="14"/>
              </w:rPr>
              <w:t xml:space="preserve">NSE Indices historical total-return index</w:t>
            </w:r>
          </w:p>
        </w:tc>
        <w:tc>
          <w:tcPr>
            <w:tcW w:w="5200" w:type="dxa"/>
          </w:tcPr>
          <w:p>
            <w:pPr>
              <w:pStyle w:val="TableText"/>
              <w:keepLines/>
            </w:pPr>
            <w:r>
              <w:rPr>
                <w:sz w:val="14"/>
                <w:szCs w:val="14"/>
              </w:rPr>
              <w:t xml:space="preserve">https://www.niftyindices.com/reports/historical-data</w:t>
            </w:r>
          </w:p>
        </w:tc>
      </w:tr>
    </w:tbl>
    <w:p>
      <w:pPr>
        <w:spacing w:after="80"/>
      </w:pPr>
      <w:r>
        <w:t xml:space="preserve"/>
      </w:r>
    </w:p>
    <w:p>
      <w:pPr>
        <w:pStyle w:val="Heading1"/>
        <w:keepNext/>
      </w:pPr>
      <w:r>
        <w:t xml:space="preserve">16. Glossary</w:t>
      </w:r>
    </w:p>
    <w:tbl>
      <w:tblPr>
        <w:tblStyle w:val="ArchitectureTable"/>
        <w:tblW w:w="0" w:type="auto"/>
        <w:tblLayout w:type="fixed"/>
      </w:tblPr>
      <w:tblGrid>
        <w:gridCol w:w="2500"/>
        <w:gridCol w:w="6500"/>
      </w:tblGrid>
      <w:tr>
        <w:trPr>
          <w:tblHeader/>
          <w:cantSplit/>
        </w:trPr>
        <w:tc>
          <w:tcPr>
            <w:tcW w:w="2500" w:type="dxa"/>
            <w:shd w:val="clear" w:color="auto" w:fill="1F4E78"/>
          </w:tcPr>
          <w:p>
            <w:pPr>
              <w:pStyle w:val="TableText"/>
              <w:keepLines/>
            </w:pPr>
            <w:r>
              <w:rPr>
                <w:b/>
                <w:color w:val="FFFFFF"/>
                <w:sz w:val="18"/>
                <w:szCs w:val="18"/>
              </w:rPr>
              <w:t xml:space="preserve">Term</w:t>
            </w:r>
          </w:p>
        </w:tc>
        <w:tc>
          <w:tcPr>
            <w:tcW w:w="6500" w:type="dxa"/>
            <w:shd w:val="clear" w:color="auto" w:fill="1F4E78"/>
          </w:tcPr>
          <w:p>
            <w:pPr>
              <w:pStyle w:val="TableText"/>
              <w:keepLines/>
            </w:pPr>
            <w:r>
              <w:rPr>
                <w:b/>
                <w:color w:val="FFFFFF"/>
                <w:sz w:val="18"/>
                <w:szCs w:val="18"/>
              </w:rPr>
              <w:t xml:space="preserve">Meaning</w:t>
            </w:r>
          </w:p>
        </w:tc>
      </w:tr>
      <w:tr>
        <w:trPr>
          <w:cantSplit/>
        </w:trPr>
        <w:tc>
          <w:tcPr>
            <w:tcW w:w="2500" w:type="dxa"/>
          </w:tcPr>
          <w:p>
            <w:pPr>
              <w:pStyle w:val="TableText"/>
              <w:keepLines/>
            </w:pPr>
            <w:r>
              <w:rPr>
                <w:sz w:val="18"/>
                <w:szCs w:val="18"/>
              </w:rPr>
              <w:t xml:space="preserve">BE / RE</w:t>
            </w:r>
          </w:p>
        </w:tc>
        <w:tc>
          <w:tcPr>
            <w:tcW w:w="6500" w:type="dxa"/>
          </w:tcPr>
          <w:p>
            <w:pPr>
              <w:pStyle w:val="TableText"/>
              <w:keepLines/>
            </w:pPr>
            <w:r>
              <w:rPr>
                <w:sz w:val="18"/>
                <w:szCs w:val="18"/>
              </w:rPr>
              <w:t xml:space="preserve">Original Budget Estimate / in-year Revised Estimate.</w:t>
            </w:r>
          </w:p>
        </w:tc>
      </w:tr>
      <w:tr>
        <w:trPr>
          <w:cantSplit/>
        </w:trPr>
        <w:tc>
          <w:tcPr>
            <w:tcW w:w="2500" w:type="dxa"/>
          </w:tcPr>
          <w:p>
            <w:pPr>
              <w:pStyle w:val="TableText"/>
              <w:keepLines/>
            </w:pPr>
            <w:r>
              <w:rPr>
                <w:sz w:val="18"/>
                <w:szCs w:val="18"/>
              </w:rPr>
              <w:t xml:space="preserve">CapEx</w:t>
            </w:r>
          </w:p>
        </w:tc>
        <w:tc>
          <w:tcPr>
            <w:tcW w:w="6500" w:type="dxa"/>
          </w:tcPr>
          <w:p>
            <w:pPr>
              <w:pStyle w:val="TableText"/>
              <w:keepLines/>
            </w:pPr>
            <w:r>
              <w:rPr>
                <w:sz w:val="18"/>
                <w:szCs w:val="18"/>
              </w:rPr>
              <w:t xml:space="preserve">Capital expenditure intended to create or acquire assets or reduce liabilities under the applicable fiscal classification.</w:t>
            </w:r>
          </w:p>
        </w:tc>
      </w:tr>
      <w:tr>
        <w:trPr>
          <w:cantSplit/>
        </w:trPr>
        <w:tc>
          <w:tcPr>
            <w:tcW w:w="2500" w:type="dxa"/>
          </w:tcPr>
          <w:p>
            <w:pPr>
              <w:pStyle w:val="TableText"/>
              <w:keepLines/>
            </w:pPr>
            <w:r>
              <w:rPr>
                <w:sz w:val="18"/>
                <w:szCs w:val="18"/>
              </w:rPr>
              <w:t xml:space="preserve">GFCF</w:t>
            </w:r>
          </w:p>
        </w:tc>
        <w:tc>
          <w:tcPr>
            <w:tcW w:w="6500" w:type="dxa"/>
          </w:tcPr>
          <w:p>
            <w:pPr>
              <w:pStyle w:val="TableText"/>
              <w:keepLines/>
            </w:pPr>
            <w:r>
              <w:rPr>
                <w:sz w:val="18"/>
                <w:szCs w:val="18"/>
              </w:rPr>
              <w:t xml:space="preserve">Gross fixed capital formation: acquisition less disposal of fixed assets, before depreciation.</w:t>
            </w:r>
          </w:p>
        </w:tc>
      </w:tr>
      <w:tr>
        <w:trPr>
          <w:cantSplit/>
        </w:trPr>
        <w:tc>
          <w:tcPr>
            <w:tcW w:w="2500" w:type="dxa"/>
          </w:tcPr>
          <w:p>
            <w:pPr>
              <w:pStyle w:val="TableText"/>
              <w:keepLines/>
            </w:pPr>
            <w:r>
              <w:rPr>
                <w:sz w:val="18"/>
                <w:szCs w:val="18"/>
              </w:rPr>
              <w:t xml:space="preserve">IIP</w:t>
            </w:r>
          </w:p>
        </w:tc>
        <w:tc>
          <w:tcPr>
            <w:tcW w:w="6500" w:type="dxa"/>
          </w:tcPr>
          <w:p>
            <w:pPr>
              <w:pStyle w:val="TableText"/>
              <w:keepLines/>
            </w:pPr>
            <w:r>
              <w:rPr>
                <w:sz w:val="18"/>
                <w:szCs w:val="18"/>
              </w:rPr>
              <w:t xml:space="preserve">Index of Industrial Production.</w:t>
            </w:r>
          </w:p>
        </w:tc>
      </w:tr>
      <w:tr>
        <w:trPr>
          <w:cantSplit/>
        </w:trPr>
        <w:tc>
          <w:tcPr>
            <w:tcW w:w="2500" w:type="dxa"/>
          </w:tcPr>
          <w:p>
            <w:pPr>
              <w:pStyle w:val="TableText"/>
              <w:keepLines/>
            </w:pPr>
            <w:r>
              <w:rPr>
                <w:sz w:val="18"/>
                <w:szCs w:val="18"/>
              </w:rPr>
              <w:t xml:space="preserve">TRI</w:t>
            </w:r>
          </w:p>
        </w:tc>
        <w:tc>
          <w:tcPr>
            <w:tcW w:w="6500" w:type="dxa"/>
          </w:tcPr>
          <w:p>
            <w:pPr>
              <w:pStyle w:val="TableText"/>
              <w:keepLines/>
            </w:pPr>
            <w:r>
              <w:rPr>
                <w:sz w:val="18"/>
                <w:szCs w:val="18"/>
              </w:rPr>
              <w:t xml:space="preserve">Total-return index, including reinvested distributions.</w:t>
            </w:r>
          </w:p>
        </w:tc>
      </w:tr>
      <w:tr>
        <w:trPr>
          <w:cantSplit/>
        </w:trPr>
        <w:tc>
          <w:tcPr>
            <w:tcW w:w="2500" w:type="dxa"/>
          </w:tcPr>
          <w:p>
            <w:pPr>
              <w:pStyle w:val="TableText"/>
              <w:keepLines/>
            </w:pPr>
            <w:r>
              <w:rPr>
                <w:sz w:val="18"/>
                <w:szCs w:val="18"/>
              </w:rPr>
              <w:t xml:space="preserve">Relative wealth</w:t>
            </w:r>
          </w:p>
        </w:tc>
        <w:tc>
          <w:tcPr>
            <w:tcW w:w="6500" w:type="dxa"/>
          </w:tcPr>
          <w:p>
            <w:pPr>
              <w:pStyle w:val="TableText"/>
              <w:keepLines/>
            </w:pPr>
            <w:r>
              <w:rPr>
                <w:sz w:val="18"/>
                <w:szCs w:val="18"/>
              </w:rPr>
              <w:t xml:space="preserve">Cumulative sector TRI performance divided by cumulative benchmark TRI performance.</w:t>
            </w:r>
          </w:p>
        </w:tc>
      </w:tr>
      <w:tr>
        <w:trPr>
          <w:cantSplit/>
        </w:trPr>
        <w:tc>
          <w:tcPr>
            <w:tcW w:w="2500" w:type="dxa"/>
          </w:tcPr>
          <w:p>
            <w:pPr>
              <w:pStyle w:val="TableText"/>
              <w:keepLines/>
            </w:pPr>
            <w:r>
              <w:rPr>
                <w:sz w:val="18"/>
                <w:szCs w:val="18"/>
              </w:rPr>
              <w:t xml:space="preserve">Crowding in / out</w:t>
            </w:r>
          </w:p>
        </w:tc>
        <w:tc>
          <w:tcPr>
            <w:tcW w:w="6500" w:type="dxa"/>
          </w:tcPr>
          <w:p>
            <w:pPr>
              <w:pStyle w:val="TableText"/>
              <w:keepLines/>
            </w:pPr>
            <w:r>
              <w:rPr>
                <w:sz w:val="18"/>
                <w:szCs w:val="18"/>
              </w:rPr>
              <w:t xml:space="preserve">Private investment increases / decreases in response to public investment or its financing and macro effects.</w:t>
            </w:r>
          </w:p>
        </w:tc>
      </w:tr>
      <w:tr>
        <w:trPr>
          <w:cantSplit/>
        </w:trPr>
        <w:tc>
          <w:tcPr>
            <w:tcW w:w="2500" w:type="dxa"/>
          </w:tcPr>
          <w:p>
            <w:pPr>
              <w:pStyle w:val="TableText"/>
              <w:keepLines/>
            </w:pPr>
            <w:r>
              <w:rPr>
                <w:sz w:val="18"/>
                <w:szCs w:val="18"/>
              </w:rPr>
              <w:t xml:space="preserve">Fiscal multiplier</w:t>
            </w:r>
          </w:p>
        </w:tc>
        <w:tc>
          <w:tcPr>
            <w:tcW w:w="6500" w:type="dxa"/>
          </w:tcPr>
          <w:p>
            <w:pPr>
              <w:pStyle w:val="TableText"/>
              <w:keepLines/>
            </w:pPr>
            <w:r>
              <w:rPr>
                <w:sz w:val="18"/>
                <w:szCs w:val="18"/>
              </w:rPr>
              <w:t xml:space="preserve">Change in output associated with one unit of fiscal impulse under specified conditions.</w:t>
            </w:r>
          </w:p>
        </w:tc>
      </w:tr>
      <w:tr>
        <w:trPr>
          <w:cantSplit/>
        </w:trPr>
        <w:tc>
          <w:tcPr>
            <w:tcW w:w="2500" w:type="dxa"/>
          </w:tcPr>
          <w:p>
            <w:pPr>
              <w:pStyle w:val="TableText"/>
              <w:keepLines/>
            </w:pPr>
            <w:r>
              <w:rPr>
                <w:sz w:val="18"/>
                <w:szCs w:val="18"/>
              </w:rPr>
              <w:t xml:space="preserve">Primary balance</w:t>
            </w:r>
          </w:p>
        </w:tc>
        <w:tc>
          <w:tcPr>
            <w:tcW w:w="6500" w:type="dxa"/>
          </w:tcPr>
          <w:p>
            <w:pPr>
              <w:pStyle w:val="TableText"/>
              <w:keepLines/>
            </w:pPr>
            <w:r>
              <w:rPr>
                <w:sz w:val="18"/>
                <w:szCs w:val="18"/>
              </w:rPr>
              <w:t xml:space="preserve">Fiscal balance before interest payments; negative values here indicate a primary deficit.</w:t>
            </w:r>
          </w:p>
        </w:tc>
      </w:tr>
      <w:tr>
        <w:trPr>
          <w:cantSplit/>
        </w:trPr>
        <w:tc>
          <w:tcPr>
            <w:tcW w:w="2500" w:type="dxa"/>
          </w:tcPr>
          <w:p>
            <w:pPr>
              <w:pStyle w:val="TableText"/>
              <w:keepLines/>
            </w:pPr>
            <w:r>
              <w:rPr>
                <w:sz w:val="18"/>
                <w:szCs w:val="18"/>
              </w:rPr>
              <w:t xml:space="preserve">Interest-growth differential</w:t>
            </w:r>
          </w:p>
        </w:tc>
        <w:tc>
          <w:tcPr>
            <w:tcW w:w="6500" w:type="dxa"/>
          </w:tcPr>
          <w:p>
            <w:pPr>
              <w:pStyle w:val="TableText"/>
              <w:keepLines/>
            </w:pPr>
            <w:r>
              <w:rPr>
                <w:sz w:val="18"/>
                <w:szCs w:val="18"/>
              </w:rPr>
              <w:t xml:space="preserve">Difference between the effective interest rate and nominal GDP growth, central to debt dynamics.</w:t>
            </w:r>
          </w:p>
        </w:tc>
      </w:tr>
      <w:tr>
        <w:trPr>
          <w:cantSplit/>
        </w:trPr>
        <w:tc>
          <w:tcPr>
            <w:tcW w:w="2500" w:type="dxa"/>
          </w:tcPr>
          <w:p>
            <w:pPr>
              <w:pStyle w:val="TableText"/>
              <w:keepLines/>
            </w:pPr>
            <w:r>
              <w:rPr>
                <w:sz w:val="18"/>
                <w:szCs w:val="18"/>
              </w:rPr>
              <w:t xml:space="preserve">Percentage point</w:t>
            </w:r>
          </w:p>
        </w:tc>
        <w:tc>
          <w:tcPr>
            <w:tcW w:w="6500" w:type="dxa"/>
          </w:tcPr>
          <w:p>
            <w:pPr>
              <w:pStyle w:val="TableText"/>
              <w:keepLines/>
            </w:pPr>
            <w:r>
              <w:rPr>
                <w:sz w:val="18"/>
                <w:szCs w:val="18"/>
              </w:rPr>
              <w:t xml:space="preserve">Arithmetic difference between two percentages; distinct from percentage growth.</w:t>
            </w:r>
          </w:p>
        </w:tc>
      </w:tr>
    </w:tbl>
    <w:p>
      <w:pPr>
        <w:spacing w:after="80"/>
      </w:pPr>
      <w:r>
        <w:t xml:space="preserve"/>
      </w:r>
    </w:p>
    <w:p>
      <w:pPr>
        <w:jc w:val="center"/>
        <w:spacing w:before="360"/>
      </w:pPr>
      <w:r>
        <w:rPr>
          <w:i/>
          <w:color w:val="64748B"/>
        </w:rPr>
        <w:t xml:space="preserve">End of economic and methodology guide.</w:t>
      </w:r>
    </w:p>
    <w:sectPr>
      <w:headerReference w:type="default" r:id="rId3"/>
      <w:footerReference w:type="default" r:id="rId4"/>
      <w:pgSz w:w="11906" w:h="16838"/>
      <w:pgMar w:top="1134" w:right="900" w:bottom="1134" w:left="900" w:header="560" w:footer="560"/>
    </w:sectPr>
  </w:body>
</w:document>
</file>

<file path=word/fontTable.xml><?xml version="1.0" encoding="utf-8"?>
<w:fonts xmlns:w="http://schemas.openxmlformats.org/wordprocessingml/2006/main">
  <w:font w:name="Aptos"/>
  <w:font w:name="Aptos Display"/>
  <w:font w:name="Cascadia Mono"/>
</w:fonts>
</file>

<file path=word/footer1.xml><?xml version="1.0" encoding="utf-8"?>
<w:ftr xmlns:w="http://schemas.openxmlformats.org/wordprocessingml/2006/main">
  <w:p>
    <w:pPr>
      <w:jc w:val="center"/>
    </w:pPr>
    <w:r>
      <w:rPr>
        <w:color w:val="64748B"/>
        <w:sz w:val="17"/>
      </w:rPr>
      <w:t>India public CapEx transmission  •  </w:t>
    </w:r>
    <w:fldSimple w:instr="PAGE">
      <w:r>
        <w:rPr>
          <w:color w:val="64748B"/>
          <w:sz w:val="17"/>
        </w:rPr>
        <w:t>1</w:t>
      </w:r>
    </w:fldSimple>
  </w:p>
</w:ftr>
</file>

<file path=word/header1.xml><?xml version="1.0" encoding="utf-8"?>
<w:hdr xmlns:w="http://schemas.openxmlformats.org/wordprocessingml/2006/main">
  <w:p>
    <w:pPr>
      <w:jc w:val="right"/>
      <w:pBdr>
        <w:bottom w:val="single" w:sz="4" w:space="5" w:color="CBD5E1"/>
      </w:pBdr>
    </w:pPr>
    <w:r>
      <w:rPr>
        <w:color w:val="64748B"/>
        <w:sz w:val="17"/>
      </w:rPr>
      <w:t>CapEx transmission  |  Economic and methodology guide</w:t>
    </w:r>
  </w:p>
</w:hd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docDefaults>
    <w:rPrDefault>
      <w:rPr>
        <w:rFonts w:ascii="Aptos" w:hAnsi="Aptos"/>
        <w:sz w:val="21"/>
      </w:rPr>
    </w:rPrDefault>
    <w:pPrDefault>
      <w:pPr>
        <w:spacing w:after="140"/>
      </w:pPr>
    </w:pPrDefault>
  </w:docDefaults>
  <w:style w:type="character" w:default="1" w:styleId="DefaultParagraphFont">
    <w:name w:val="Default Paragraph Font"/>
  </w:style>
  <w:style w:type="table" w:default="1" w:styleId="TableNormal">
    <w:name w:val="Normal Table"/>
  </w:style>
  <w:style w:type="paragraph" w:default="1" w:styleId="Normal">
    <w:name w:val="Normal"/>
  </w:style>
  <w:style w:type="paragraph" w:styleId="Title">
    <w:name w:val="Title"/>
    <w:basedOn w:val="Normal"/>
    <w:rPr>
      <w:b/>
      <w:color w:val="17324D"/>
      <w:sz w:val="58"/>
    </w:rPr>
  </w:style>
  <w:style w:type="paragraph" w:styleId="Subtitle">
    <w:name w:val="Subtitle"/>
    <w:basedOn w:val="Normal"/>
    <w:rPr>
      <w:color w:val="64748B"/>
      <w:sz w:val="28"/>
    </w:rPr>
  </w:style>
  <w:style w:type="paragraph" w:styleId="Heading1">
    <w:name w:val="heading 1"/>
    <w:basedOn w:val="Normal"/>
    <w:pPr>
      <w:outlineLvl w:val="0"/>
    </w:pPr>
    <w:rPr>
      <w:b/>
      <w:color w:val="17324D"/>
      <w:sz w:val="38"/>
    </w:rPr>
  </w:style>
  <w:style w:type="paragraph" w:styleId="Heading2">
    <w:name w:val="heading 2"/>
    <w:basedOn w:val="Normal"/>
    <w:pPr>
      <w:outlineLvl w:val="1"/>
    </w:pPr>
    <w:rPr>
      <w:b/>
      <w:color w:val="1F4E78"/>
      <w:sz w:val="29"/>
    </w:rPr>
  </w:style>
  <w:style w:type="paragraph" w:styleId="Heading3">
    <w:name w:val="heading 3"/>
    <w:basedOn w:val="Normal"/>
    <w:pPr>
      <w:outlineLvl w:val="2"/>
    </w:pPr>
    <w:rPr>
      <w:b/>
      <w:color w:val="2E7D6B"/>
      <w:sz w:val="23"/>
    </w:rPr>
  </w:style>
  <w:style w:type="paragraph" w:styleId="ListParagraph">
    <w:name w:val="List Paragraph"/>
    <w:basedOn w:val="Normal"/>
  </w:style>
  <w:style w:type="paragraph" w:styleId="Code">
    <w:name w:val="Code"/>
    <w:basedOn w:val="Normal"/>
    <w:pPr>
      <w:shd w:val="clear" w:fill="F1F5F9"/>
    </w:pPr>
    <w:rPr>
      <w:rFonts w:ascii="Cascadia Mono" w:hAnsi="Cascadia Mono"/>
      <w:sz w:val="18"/>
    </w:rPr>
  </w:style>
  <w:style w:type="paragraph" w:styleId="TableText">
    <w:name w:val="Table Text"/>
    <w:basedOn w:val="Normal"/>
  </w:style>
  <w:style w:type="character" w:styleId="Hyperlink">
    <w:name w:val="Hyperlink"/>
    <w:rPr>
      <w:color w:val="0563C1"/>
      <w:u w:val="single"/>
    </w:rPr>
  </w:style>
  <w:style w:type="table" w:styleId="ArchitectureTable">
    <w:name w:val="Architecture Table"/>
    <w:basedOn w:val="TableNormal"/>
    <w:tblPr>
      <w:tblBorders>
        <w:top w:val="single" w:sz="4" w:color="CBD5E1"/>
        <w:left w:val="single" w:sz="4" w:color="CBD5E1"/>
        <w:bottom w:val="single" w:sz="4" w:color="CBD5E1"/>
        <w:right w:val="single" w:sz="4" w:color="CBD5E1"/>
        <w:insideH w:val="single" w:sz="4" w:color="CBD5E1"/>
        <w:insideV w:val="single" w:sz="4" w:color="CBD5E1"/>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header" Target="header1.xml"/>
<Relationship Id="rId4" Type="http://schemas.openxmlformats.org/officeDocument/2006/relationships/footer" Target="footer1.xml"/>
<Relationship Id="rId5" Type="http://schemas.openxmlformats.org/officeDocument/2006/relationships/fontTable" Target="fontTable.xml"/>

</Relationships>
</file>

<file path=docProps/app.xml><?xml version="1.0" encoding="utf-8"?>
<Properties xmlns="http://schemas.openxmlformats.org/officeDocument/2006/extended-properties">
  <Application>2026DB documentation generator</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India’s Public CapEx Transmission: Economic and Methodology Guide</dc:title>
  <dc:subject>India public capital-expenditure transmission research</dc:subject>
  <dc:creator>2026DB project</dc:creator>
  <cp:lastModifiedBy>Codex</cp:lastModifiedBy>
  <dcterms:created xsi:type="dcterms:W3CDTF">2026-08-03T13:35:33.155000+00:00</dcterms:created>
  <dcterms:modified xsi:type="dcterms:W3CDTF">2026-08-03T13:35:33.155000+00:00</dcterms:modified>
  <cp:keywords>India; public capital expenditure; fiscal policy; investment; Nifty; debt sustainability; methodology</cp:keywords>
</cp:coreProperties>
</file>