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after="240"/>
      </w:pPr>
      <w:r>
        <w:rPr>
          <w:b/>
          <w:color w:val="D97706"/>
          <w:sz w:val="18"/>
          <w:szCs w:val="18"/>
        </w:rPr>
        <w:t xml:space="preserve">2026DB RESEARCH PROGRAMME</w:t>
      </w:r>
    </w:p>
    <w:p>
      <w:pPr>
        <w:pStyle w:val="Title"/>
        <w:keepNext/>
      </w:pPr>
      <w:r>
        <w:t xml:space="preserve">India’s Public CapEx Transmission</w:t>
      </w:r>
    </w:p>
    <w:p>
      <w:pPr>
        <w:pStyle w:val="Subtitle"/>
      </w:pPr>
      <w:r>
        <w:t xml:space="preserve">Technical guide to sources, ETL, contracts, frontend integration, verification and deployment</w:t>
      </w:r>
    </w:p>
    <w:p>
      <w:pPr>
        <w:spacing w:after="320"/>
      </w:pPr>
      <w:r>
        <w:t xml:space="preserve"/>
      </w:r>
    </w:p>
    <w:p>
      <w:pPr>
        <w:keepLines/>
        <w:spacing w:before="120" w:after="160"/>
        <w:ind w:left="180"/>
        <w:pBdr>
          <w:left w:val="single" w:sz="18" w:space="10" w:color="1F4E78"/>
        </w:pBdr>
        <w:shd w:val="clear" w:color="auto" w:fill="EAF2F8"/>
      </w:pPr>
      <w:r>
        <w:rPr>
          <w:b/>
          <w:color w:val="1F4E78"/>
        </w:rPr>
        <w:t xml:space="preserve">Purpose  </w:t>
      </w:r>
      <w:r>
        <w:t xml:space="preserve">This document is for data engineers, software engineers, maintainers and technical reviewers. It maps each research stage to source acquisition, transformation code, output contracts, promotion routes, frontend adapters and operational checks.</w:t>
      </w:r>
    </w:p>
    <w:tbl>
      <w:tblPr>
        <w:tblStyle w:val="ArchitectureTable"/>
        <w:tblW w:w="0" w:type="auto"/>
        <w:tblLayout w:type="fixed"/>
      </w:tblPr>
      <w:tblGrid>
        <w:gridCol w:w="2600"/>
        <w:gridCol w:w="6400"/>
      </w:tblGrid>
      <w:tr>
        <w:trPr>
          <w:tblHeader/>
          <w:cantSplit/>
        </w:trPr>
        <w:tc>
          <w:tcPr>
            <w:tcW w:w="2600" w:type="dxa"/>
            <w:shd w:val="clear" w:color="auto" w:fill="1F4E78"/>
          </w:tcPr>
          <w:p>
            <w:pPr>
              <w:pStyle w:val="TableText"/>
              <w:keepLines/>
            </w:pPr>
            <w:r>
              <w:rPr>
                <w:b/>
                <w:color w:val="FFFFFF"/>
                <w:sz w:val="18"/>
                <w:szCs w:val="18"/>
              </w:rPr>
              <w:t xml:space="preserve">Document control</w:t>
            </w:r>
          </w:p>
        </w:tc>
        <w:tc>
          <w:tcPr>
            <w:tcW w:w="6400" w:type="dxa"/>
            <w:shd w:val="clear" w:color="auto" w:fill="1F4E78"/>
          </w:tcPr>
          <w:p>
            <w:pPr>
              <w:pStyle w:val="TableText"/>
              <w:keepLines/>
            </w:pPr>
            <w:r>
              <w:rPr>
                <w:b/>
                <w:color w:val="FFFFFF"/>
                <w:sz w:val="18"/>
                <w:szCs w:val="18"/>
              </w:rPr>
              <w:t xml:space="preserve">Value</w:t>
            </w:r>
          </w:p>
        </w:tc>
      </w:tr>
      <w:tr>
        <w:trPr>
          <w:cantSplit/>
        </w:trPr>
        <w:tc>
          <w:tcPr>
            <w:tcW w:w="2600" w:type="dxa"/>
          </w:tcPr>
          <w:p>
            <w:pPr>
              <w:pStyle w:val="TableText"/>
              <w:keepLines/>
            </w:pPr>
            <w:r>
              <w:rPr>
                <w:sz w:val="18"/>
                <w:szCs w:val="18"/>
              </w:rPr>
              <w:t xml:space="preserve">Generated</w:t>
            </w:r>
          </w:p>
        </w:tc>
        <w:tc>
          <w:tcPr>
            <w:tcW w:w="6400" w:type="dxa"/>
          </w:tcPr>
          <w:p>
            <w:pPr>
              <w:pStyle w:val="TableText"/>
              <w:keepLines/>
            </w:pPr>
            <w:r>
              <w:rPr>
                <w:sz w:val="18"/>
                <w:szCs w:val="18"/>
              </w:rPr>
              <w:t xml:space="preserve">03 August 2026, 13:35 UTC</w:t>
            </w:r>
          </w:p>
        </w:tc>
      </w:tr>
      <w:tr>
        <w:trPr>
          <w:cantSplit/>
        </w:trPr>
        <w:tc>
          <w:tcPr>
            <w:tcW w:w="2600" w:type="dxa"/>
          </w:tcPr>
          <w:p>
            <w:pPr>
              <w:pStyle w:val="TableText"/>
              <w:keepLines/>
            </w:pPr>
            <w:r>
              <w:rPr>
                <w:sz w:val="18"/>
                <w:szCs w:val="18"/>
              </w:rPr>
              <w:t xml:space="preserve">Repository revision</w:t>
            </w:r>
          </w:p>
        </w:tc>
        <w:tc>
          <w:tcPr>
            <w:tcW w:w="6400" w:type="dxa"/>
          </w:tcPr>
          <w:p>
            <w:pPr>
              <w:pStyle w:val="TableText"/>
              <w:keepLines/>
            </w:pPr>
            <w:r>
              <w:rPr>
                <w:sz w:val="18"/>
                <w:szCs w:val="18"/>
              </w:rPr>
              <w:t xml:space="preserve">8ed7615</w:t>
            </w:r>
          </w:p>
        </w:tc>
      </w:tr>
      <w:tr>
        <w:trPr>
          <w:cantSplit/>
        </w:trPr>
        <w:tc>
          <w:tcPr>
            <w:tcW w:w="2600" w:type="dxa"/>
          </w:tcPr>
          <w:p>
            <w:pPr>
              <w:pStyle w:val="TableText"/>
              <w:keepLines/>
            </w:pPr>
            <w:r>
              <w:rPr>
                <w:sz w:val="18"/>
                <w:szCs w:val="18"/>
              </w:rPr>
              <w:t xml:space="preserve">Research lens</w:t>
            </w:r>
          </w:p>
        </w:tc>
        <w:tc>
          <w:tcPr>
            <w:tcW w:w="6400" w:type="dxa"/>
          </w:tcPr>
          <w:p>
            <w:pPr>
              <w:pStyle w:val="TableText"/>
              <w:keepLines/>
            </w:pPr>
            <w:r>
              <w:rPr>
                <w:sz w:val="18"/>
                <w:szCs w:val="18"/>
              </w:rPr>
              <w:t xml:space="preserve">India’s public CapEx transmission</w:t>
            </w:r>
          </w:p>
        </w:tc>
      </w:tr>
      <w:tr>
        <w:trPr>
          <w:cantSplit/>
        </w:trPr>
        <w:tc>
          <w:tcPr>
            <w:tcW w:w="2600" w:type="dxa"/>
          </w:tcPr>
          <w:p>
            <w:pPr>
              <w:pStyle w:val="TableText"/>
              <w:keepLines/>
            </w:pPr>
            <w:r>
              <w:rPr>
                <w:sz w:val="18"/>
                <w:szCs w:val="18"/>
              </w:rPr>
              <w:t xml:space="preserve">Status</w:t>
            </w:r>
          </w:p>
        </w:tc>
        <w:tc>
          <w:tcPr>
            <w:tcW w:w="6400" w:type="dxa"/>
          </w:tcPr>
          <w:p>
            <w:pPr>
              <w:pStyle w:val="TableText"/>
              <w:keepLines/>
            </w:pPr>
            <w:r>
              <w:rPr>
                <w:sz w:val="18"/>
                <w:szCs w:val="18"/>
              </w:rPr>
              <w:t xml:space="preserve">Methodology and implementation documentation</w:t>
            </w:r>
          </w:p>
        </w:tc>
      </w:tr>
      <w:tr>
        <w:trPr>
          <w:cantSplit/>
        </w:trPr>
        <w:tc>
          <w:tcPr>
            <w:tcW w:w="2600" w:type="dxa"/>
          </w:tcPr>
          <w:p>
            <w:pPr>
              <w:pStyle w:val="TableText"/>
              <w:keepLines/>
            </w:pPr>
            <w:r>
              <w:rPr>
                <w:sz w:val="18"/>
                <w:szCs w:val="18"/>
              </w:rPr>
              <w:t xml:space="preserve">Primary question</w:t>
            </w:r>
          </w:p>
        </w:tc>
        <w:tc>
          <w:tcPr>
            <w:tcW w:w="6400" w:type="dxa"/>
          </w:tcPr>
          <w:p>
            <w:pPr>
              <w:pStyle w:val="TableText"/>
              <w:keepLines/>
            </w:pPr>
            <w:r>
              <w:rPr>
                <w:sz w:val="18"/>
                <w:szCs w:val="18"/>
              </w:rPr>
              <w:t xml:space="preserve">Did India’s public CapEx push transmit into sectoral and real economic growth strongly enough to justify its fiscal cost?</w:t>
            </w:r>
          </w:p>
        </w:tc>
      </w:tr>
    </w:tbl>
    <w:p>
      <w:pPr>
        <w:spacing w:after="80"/>
      </w:pPr>
      <w:r>
        <w:t xml:space="preserve"/>
      </w:r>
    </w:p>
    <w:p>
      <w:r>
        <w:br w:type="page"/>
      </w:r>
    </w:p>
    <w:p>
      <w:pPr>
        <w:pStyle w:val="Heading1"/>
        <w:keepNext/>
      </w:pPr>
      <w:r>
        <w:t xml:space="preserve">Contents</w:t>
      </w:r>
    </w:p>
    <w:p>
      <w:r>
        <w:t xml:space="preserve">This field updates automatically when the document is opened in Microsoft Word. If it does not, select the field and choose Update Field.</w:t>
      </w:r>
    </w:p>
    <w:p>
      <w:fldSimple w:instr="TOC \o &quot;1-3&quot; \h \z \u">
        <w:r>
          <w:rPr>
            <w:color w:val="64748B"/>
          </w:rPr>
          <w:t>Update this field to generate the table of contents.</w:t>
        </w:r>
      </w:fldSimple>
    </w:p>
    <w:p>
      <w:r>
        <w:br w:type="page"/>
      </w:r>
    </w:p>
    <w:p>
      <w:pPr>
        <w:pStyle w:val="Heading1"/>
        <w:keepNext/>
      </w:pPr>
      <w:r>
        <w:t xml:space="preserve">1. System overview</w:t>
      </w:r>
    </w:p>
    <w:p>
      <w:r>
        <w:t xml:space="preserve">The CapEx research lens is a static, reproducible analytical product. Python jobs acquire or consume source data, preserve source evidence, transform observations, validate complete payloads and publish strict JSON. A promotion job revalidates processed artifacts before copying them to the Vite public directory. The generated catalogue maps stable asset IDs to schemas and presentation components. React Query loads static JSON at runtime; runtime guards and component-schema mappings prevent an artifact from reaching an incompatible visualisation.</w:t>
      </w:r>
    </w:p>
    <w:p>
      <w:pPr>
        <w:pStyle w:val="Code"/>
        <w:keepLines/>
      </w:pPr>
      <w:r>
        <w:t xml:space="preserve">Official source / frozen source series → extractor or validated upstream artifact → transformation → schema validation → atomic data/processed JSON → validated promotion → frontend/public/data → catalogue → runtime guard → specialised React component</w:t>
      </w:r>
    </w:p>
    <w:p>
      <w:pPr>
        <w:keepLines/>
        <w:spacing w:before="120" w:after="160"/>
        <w:ind w:left="180"/>
        <w:pBdr>
          <w:left w:val="single" w:sz="18" w:space="10" w:color="1F4E78"/>
        </w:pBdr>
        <w:shd w:val="clear" w:color="auto" w:fill="EAF2F8"/>
      </w:pPr>
      <w:r>
        <w:rPr>
          <w:b/>
          <w:color w:val="1F4E78"/>
        </w:rPr>
        <w:t xml:space="preserve">Deployment model  </w:t>
      </w:r>
      <w:r>
        <w:t xml:space="preserve">There is no application API and no deployment-platform configuration in the repository. The deployable unit is frontend/dist, produced by Vite. Any static host can serve it if deep routes fall back to index.html and /data assets are served with the build.</w:t>
      </w:r>
    </w:p>
    <w:p>
      <w:pPr>
        <w:pStyle w:val="Heading1"/>
        <w:keepNext/>
      </w:pPr>
      <w:r>
        <w:t xml:space="preserve">2. Repository responsibility map</w:t>
      </w:r>
    </w:p>
    <w:tbl>
      <w:tblPr>
        <w:tblStyle w:val="ArchitectureTable"/>
        <w:tblW w:w="0" w:type="auto"/>
        <w:tblLayout w:type="fixed"/>
      </w:tblPr>
      <w:tblGrid>
        <w:gridCol w:w="2500"/>
        <w:gridCol w:w="4300"/>
        <w:gridCol w:w="2200"/>
      </w:tblGrid>
      <w:tr>
        <w:trPr>
          <w:tblHeader/>
          <w:cantSplit/>
        </w:trPr>
        <w:tc>
          <w:tcPr>
            <w:tcW w:w="2500" w:type="dxa"/>
            <w:shd w:val="clear" w:color="auto" w:fill="1F4E78"/>
          </w:tcPr>
          <w:p>
            <w:pPr>
              <w:pStyle w:val="TableText"/>
              <w:keepLines/>
            </w:pPr>
            <w:r>
              <w:rPr>
                <w:b/>
                <w:color w:val="FFFFFF"/>
                <w:sz w:val="15"/>
                <w:szCs w:val="15"/>
              </w:rPr>
              <w:t xml:space="preserve">Location</w:t>
            </w:r>
          </w:p>
        </w:tc>
        <w:tc>
          <w:tcPr>
            <w:tcW w:w="4300" w:type="dxa"/>
            <w:shd w:val="clear" w:color="auto" w:fill="1F4E78"/>
          </w:tcPr>
          <w:p>
            <w:pPr>
              <w:pStyle w:val="TableText"/>
              <w:keepLines/>
            </w:pPr>
            <w:r>
              <w:rPr>
                <w:b/>
                <w:color w:val="FFFFFF"/>
                <w:sz w:val="15"/>
                <w:szCs w:val="15"/>
              </w:rPr>
              <w:t xml:space="preserve">CapEx responsibility</w:t>
            </w:r>
          </w:p>
        </w:tc>
        <w:tc>
          <w:tcPr>
            <w:tcW w:w="2200" w:type="dxa"/>
            <w:shd w:val="clear" w:color="auto" w:fill="1F4E78"/>
          </w:tcPr>
          <w:p>
            <w:pPr>
              <w:pStyle w:val="TableText"/>
              <w:keepLines/>
            </w:pPr>
            <w:r>
              <w:rPr>
                <w:b/>
                <w:color w:val="FFFFFF"/>
                <w:sz w:val="15"/>
                <w:szCs w:val="15"/>
              </w:rPr>
              <w:t xml:space="preserve">Important invariant</w:t>
            </w:r>
          </w:p>
        </w:tc>
      </w:tr>
      <w:tr>
        <w:trPr>
          <w:cantSplit/>
        </w:trPr>
        <w:tc>
          <w:tcPr>
            <w:tcW w:w="2500" w:type="dxa"/>
          </w:tcPr>
          <w:p>
            <w:pPr>
              <w:pStyle w:val="TableText"/>
              <w:keepLines/>
            </w:pPr>
            <w:r>
              <w:rPr>
                <w:sz w:val="15"/>
                <w:szCs w:val="15"/>
              </w:rPr>
              <w:t xml:space="preserve">scripts/config/capex_analysis.py</w:t>
            </w:r>
          </w:p>
        </w:tc>
        <w:tc>
          <w:tcPr>
            <w:tcW w:w="4300" w:type="dxa"/>
          </w:tcPr>
          <w:p>
            <w:pPr>
              <w:pStyle w:val="TableText"/>
              <w:keepLines/>
            </w:pPr>
            <w:r>
              <w:rPr>
                <w:sz w:val="15"/>
                <w:szCs w:val="15"/>
              </w:rPr>
              <w:t xml:space="preserve">Frozen market definitions, benchmark/control roles, corporate basket, lags and output paths.</w:t>
            </w:r>
          </w:p>
        </w:tc>
        <w:tc>
          <w:tcPr>
            <w:tcW w:w="2200" w:type="dxa"/>
          </w:tcPr>
          <w:p>
            <w:pPr>
              <w:pStyle w:val="TableText"/>
              <w:keepLines/>
            </w:pPr>
            <w:r>
              <w:rPr>
                <w:sz w:val="15"/>
                <w:szCs w:val="15"/>
              </w:rPr>
              <w:t xml:space="preserve">Machine keys and research scope are declared before transforms.</w:t>
            </w:r>
          </w:p>
        </w:tc>
      </w:tr>
      <w:tr>
        <w:trPr>
          <w:cantSplit/>
        </w:trPr>
        <w:tc>
          <w:tcPr>
            <w:tcW w:w="2500" w:type="dxa"/>
          </w:tcPr>
          <w:p>
            <w:pPr>
              <w:pStyle w:val="TableText"/>
              <w:keepLines/>
            </w:pPr>
            <w:r>
              <w:rPr>
                <w:sz w:val="15"/>
                <w:szCs w:val="15"/>
              </w:rPr>
              <w:t xml:space="preserve">scripts/extractors/nifty_indices.py</w:t>
            </w:r>
          </w:p>
        </w:tc>
        <w:tc>
          <w:tcPr>
            <w:tcW w:w="4300" w:type="dxa"/>
          </w:tcPr>
          <w:p>
            <w:pPr>
              <w:pStyle w:val="TableText"/>
              <w:keepLines/>
            </w:pPr>
            <w:r>
              <w:rPr>
                <w:sz w:val="15"/>
                <w:szCs w:val="15"/>
              </w:rPr>
              <w:t xml:space="preserve">Official Nifty TRI sessions, annual request windows and immutable JSON landing.</w:t>
            </w:r>
          </w:p>
        </w:tc>
        <w:tc>
          <w:tcPr>
            <w:tcW w:w="2200" w:type="dxa"/>
          </w:tcPr>
          <w:p>
            <w:pPr>
              <w:pStyle w:val="TableText"/>
              <w:keepLines/>
            </w:pPr>
            <w:r>
              <w:rPr>
                <w:sz w:val="15"/>
                <w:szCs w:val="15"/>
              </w:rPr>
              <w:t xml:space="preserve">Every market must return observations; one common sample is enforced later.</w:t>
            </w:r>
          </w:p>
        </w:tc>
      </w:tr>
      <w:tr>
        <w:trPr>
          <w:cantSplit/>
        </w:trPr>
        <w:tc>
          <w:tcPr>
            <w:tcW w:w="2500" w:type="dxa"/>
          </w:tcPr>
          <w:p>
            <w:pPr>
              <w:pStyle w:val="TableText"/>
              <w:keepLines/>
            </w:pPr>
            <w:r>
              <w:rPr>
                <w:sz w:val="15"/>
                <w:szCs w:val="15"/>
              </w:rPr>
              <w:t xml:space="preserve">scripts/extractors/corporate_fundamentals.py</w:t>
            </w:r>
          </w:p>
        </w:tc>
        <w:tc>
          <w:tcPr>
            <w:tcW w:w="4300" w:type="dxa"/>
          </w:tcPr>
          <w:p>
            <w:pPr>
              <w:pStyle w:val="TableText"/>
              <w:keepLines/>
            </w:pPr>
            <w:r>
              <w:rPr>
                <w:sz w:val="15"/>
                <w:szCs w:val="15"/>
              </w:rPr>
              <w:t xml:space="preserve">Company statement extraction and raw landing.</w:t>
            </w:r>
          </w:p>
        </w:tc>
        <w:tc>
          <w:tcPr>
            <w:tcW w:w="2200" w:type="dxa"/>
          </w:tcPr>
          <w:p>
            <w:pPr>
              <w:pStyle w:val="TableText"/>
              <w:keepLines/>
            </w:pPr>
            <w:r>
              <w:rPr>
                <w:sz w:val="15"/>
                <w:szCs w:val="15"/>
              </w:rPr>
              <w:t xml:space="preserve">The basket is frozen; provider field fallbacks are explicit.</w:t>
            </w:r>
          </w:p>
        </w:tc>
      </w:tr>
      <w:tr>
        <w:trPr>
          <w:cantSplit/>
        </w:trPr>
        <w:tc>
          <w:tcPr>
            <w:tcW w:w="2500" w:type="dxa"/>
          </w:tcPr>
          <w:p>
            <w:pPr>
              <w:pStyle w:val="TableText"/>
              <w:keepLines/>
            </w:pPr>
            <w:r>
              <w:rPr>
                <w:sz w:val="15"/>
                <w:szCs w:val="15"/>
              </w:rPr>
              <w:t xml:space="preserve">scripts/build_capex_delivery.py</w:t>
            </w:r>
          </w:p>
        </w:tc>
        <w:tc>
          <w:tcPr>
            <w:tcW w:w="4300" w:type="dxa"/>
          </w:tcPr>
          <w:p>
            <w:pPr>
              <w:pStyle w:val="TableText"/>
              <w:keepLines/>
            </w:pPr>
            <w:r>
              <w:rPr>
                <w:sz w:val="15"/>
                <w:szCs w:val="15"/>
              </w:rPr>
              <w:t xml:space="preserve">Frozen official allocation, physical-delivery and IIP series plus validated payload builders.</w:t>
            </w:r>
          </w:p>
        </w:tc>
        <w:tc>
          <w:tcPr>
            <w:tcW w:w="2200" w:type="dxa"/>
          </w:tcPr>
          <w:p>
            <w:pPr>
              <w:pStyle w:val="TableText"/>
              <w:keepLines/>
            </w:pPr>
            <w:r>
              <w:rPr>
                <w:sz w:val="15"/>
                <w:szCs w:val="15"/>
              </w:rPr>
              <w:t xml:space="preserve">Financial and physical units are published separately.</w:t>
            </w:r>
          </w:p>
        </w:tc>
      </w:tr>
      <w:tr>
        <w:trPr>
          <w:cantSplit/>
        </w:trPr>
        <w:tc>
          <w:tcPr>
            <w:tcW w:w="2500" w:type="dxa"/>
          </w:tcPr>
          <w:p>
            <w:pPr>
              <w:pStyle w:val="TableText"/>
              <w:keepLines/>
            </w:pPr>
            <w:r>
              <w:rPr>
                <w:sz w:val="15"/>
                <w:szCs w:val="15"/>
              </w:rPr>
              <w:t xml:space="preserve">scripts/build_capex_depth.py</w:t>
            </w:r>
          </w:p>
        </w:tc>
        <w:tc>
          <w:tcPr>
            <w:tcW w:w="4300" w:type="dxa"/>
          </w:tcPr>
          <w:p>
            <w:pPr>
              <w:pStyle w:val="TableText"/>
              <w:keepLines/>
            </w:pPr>
            <w:r>
              <w:rPr>
                <w:sz w:val="15"/>
                <w:szCs w:val="15"/>
              </w:rPr>
              <w:t xml:space="preserve">Official project-quality and state-table acquisition plus depth-stage publication.</w:t>
            </w:r>
          </w:p>
        </w:tc>
        <w:tc>
          <w:tcPr>
            <w:tcW w:w="2200" w:type="dxa"/>
          </w:tcPr>
          <w:p>
            <w:pPr>
              <w:pStyle w:val="TableText"/>
              <w:keepLines/>
            </w:pPr>
            <w:r>
              <w:rPr>
                <w:sz w:val="15"/>
                <w:szCs w:val="15"/>
              </w:rPr>
              <w:t xml:space="preserve">Archived publication IDs are frozen; every response is checksum-landed.</w:t>
            </w:r>
          </w:p>
        </w:tc>
      </w:tr>
      <w:tr>
        <w:trPr>
          <w:cantSplit/>
        </w:trPr>
        <w:tc>
          <w:tcPr>
            <w:tcW w:w="2500" w:type="dxa"/>
          </w:tcPr>
          <w:p>
            <w:pPr>
              <w:pStyle w:val="TableText"/>
              <w:keepLines/>
            </w:pPr>
            <w:r>
              <w:rPr>
                <w:sz w:val="15"/>
                <w:szCs w:val="15"/>
              </w:rPr>
              <w:t xml:space="preserve">scripts/transforms/capex_depth.py</w:t>
            </w:r>
          </w:p>
        </w:tc>
        <w:tc>
          <w:tcPr>
            <w:tcW w:w="4300" w:type="dxa"/>
          </w:tcPr>
          <w:p>
            <w:pPr>
              <w:pStyle w:val="TableText"/>
              <w:keepLines/>
            </w:pPr>
            <w:r>
              <w:rPr>
                <w:sz w:val="15"/>
                <w:szCs w:val="15"/>
              </w:rPr>
              <w:t xml:space="preserve">Project blocks, state panel, fixed effects and crowding-in gates.</w:t>
            </w:r>
          </w:p>
        </w:tc>
        <w:tc>
          <w:tcPr>
            <w:tcW w:w="2200" w:type="dxa"/>
          </w:tcPr>
          <w:p>
            <w:pPr>
              <w:pStyle w:val="TableText"/>
              <w:keepLines/>
            </w:pPr>
            <w:r>
              <w:rPr>
                <w:sz w:val="15"/>
                <w:szCs w:val="15"/>
              </w:rPr>
              <w:t xml:space="preserve">Causal language is prohibited; sample eligibility is explicit.</w:t>
            </w:r>
          </w:p>
        </w:tc>
      </w:tr>
      <w:tr>
        <w:trPr>
          <w:cantSplit/>
        </w:trPr>
        <w:tc>
          <w:tcPr>
            <w:tcW w:w="2500" w:type="dxa"/>
          </w:tcPr>
          <w:p>
            <w:pPr>
              <w:pStyle w:val="TableText"/>
              <w:keepLines/>
            </w:pPr>
            <w:r>
              <w:rPr>
                <w:sz w:val="15"/>
                <w:szCs w:val="15"/>
              </w:rPr>
              <w:t xml:space="preserve">scripts/transforms/capex_analysis.py</w:t>
            </w:r>
          </w:p>
        </w:tc>
        <w:tc>
          <w:tcPr>
            <w:tcW w:w="4300" w:type="dxa"/>
          </w:tcPr>
          <w:p>
            <w:pPr>
              <w:pStyle w:val="TableText"/>
              <w:keepLines/>
            </w:pPr>
            <w:r>
              <w:rPr>
                <w:sz w:val="15"/>
                <w:szCs w:val="15"/>
              </w:rPr>
              <w:t xml:space="preserve">Market wealth, lead/lag alignment, correlations and deterministic hypotheses.</w:t>
            </w:r>
          </w:p>
        </w:tc>
        <w:tc>
          <w:tcPr>
            <w:tcW w:w="2200" w:type="dxa"/>
          </w:tcPr>
          <w:p>
            <w:pPr>
              <w:pStyle w:val="TableText"/>
              <w:keepLines/>
            </w:pPr>
            <w:r>
              <w:rPr>
                <w:sz w:val="15"/>
                <w:szCs w:val="15"/>
              </w:rPr>
              <w:t xml:space="preserve">No causal claim; fixed windows; missing pairs are not imputed.</w:t>
            </w:r>
          </w:p>
        </w:tc>
      </w:tr>
      <w:tr>
        <w:trPr>
          <w:cantSplit/>
        </w:trPr>
        <w:tc>
          <w:tcPr>
            <w:tcW w:w="2500" w:type="dxa"/>
          </w:tcPr>
          <w:p>
            <w:pPr>
              <w:pStyle w:val="TableText"/>
              <w:keepLines/>
            </w:pPr>
            <w:r>
              <w:rPr>
                <w:sz w:val="15"/>
                <w:szCs w:val="15"/>
              </w:rPr>
              <w:t xml:space="preserve">scripts/transforms/corporate_fundamentals.py</w:t>
            </w:r>
          </w:p>
        </w:tc>
        <w:tc>
          <w:tcPr>
            <w:tcW w:w="4300" w:type="dxa"/>
          </w:tcPr>
          <w:p>
            <w:pPr>
              <w:pStyle w:val="TableText"/>
              <w:keepLines/>
            </w:pPr>
            <w:r>
              <w:rPr>
                <w:sz w:val="15"/>
                <w:szCs w:val="15"/>
              </w:rPr>
              <w:t xml:space="preserve">Within-company growth and group medians.</w:t>
            </w:r>
          </w:p>
        </w:tc>
        <w:tc>
          <w:tcPr>
            <w:tcW w:w="2200" w:type="dxa"/>
          </w:tcPr>
          <w:p>
            <w:pPr>
              <w:pStyle w:val="TableText"/>
              <w:keepLines/>
            </w:pPr>
            <w:r>
              <w:rPr>
                <w:sz w:val="15"/>
                <w:szCs w:val="15"/>
              </w:rPr>
              <w:t xml:space="preserve">Aggregate after company-level growth.</w:t>
            </w:r>
          </w:p>
        </w:tc>
      </w:tr>
      <w:tr>
        <w:trPr>
          <w:cantSplit/>
        </w:trPr>
        <w:tc>
          <w:tcPr>
            <w:tcW w:w="2500" w:type="dxa"/>
          </w:tcPr>
          <w:p>
            <w:pPr>
              <w:pStyle w:val="TableText"/>
              <w:keepLines/>
            </w:pPr>
            <w:r>
              <w:rPr>
                <w:sz w:val="15"/>
                <w:szCs w:val="15"/>
              </w:rPr>
              <w:t xml:space="preserve">scripts/build_capex_analysis.py</w:t>
            </w:r>
          </w:p>
        </w:tc>
        <w:tc>
          <w:tcPr>
            <w:tcW w:w="4300" w:type="dxa"/>
          </w:tcPr>
          <w:p>
            <w:pPr>
              <w:pStyle w:val="TableText"/>
              <w:keepLines/>
            </w:pPr>
            <w:r>
              <w:rPr>
                <w:sz w:val="15"/>
                <w:szCs w:val="15"/>
              </w:rPr>
              <w:t xml:space="preserve">Main orchestration over structural inputs, markets, firms and all thirteen outputs.</w:t>
            </w:r>
          </w:p>
        </w:tc>
        <w:tc>
          <w:tcPr>
            <w:tcW w:w="2200" w:type="dxa"/>
          </w:tcPr>
          <w:p>
            <w:pPr>
              <w:pStyle w:val="TableText"/>
              <w:keepLines/>
            </w:pPr>
            <w:r>
              <w:rPr>
                <w:sz w:val="15"/>
                <w:szCs w:val="15"/>
              </w:rPr>
              <w:t xml:space="preserve">One command can regenerate the complete lens.</w:t>
            </w:r>
          </w:p>
        </w:tc>
      </w:tr>
      <w:tr>
        <w:trPr>
          <w:cantSplit/>
        </w:trPr>
        <w:tc>
          <w:tcPr>
            <w:tcW w:w="2500" w:type="dxa"/>
          </w:tcPr>
          <w:p>
            <w:pPr>
              <w:pStyle w:val="TableText"/>
              <w:keepLines/>
            </w:pPr>
            <w:r>
              <w:rPr>
                <w:sz w:val="15"/>
                <w:szCs w:val="15"/>
              </w:rPr>
              <w:t xml:space="preserve">scripts/validators/</w:t>
            </w:r>
          </w:p>
        </w:tc>
        <w:tc>
          <w:tcPr>
            <w:tcW w:w="4300" w:type="dxa"/>
          </w:tcPr>
          <w:p>
            <w:pPr>
              <w:pStyle w:val="TableText"/>
              <w:keepLines/>
            </w:pPr>
            <w:r>
              <w:rPr>
                <w:sz w:val="15"/>
                <w:szCs w:val="15"/>
              </w:rPr>
              <w:t xml:space="preserve">Draft 2020-12 schema validation and semantic evidence checks.</w:t>
            </w:r>
          </w:p>
        </w:tc>
        <w:tc>
          <w:tcPr>
            <w:tcW w:w="2200" w:type="dxa"/>
          </w:tcPr>
          <w:p>
            <w:pPr>
              <w:pStyle w:val="TableText"/>
              <w:keepLines/>
            </w:pPr>
            <w:r>
              <w:rPr>
                <w:sz w:val="15"/>
                <w:szCs w:val="15"/>
              </w:rPr>
              <w:t xml:space="preserve">Reject a candidate before replacement.</w:t>
            </w:r>
          </w:p>
        </w:tc>
      </w:tr>
      <w:tr>
        <w:trPr>
          <w:cantSplit/>
        </w:trPr>
        <w:tc>
          <w:tcPr>
            <w:tcW w:w="2500" w:type="dxa"/>
          </w:tcPr>
          <w:p>
            <w:pPr>
              <w:pStyle w:val="TableText"/>
              <w:keepLines/>
            </w:pPr>
            <w:r>
              <w:rPr>
                <w:sz w:val="15"/>
                <w:szCs w:val="15"/>
              </w:rPr>
              <w:t xml:space="preserve">scripts/exporters/json_export.py</w:t>
            </w:r>
          </w:p>
        </w:tc>
        <w:tc>
          <w:tcPr>
            <w:tcW w:w="4300" w:type="dxa"/>
          </w:tcPr>
          <w:p>
            <w:pPr>
              <w:pStyle w:val="TableText"/>
              <w:keepLines/>
            </w:pPr>
            <w:r>
              <w:rPr>
                <w:sz w:val="15"/>
                <w:szCs w:val="15"/>
              </w:rPr>
              <w:t xml:space="preserve">Strict JSON and atomic filesystem replacement.</w:t>
            </w:r>
          </w:p>
        </w:tc>
        <w:tc>
          <w:tcPr>
            <w:tcW w:w="2200" w:type="dxa"/>
          </w:tcPr>
          <w:p>
            <w:pPr>
              <w:pStyle w:val="TableText"/>
              <w:keepLines/>
            </w:pPr>
            <w:r>
              <w:rPr>
                <w:sz w:val="15"/>
                <w:szCs w:val="15"/>
              </w:rPr>
              <w:t xml:space="preserve">No NaN or partial file reaches processed data.</w:t>
            </w:r>
          </w:p>
        </w:tc>
      </w:tr>
      <w:tr>
        <w:trPr>
          <w:cantSplit/>
        </w:trPr>
        <w:tc>
          <w:tcPr>
            <w:tcW w:w="2500" w:type="dxa"/>
          </w:tcPr>
          <w:p>
            <w:pPr>
              <w:pStyle w:val="TableText"/>
              <w:keepLines/>
            </w:pPr>
            <w:r>
              <w:rPr>
                <w:sz w:val="15"/>
                <w:szCs w:val="15"/>
              </w:rPr>
              <w:t xml:space="preserve">scripts/promote_processed_data.py</w:t>
            </w:r>
          </w:p>
        </w:tc>
        <w:tc>
          <w:tcPr>
            <w:tcW w:w="4300" w:type="dxa"/>
          </w:tcPr>
          <w:p>
            <w:pPr>
              <w:pStyle w:val="TableText"/>
              <w:keepLines/>
            </w:pPr>
            <w:r>
              <w:rPr>
                <w:sz w:val="15"/>
                <w:szCs w:val="15"/>
              </w:rPr>
              <w:t xml:space="preserve">Contract registry and processed-to-public promotion.</w:t>
            </w:r>
          </w:p>
        </w:tc>
        <w:tc>
          <w:tcPr>
            <w:tcW w:w="2200" w:type="dxa"/>
          </w:tcPr>
          <w:p>
            <w:pPr>
              <w:pStyle w:val="TableText"/>
              <w:keepLines/>
            </w:pPr>
            <w:r>
              <w:rPr>
                <w:sz w:val="15"/>
                <w:szCs w:val="15"/>
              </w:rPr>
              <w:t xml:space="preserve">Every CapEx output has an explicit route.</w:t>
            </w:r>
          </w:p>
        </w:tc>
      </w:tr>
      <w:tr>
        <w:trPr>
          <w:cantSplit/>
        </w:trPr>
        <w:tc>
          <w:tcPr>
            <w:tcW w:w="2500" w:type="dxa"/>
          </w:tcPr>
          <w:p>
            <w:pPr>
              <w:pStyle w:val="TableText"/>
              <w:keepLines/>
            </w:pPr>
            <w:r>
              <w:rPr>
                <w:sz w:val="15"/>
                <w:szCs w:val="15"/>
              </w:rPr>
              <w:t xml:space="preserve">scripts/sync_focused_catalogue.py</w:t>
            </w:r>
          </w:p>
        </w:tc>
        <w:tc>
          <w:tcPr>
            <w:tcW w:w="4300" w:type="dxa"/>
          </w:tcPr>
          <w:p>
            <w:pPr>
              <w:pStyle w:val="TableText"/>
              <w:keepLines/>
            </w:pPr>
            <w:r>
              <w:rPr>
                <w:sz w:val="15"/>
                <w:szCs w:val="15"/>
              </w:rPr>
              <w:t xml:space="preserve">Asset definitions, stage order, views and adapter names.</w:t>
            </w:r>
          </w:p>
        </w:tc>
        <w:tc>
          <w:tcPr>
            <w:tcW w:w="2200" w:type="dxa"/>
          </w:tcPr>
          <w:p>
            <w:pPr>
              <w:pStyle w:val="TableText"/>
              <w:keepLines/>
            </w:pPr>
            <w:r>
              <w:rPr>
                <w:sz w:val="15"/>
                <w:szCs w:val="15"/>
              </w:rPr>
              <w:t xml:space="preserve">Catalogue is the presentation contract.</w:t>
            </w:r>
          </w:p>
        </w:tc>
      </w:tr>
      <w:tr>
        <w:trPr>
          <w:cantSplit/>
        </w:trPr>
        <w:tc>
          <w:tcPr>
            <w:tcW w:w="2500" w:type="dxa"/>
          </w:tcPr>
          <w:p>
            <w:pPr>
              <w:pStyle w:val="TableText"/>
              <w:keepLines/>
            </w:pPr>
            <w:r>
              <w:rPr>
                <w:sz w:val="15"/>
                <w:szCs w:val="15"/>
              </w:rPr>
              <w:t xml:space="preserve">frontend/src/data/</w:t>
            </w:r>
          </w:p>
        </w:tc>
        <w:tc>
          <w:tcPr>
            <w:tcW w:w="4300" w:type="dxa"/>
          </w:tcPr>
          <w:p>
            <w:pPr>
              <w:pStyle w:val="TableText"/>
              <w:keepLines/>
            </w:pPr>
            <w:r>
              <w:rPr>
                <w:sz w:val="15"/>
                <w:szCs w:val="15"/>
              </w:rPr>
              <w:t xml:space="preserve">TypeScript payload types, static client and runtime guards.</w:t>
            </w:r>
          </w:p>
        </w:tc>
        <w:tc>
          <w:tcPr>
            <w:tcW w:w="2200" w:type="dxa"/>
          </w:tcPr>
          <w:p>
            <w:pPr>
              <w:pStyle w:val="TableText"/>
              <w:keepLines/>
            </w:pPr>
            <w:r>
              <w:rPr>
                <w:sz w:val="15"/>
                <w:szCs w:val="15"/>
              </w:rPr>
              <w:t xml:space="preserve">Declared schema must match detected payload and component.</w:t>
            </w:r>
          </w:p>
        </w:tc>
      </w:tr>
      <w:tr>
        <w:trPr>
          <w:cantSplit/>
        </w:trPr>
        <w:tc>
          <w:tcPr>
            <w:tcW w:w="2500" w:type="dxa"/>
          </w:tcPr>
          <w:p>
            <w:pPr>
              <w:pStyle w:val="TableText"/>
              <w:keepLines/>
            </w:pPr>
            <w:r>
              <w:rPr>
                <w:sz w:val="15"/>
                <w:szCs w:val="15"/>
              </w:rPr>
              <w:t xml:space="preserve">frontend/src/components/</w:t>
            </w:r>
          </w:p>
        </w:tc>
        <w:tc>
          <w:tcPr>
            <w:tcW w:w="4300" w:type="dxa"/>
          </w:tcPr>
          <w:p>
            <w:pPr>
              <w:pStyle w:val="TableText"/>
              <w:keepLines/>
            </w:pPr>
            <w:r>
              <w:rPr>
                <w:sz w:val="15"/>
                <w:szCs w:val="15"/>
              </w:rPr>
              <w:t xml:space="preserve">General and specialised CapEx visualisations.</w:t>
            </w:r>
          </w:p>
        </w:tc>
        <w:tc>
          <w:tcPr>
            <w:tcW w:w="2200" w:type="dxa"/>
          </w:tcPr>
          <w:p>
            <w:pPr>
              <w:pStyle w:val="TableText"/>
              <w:keepLines/>
            </w:pPr>
            <w:r>
              <w:rPr>
                <w:sz w:val="15"/>
                <w:szCs w:val="15"/>
              </w:rPr>
              <w:t xml:space="preserve">Research statistics are not recomputed except interactive scenario arithmetic and chart-only fitted lines.</w:t>
            </w:r>
          </w:p>
        </w:tc>
      </w:tr>
      <w:tr>
        <w:trPr>
          <w:cantSplit/>
        </w:trPr>
        <w:tc>
          <w:tcPr>
            <w:tcW w:w="2500" w:type="dxa"/>
          </w:tcPr>
          <w:p>
            <w:pPr>
              <w:pStyle w:val="TableText"/>
              <w:keepLines/>
            </w:pPr>
            <w:r>
              <w:rPr>
                <w:sz w:val="15"/>
                <w:szCs w:val="15"/>
              </w:rPr>
              <w:t xml:space="preserve">frontend/public/data/</w:t>
            </w:r>
          </w:p>
        </w:tc>
        <w:tc>
          <w:tcPr>
            <w:tcW w:w="4300" w:type="dxa"/>
          </w:tcPr>
          <w:p>
            <w:pPr>
              <w:pStyle w:val="TableText"/>
              <w:keepLines/>
            </w:pPr>
            <w:r>
              <w:rPr>
                <w:sz w:val="15"/>
                <w:szCs w:val="15"/>
              </w:rPr>
              <w:t xml:space="preserve">Browser-facing artifacts and schemas.</w:t>
            </w:r>
          </w:p>
        </w:tc>
        <w:tc>
          <w:tcPr>
            <w:tcW w:w="2200" w:type="dxa"/>
          </w:tcPr>
          <w:p>
            <w:pPr>
              <w:pStyle w:val="TableText"/>
              <w:keepLines/>
            </w:pPr>
            <w:r>
              <w:rPr>
                <w:sz w:val="15"/>
                <w:szCs w:val="15"/>
              </w:rPr>
              <w:t xml:space="preserve">Promoted copies match validated processed artifacts.</w:t>
            </w:r>
          </w:p>
        </w:tc>
      </w:tr>
      <w:tr>
        <w:trPr>
          <w:cantSplit/>
        </w:trPr>
        <w:tc>
          <w:tcPr>
            <w:tcW w:w="2500" w:type="dxa"/>
          </w:tcPr>
          <w:p>
            <w:pPr>
              <w:pStyle w:val="TableText"/>
              <w:keepLines/>
            </w:pPr>
            <w:r>
              <w:rPr>
                <w:sz w:val="15"/>
                <w:szCs w:val="15"/>
              </w:rPr>
              <w:t xml:space="preserve">tests/</w:t>
            </w:r>
          </w:p>
        </w:tc>
        <w:tc>
          <w:tcPr>
            <w:tcW w:w="4300" w:type="dxa"/>
          </w:tcPr>
          <w:p>
            <w:pPr>
              <w:pStyle w:val="TableText"/>
              <w:keepLines/>
            </w:pPr>
            <w:r>
              <w:rPr>
                <w:sz w:val="15"/>
                <w:szCs w:val="15"/>
              </w:rPr>
              <w:t xml:space="preserve">CapEx transforms, upstream parser contracts and publication-boundary tests.</w:t>
            </w:r>
          </w:p>
        </w:tc>
        <w:tc>
          <w:tcPr>
            <w:tcW w:w="2200" w:type="dxa"/>
          </w:tcPr>
          <w:p>
            <w:pPr>
              <w:pStyle w:val="TableText"/>
              <w:keepLines/>
            </w:pPr>
            <w:r>
              <w:rPr>
                <w:sz w:val="15"/>
                <w:szCs w:val="15"/>
              </w:rPr>
              <w:t xml:space="preserve">Regression tests protect registered windows, source semantics and CapEx-only promotion.</w:t>
            </w:r>
          </w:p>
        </w:tc>
      </w:tr>
    </w:tbl>
    <w:p>
      <w:pPr>
        <w:spacing w:after="80"/>
      </w:pPr>
      <w:r>
        <w:t xml:space="preserve"/>
      </w:r>
    </w:p>
    <w:p>
      <w:pPr>
        <w:pStyle w:val="Heading1"/>
        <w:keepNext/>
      </w:pPr>
      <w:r>
        <w:t xml:space="preserve">3. Source inventory and acquisition</w:t>
      </w:r>
    </w:p>
    <w:tbl>
      <w:tblPr>
        <w:tblStyle w:val="ArchitectureTable"/>
        <w:tblW w:w="0" w:type="auto"/>
        <w:tblLayout w:type="fixed"/>
      </w:tblPr>
      <w:tblGrid>
        <w:gridCol w:w="2200"/>
        <w:gridCol w:w="2600"/>
        <w:gridCol w:w="2700"/>
        <w:gridCol w:w="1700"/>
      </w:tblGrid>
      <w:tr>
        <w:trPr>
          <w:tblHeader/>
          <w:cantSplit/>
        </w:trPr>
        <w:tc>
          <w:tcPr>
            <w:tcW w:w="2200" w:type="dxa"/>
            <w:shd w:val="clear" w:color="auto" w:fill="1F4E78"/>
          </w:tcPr>
          <w:p>
            <w:pPr>
              <w:pStyle w:val="TableText"/>
              <w:keepLines/>
            </w:pPr>
            <w:r>
              <w:rPr>
                <w:b/>
                <w:color w:val="FFFFFF"/>
                <w:sz w:val="14"/>
                <w:szCs w:val="14"/>
              </w:rPr>
              <w:t xml:space="preserve">Source</w:t>
            </w:r>
          </w:p>
        </w:tc>
        <w:tc>
          <w:tcPr>
            <w:tcW w:w="2600" w:type="dxa"/>
            <w:shd w:val="clear" w:color="auto" w:fill="1F4E78"/>
          </w:tcPr>
          <w:p>
            <w:pPr>
              <w:pStyle w:val="TableText"/>
              <w:keepLines/>
            </w:pPr>
            <w:r>
              <w:rPr>
                <w:b/>
                <w:color w:val="FFFFFF"/>
                <w:sz w:val="14"/>
                <w:szCs w:val="14"/>
              </w:rPr>
              <w:t xml:space="preserve">Data used</w:t>
            </w:r>
          </w:p>
        </w:tc>
        <w:tc>
          <w:tcPr>
            <w:tcW w:w="2700" w:type="dxa"/>
            <w:shd w:val="clear" w:color="auto" w:fill="1F4E78"/>
          </w:tcPr>
          <w:p>
            <w:pPr>
              <w:pStyle w:val="TableText"/>
              <w:keepLines/>
            </w:pPr>
            <w:r>
              <w:rPr>
                <w:b/>
                <w:color w:val="FFFFFF"/>
                <w:sz w:val="14"/>
                <w:szCs w:val="14"/>
              </w:rPr>
              <w:t xml:space="preserve">Acquisition path</w:t>
            </w:r>
          </w:p>
        </w:tc>
        <w:tc>
          <w:tcPr>
            <w:tcW w:w="1700" w:type="dxa"/>
            <w:shd w:val="clear" w:color="auto" w:fill="1F4E78"/>
          </w:tcPr>
          <w:p>
            <w:pPr>
              <w:pStyle w:val="TableText"/>
              <w:keepLines/>
            </w:pPr>
            <w:r>
              <w:rPr>
                <w:b/>
                <w:color w:val="FFFFFF"/>
                <w:sz w:val="14"/>
                <w:szCs w:val="14"/>
              </w:rPr>
              <w:t xml:space="preserve">Raw/provenance behaviour</w:t>
            </w:r>
          </w:p>
        </w:tc>
      </w:tr>
      <w:tr>
        <w:trPr>
          <w:cantSplit/>
        </w:trPr>
        <w:tc>
          <w:tcPr>
            <w:tcW w:w="2200" w:type="dxa"/>
          </w:tcPr>
          <w:p>
            <w:pPr>
              <w:pStyle w:val="TableText"/>
              <w:keepLines/>
            </w:pPr>
            <w:r>
              <w:rPr>
                <w:sz w:val="14"/>
                <w:szCs w:val="14"/>
              </w:rPr>
              <w:t xml:space="preserve">Union Budget — Budget at a Glance</w:t>
            </w:r>
          </w:p>
        </w:tc>
        <w:tc>
          <w:tcPr>
            <w:tcW w:w="2600" w:type="dxa"/>
          </w:tcPr>
          <w:p>
            <w:pPr>
              <w:pStyle w:val="TableText"/>
              <w:keepLines/>
            </w:pPr>
            <w:r>
              <w:rPr>
                <w:sz w:val="14"/>
                <w:szCs w:val="14"/>
              </w:rPr>
              <w:t xml:space="preserve">Central CapEx actual, BE, RE, total expenditure and execution inputs.</w:t>
            </w:r>
          </w:p>
        </w:tc>
        <w:tc>
          <w:tcPr>
            <w:tcW w:w="2700" w:type="dxa"/>
          </w:tcPr>
          <w:p>
            <w:pPr>
              <w:pStyle w:val="TableText"/>
              <w:keepLines/>
            </w:pPr>
            <w:r>
              <w:rPr>
                <w:sz w:val="14"/>
                <w:szCs w:val="14"/>
              </w:rPr>
              <w:t xml:space="preserve">Upstream government-investment builder parses multiple editions.</w:t>
            </w:r>
          </w:p>
        </w:tc>
        <w:tc>
          <w:tcPr>
            <w:tcW w:w="1700" w:type="dxa"/>
          </w:tcPr>
          <w:p>
            <w:pPr>
              <w:pStyle w:val="TableText"/>
              <w:keepLines/>
            </w:pPr>
            <w:r>
              <w:rPr>
                <w:sz w:val="14"/>
                <w:szCs w:val="14"/>
              </w:rPr>
              <w:t xml:space="preserve">PDFs and edition metadata are retained by the focused pipeline.</w:t>
            </w:r>
          </w:p>
        </w:tc>
      </w:tr>
      <w:tr>
        <w:trPr>
          <w:cantSplit/>
        </w:trPr>
        <w:tc>
          <w:tcPr>
            <w:tcW w:w="2200" w:type="dxa"/>
          </w:tcPr>
          <w:p>
            <w:pPr>
              <w:pStyle w:val="TableText"/>
              <w:keepLines/>
            </w:pPr>
            <w:r>
              <w:rPr>
                <w:sz w:val="14"/>
                <w:szCs w:val="14"/>
              </w:rPr>
              <w:t xml:space="preserve">Union Budget — Expenditure Profile Statement 3</w:t>
            </w:r>
          </w:p>
        </w:tc>
        <w:tc>
          <w:tcPr>
            <w:tcW w:w="2600" w:type="dxa"/>
          </w:tcPr>
          <w:p>
            <w:pPr>
              <w:pStyle w:val="TableText"/>
              <w:keepLines/>
            </w:pPr>
            <w:r>
              <w:rPr>
                <w:sz w:val="14"/>
                <w:szCs w:val="14"/>
              </w:rPr>
              <w:t xml:space="preserve">Roads and Railways central-budget capital BE.</w:t>
            </w:r>
          </w:p>
        </w:tc>
        <w:tc>
          <w:tcPr>
            <w:tcW w:w="2700" w:type="dxa"/>
          </w:tcPr>
          <w:p>
            <w:pPr>
              <w:pStyle w:val="TableText"/>
              <w:keepLines/>
            </w:pPr>
            <w:r>
              <w:rPr>
                <w:sz w:val="14"/>
                <w:szCs w:val="14"/>
              </w:rPr>
              <w:t xml:space="preserve">Four frozen, reconciled statement vintages support eight fiscal years.</w:t>
            </w:r>
          </w:p>
        </w:tc>
        <w:tc>
          <w:tcPr>
            <w:tcW w:w="1700" w:type="dxa"/>
          </w:tcPr>
          <w:p>
            <w:pPr>
              <w:pStyle w:val="TableText"/>
              <w:keepLines/>
            </w:pPr>
            <w:r>
              <w:rPr>
                <w:sz w:val="14"/>
                <w:szCs w:val="14"/>
              </w:rPr>
              <w:t xml:space="preserve">Source URLs and retrieval time are embedded; refresh is currently manual.</w:t>
            </w:r>
          </w:p>
        </w:tc>
      </w:tr>
      <w:tr>
        <w:trPr>
          <w:cantSplit/>
        </w:trPr>
        <w:tc>
          <w:tcPr>
            <w:tcW w:w="2200" w:type="dxa"/>
          </w:tcPr>
          <w:p>
            <w:pPr>
              <w:pStyle w:val="TableText"/>
              <w:keepLines/>
            </w:pPr>
            <w:r>
              <w:rPr>
                <w:sz w:val="14"/>
                <w:szCs w:val="14"/>
              </w:rPr>
              <w:t xml:space="preserve">MoRTH Annual Report</w:t>
            </w:r>
          </w:p>
        </w:tc>
        <w:tc>
          <w:tcPr>
            <w:tcW w:w="2600" w:type="dxa"/>
          </w:tcPr>
          <w:p>
            <w:pPr>
              <w:pStyle w:val="TableText"/>
              <w:keepLines/>
            </w:pPr>
            <w:r>
              <w:rPr>
                <w:sz w:val="14"/>
                <w:szCs w:val="14"/>
              </w:rPr>
              <w:t xml:space="preserve">National-highway kilometres constructed.</w:t>
            </w:r>
          </w:p>
        </w:tc>
        <w:tc>
          <w:tcPr>
            <w:tcW w:w="2700" w:type="dxa"/>
          </w:tcPr>
          <w:p>
            <w:pPr>
              <w:pStyle w:val="TableText"/>
              <w:keepLines/>
            </w:pPr>
            <w:r>
              <w:rPr>
                <w:sz w:val="14"/>
                <w:szCs w:val="14"/>
              </w:rPr>
              <w:t xml:space="preserve">Frozen official fiscal-year series.</w:t>
            </w:r>
          </w:p>
        </w:tc>
        <w:tc>
          <w:tcPr>
            <w:tcW w:w="1700" w:type="dxa"/>
          </w:tcPr>
          <w:p>
            <w:pPr>
              <w:pStyle w:val="TableText"/>
              <w:keepLines/>
            </w:pPr>
            <w:r>
              <w:rPr>
                <w:sz w:val="14"/>
                <w:szCs w:val="14"/>
              </w:rPr>
              <w:t xml:space="preserve">Metadata records official report and limitation.</w:t>
            </w:r>
          </w:p>
        </w:tc>
      </w:tr>
      <w:tr>
        <w:trPr>
          <w:cantSplit/>
        </w:trPr>
        <w:tc>
          <w:tcPr>
            <w:tcW w:w="2200" w:type="dxa"/>
          </w:tcPr>
          <w:p>
            <w:pPr>
              <w:pStyle w:val="TableText"/>
              <w:keepLines/>
            </w:pPr>
            <w:r>
              <w:rPr>
                <w:sz w:val="14"/>
                <w:szCs w:val="14"/>
              </w:rPr>
              <w:t xml:space="preserve">Indian Railways Annual Report</w:t>
            </w:r>
          </w:p>
        </w:tc>
        <w:tc>
          <w:tcPr>
            <w:tcW w:w="2600" w:type="dxa"/>
          </w:tcPr>
          <w:p>
            <w:pPr>
              <w:pStyle w:val="TableText"/>
              <w:keepLines/>
            </w:pPr>
            <w:r>
              <w:rPr>
                <w:sz w:val="14"/>
                <w:szCs w:val="14"/>
              </w:rPr>
              <w:t xml:space="preserve">Route kilometres electrified.</w:t>
            </w:r>
          </w:p>
        </w:tc>
        <w:tc>
          <w:tcPr>
            <w:tcW w:w="2700" w:type="dxa"/>
          </w:tcPr>
          <w:p>
            <w:pPr>
              <w:pStyle w:val="TableText"/>
              <w:keepLines/>
            </w:pPr>
            <w:r>
              <w:rPr>
                <w:sz w:val="14"/>
                <w:szCs w:val="14"/>
              </w:rPr>
              <w:t xml:space="preserve">Frozen official fiscal-year series.</w:t>
            </w:r>
          </w:p>
        </w:tc>
        <w:tc>
          <w:tcPr>
            <w:tcW w:w="1700" w:type="dxa"/>
          </w:tcPr>
          <w:p>
            <w:pPr>
              <w:pStyle w:val="TableText"/>
              <w:keepLines/>
            </w:pPr>
            <w:r>
              <w:rPr>
                <w:sz w:val="14"/>
                <w:szCs w:val="14"/>
              </w:rPr>
              <w:t xml:space="preserve">Metadata records official report and limitation.</w:t>
            </w:r>
          </w:p>
        </w:tc>
      </w:tr>
      <w:tr>
        <w:trPr>
          <w:cantSplit/>
        </w:trPr>
        <w:tc>
          <w:tcPr>
            <w:tcW w:w="2200" w:type="dxa"/>
          </w:tcPr>
          <w:p>
            <w:pPr>
              <w:pStyle w:val="TableText"/>
              <w:keepLines/>
            </w:pPr>
            <w:r>
              <w:rPr>
                <w:sz w:val="14"/>
                <w:szCs w:val="14"/>
              </w:rPr>
              <w:t xml:space="preserve">Nifty Indices</w:t>
            </w:r>
          </w:p>
        </w:tc>
        <w:tc>
          <w:tcPr>
            <w:tcW w:w="2600" w:type="dxa"/>
          </w:tcPr>
          <w:p>
            <w:pPr>
              <w:pStyle w:val="TableText"/>
              <w:keepLines/>
            </w:pPr>
            <w:r>
              <w:rPr>
                <w:sz w:val="14"/>
                <w:szCs w:val="14"/>
              </w:rPr>
              <w:t xml:space="preserve">Five daily total-return indices.</w:t>
            </w:r>
          </w:p>
        </w:tc>
        <w:tc>
          <w:tcPr>
            <w:tcW w:w="2700" w:type="dxa"/>
          </w:tcPr>
          <w:p>
            <w:pPr>
              <w:pStyle w:val="TableText"/>
              <w:keepLines/>
            </w:pPr>
            <w:r>
              <w:rPr>
                <w:sz w:val="14"/>
                <w:szCs w:val="14"/>
              </w:rPr>
              <w:t xml:space="preserve">Session GET then provider POST in annual windows; responses normalised into pandas series.</w:t>
            </w:r>
          </w:p>
        </w:tc>
        <w:tc>
          <w:tcPr>
            <w:tcW w:w="1700" w:type="dxa"/>
          </w:tcPr>
          <w:p>
            <w:pPr>
              <w:pStyle w:val="TableText"/>
              <w:keepLines/>
            </w:pPr>
            <w:r>
              <w:rPr>
                <w:sz w:val="14"/>
                <w:szCs w:val="14"/>
              </w:rPr>
              <w:t xml:space="preserve">Each index is landed under data/raw/nifty-indices/&lt;retrieval-date&gt;/ with a content hash.</w:t>
            </w:r>
          </w:p>
        </w:tc>
      </w:tr>
      <w:tr>
        <w:trPr>
          <w:cantSplit/>
        </w:trPr>
        <w:tc>
          <w:tcPr>
            <w:tcW w:w="2200" w:type="dxa"/>
          </w:tcPr>
          <w:p>
            <w:pPr>
              <w:pStyle w:val="TableText"/>
              <w:keepLines/>
            </w:pPr>
            <w:r>
              <w:rPr>
                <w:sz w:val="14"/>
                <w:szCs w:val="14"/>
              </w:rPr>
              <w:t xml:space="preserve">Yahoo Finance statements</w:t>
            </w:r>
          </w:p>
        </w:tc>
        <w:tc>
          <w:tcPr>
            <w:tcW w:w="2600" w:type="dxa"/>
          </w:tcPr>
          <w:p>
            <w:pPr>
              <w:pStyle w:val="TableText"/>
              <w:keepLines/>
            </w:pPr>
            <w:r>
              <w:rPr>
                <w:sz w:val="14"/>
                <w:szCs w:val="14"/>
              </w:rPr>
              <w:t xml:space="preserve">Revenue, EBITDA, CapEx, net PPE, debt, EBIT, assets and current liabilities for ten firms.</w:t>
            </w:r>
          </w:p>
        </w:tc>
        <w:tc>
          <w:tcPr>
            <w:tcW w:w="2700" w:type="dxa"/>
          </w:tcPr>
          <w:p>
            <w:pPr>
              <w:pStyle w:val="TableText"/>
              <w:keepLines/>
            </w:pPr>
            <w:r>
              <w:rPr>
                <w:sz w:val="14"/>
                <w:szCs w:val="14"/>
              </w:rPr>
              <w:t xml:space="preserve">yfinance annual statement tables.</w:t>
            </w:r>
          </w:p>
        </w:tc>
        <w:tc>
          <w:tcPr>
            <w:tcW w:w="1700" w:type="dxa"/>
          </w:tcPr>
          <w:p>
            <w:pPr>
              <w:pStyle w:val="TableText"/>
              <w:keepLines/>
            </w:pPr>
            <w:r>
              <w:rPr>
                <w:sz w:val="14"/>
                <w:szCs w:val="14"/>
              </w:rPr>
              <w:t xml:space="preserve">Each company’s extracted observations are checksum-landed under data/raw/corporate-fundamentals/.</w:t>
            </w:r>
          </w:p>
        </w:tc>
      </w:tr>
      <w:tr>
        <w:trPr>
          <w:cantSplit/>
        </w:trPr>
        <w:tc>
          <w:tcPr>
            <w:tcW w:w="2200" w:type="dxa"/>
          </w:tcPr>
          <w:p>
            <w:pPr>
              <w:pStyle w:val="TableText"/>
              <w:keepLines/>
            </w:pPr>
            <w:r>
              <w:rPr>
                <w:sz w:val="14"/>
                <w:szCs w:val="14"/>
              </w:rPr>
              <w:t xml:space="preserve">MoSPI national accounts</w:t>
            </w:r>
          </w:p>
        </w:tc>
        <w:tc>
          <w:tcPr>
            <w:tcW w:w="2600" w:type="dxa"/>
          </w:tcPr>
          <w:p>
            <w:pPr>
              <w:pStyle w:val="TableText"/>
              <w:keepLines/>
            </w:pPr>
            <w:r>
              <w:rPr>
                <w:sz w:val="14"/>
                <w:szCs w:val="14"/>
              </w:rPr>
              <w:t xml:space="preserve">Private corporate GFCF, total GFCF and nominal GDP.</w:t>
            </w:r>
          </w:p>
        </w:tc>
        <w:tc>
          <w:tcPr>
            <w:tcW w:w="2700" w:type="dxa"/>
          </w:tcPr>
          <w:p>
            <w:pPr>
              <w:pStyle w:val="TableText"/>
              <w:keepLines/>
            </w:pPr>
            <w:r>
              <w:rPr>
                <w:sz w:val="14"/>
                <w:szCs w:val="14"/>
              </w:rPr>
              <w:t xml:space="preserve">Validated private-investment upstream bundle.</w:t>
            </w:r>
          </w:p>
        </w:tc>
        <w:tc>
          <w:tcPr>
            <w:tcW w:w="1700" w:type="dxa"/>
          </w:tcPr>
          <w:p>
            <w:pPr>
              <w:pStyle w:val="TableText"/>
              <w:keepLines/>
            </w:pPr>
            <w:r>
              <w:rPr>
                <w:sz w:val="14"/>
                <w:szCs w:val="14"/>
              </w:rPr>
              <w:t xml:space="preserve">Base-year-compatible series and statuses are preserved.</w:t>
            </w:r>
          </w:p>
        </w:tc>
      </w:tr>
      <w:tr>
        <w:trPr>
          <w:cantSplit/>
        </w:trPr>
        <w:tc>
          <w:tcPr>
            <w:tcW w:w="2200" w:type="dxa"/>
          </w:tcPr>
          <w:p>
            <w:pPr>
              <w:pStyle w:val="TableText"/>
              <w:keepLines/>
            </w:pPr>
            <w:r>
              <w:rPr>
                <w:sz w:val="14"/>
                <w:szCs w:val="14"/>
              </w:rPr>
              <w:t xml:space="preserve">RBI OBICUS</w:t>
            </w:r>
          </w:p>
        </w:tc>
        <w:tc>
          <w:tcPr>
            <w:tcW w:w="2600" w:type="dxa"/>
          </w:tcPr>
          <w:p>
            <w:pPr>
              <w:pStyle w:val="TableText"/>
              <w:keepLines/>
            </w:pPr>
            <w:r>
              <w:rPr>
                <w:sz w:val="14"/>
                <w:szCs w:val="14"/>
              </w:rPr>
              <w:t xml:space="preserve">Unadjusted manufacturing capacity utilisation.</w:t>
            </w:r>
          </w:p>
        </w:tc>
        <w:tc>
          <w:tcPr>
            <w:tcW w:w="2700" w:type="dxa"/>
          </w:tcPr>
          <w:p>
            <w:pPr>
              <w:pStyle w:val="TableText"/>
              <w:keepLines/>
            </w:pPr>
            <w:r>
              <w:rPr>
                <w:sz w:val="14"/>
                <w:szCs w:val="14"/>
              </w:rPr>
              <w:t xml:space="preserve">Validated private-investment upstream bundle.</w:t>
            </w:r>
          </w:p>
        </w:tc>
        <w:tc>
          <w:tcPr>
            <w:tcW w:w="1700" w:type="dxa"/>
          </w:tcPr>
          <w:p>
            <w:pPr>
              <w:pStyle w:val="TableText"/>
              <w:keepLines/>
            </w:pPr>
            <w:r>
              <w:rPr>
                <w:sz w:val="14"/>
                <w:szCs w:val="14"/>
              </w:rPr>
              <w:t xml:space="preserve">Quarterly status and source metadata are retained.</w:t>
            </w:r>
          </w:p>
        </w:tc>
      </w:tr>
      <w:tr>
        <w:trPr>
          <w:cantSplit/>
        </w:trPr>
        <w:tc>
          <w:tcPr>
            <w:tcW w:w="2200" w:type="dxa"/>
          </w:tcPr>
          <w:p>
            <w:pPr>
              <w:pStyle w:val="TableText"/>
              <w:keepLines/>
            </w:pPr>
            <w:r>
              <w:rPr>
                <w:sz w:val="14"/>
                <w:szCs w:val="14"/>
              </w:rPr>
              <w:t xml:space="preserve">RBI fiscal tables</w:t>
            </w:r>
          </w:p>
        </w:tc>
        <w:tc>
          <w:tcPr>
            <w:tcW w:w="2600" w:type="dxa"/>
          </w:tcPr>
          <w:p>
            <w:pPr>
              <w:pStyle w:val="TableText"/>
              <w:keepLines/>
            </w:pPr>
            <w:r>
              <w:rPr>
                <w:sz w:val="14"/>
                <w:szCs w:val="14"/>
              </w:rPr>
              <w:t xml:space="preserve">Debt/GDP, primary deficit, revenue, interest and expenditure ratios.</w:t>
            </w:r>
          </w:p>
        </w:tc>
        <w:tc>
          <w:tcPr>
            <w:tcW w:w="2700" w:type="dxa"/>
          </w:tcPr>
          <w:p>
            <w:pPr>
              <w:pStyle w:val="TableText"/>
              <w:keepLines/>
            </w:pPr>
            <w:r>
              <w:rPr>
                <w:sz w:val="14"/>
                <w:szCs w:val="14"/>
              </w:rPr>
              <w:t xml:space="preserve">Validated fiscal-capacity upstream bundle.</w:t>
            </w:r>
          </w:p>
        </w:tc>
        <w:tc>
          <w:tcPr>
            <w:tcW w:w="1700" w:type="dxa"/>
          </w:tcPr>
          <w:p>
            <w:pPr>
              <w:pStyle w:val="TableText"/>
              <w:keepLines/>
            </w:pPr>
            <w:r>
              <w:rPr>
                <w:sz w:val="14"/>
                <w:szCs w:val="14"/>
              </w:rPr>
              <w:t xml:space="preserve">Actual, revised and budget status remain attached.</w:t>
            </w:r>
          </w:p>
        </w:tc>
      </w:tr>
      <w:tr>
        <w:trPr>
          <w:cantSplit/>
        </w:trPr>
        <w:tc>
          <w:tcPr>
            <w:tcW w:w="2200" w:type="dxa"/>
          </w:tcPr>
          <w:p>
            <w:pPr>
              <w:pStyle w:val="TableText"/>
              <w:keepLines/>
            </w:pPr>
            <w:r>
              <w:rPr>
                <w:sz w:val="14"/>
                <w:szCs w:val="14"/>
              </w:rPr>
              <w:t xml:space="preserve">RBI Handbook / NSO IIP</w:t>
            </w:r>
          </w:p>
        </w:tc>
        <w:tc>
          <w:tcPr>
            <w:tcW w:w="2600" w:type="dxa"/>
          </w:tcPr>
          <w:p>
            <w:pPr>
              <w:pStyle w:val="TableText"/>
              <w:keepLines/>
            </w:pPr>
            <w:r>
              <w:rPr>
                <w:sz w:val="14"/>
                <w:szCs w:val="14"/>
              </w:rPr>
              <w:t xml:space="preserve">Fiscal-year capital-goods IIP.</w:t>
            </w:r>
          </w:p>
        </w:tc>
        <w:tc>
          <w:tcPr>
            <w:tcW w:w="2700" w:type="dxa"/>
          </w:tcPr>
          <w:p>
            <w:pPr>
              <w:pStyle w:val="TableText"/>
              <w:keepLines/>
            </w:pPr>
            <w:r>
              <w:rPr>
                <w:sz w:val="14"/>
                <w:szCs w:val="14"/>
              </w:rPr>
              <w:t xml:space="preserve">Frozen official Table 30 values.</w:t>
            </w:r>
          </w:p>
        </w:tc>
        <w:tc>
          <w:tcPr>
            <w:tcW w:w="1700" w:type="dxa"/>
          </w:tcPr>
          <w:p>
            <w:pPr>
              <w:pStyle w:val="TableText"/>
              <w:keepLines/>
            </w:pPr>
            <w:r>
              <w:rPr>
                <w:sz w:val="14"/>
                <w:szCs w:val="14"/>
              </w:rPr>
              <w:t xml:space="preserve">Source URL and retrieval time embedded; refresh is manual.</w:t>
            </w:r>
          </w:p>
        </w:tc>
      </w:tr>
      <w:tr>
        <w:trPr>
          <w:cantSplit/>
        </w:trPr>
        <w:tc>
          <w:tcPr>
            <w:tcW w:w="2200" w:type="dxa"/>
          </w:tcPr>
          <w:p>
            <w:pPr>
              <w:pStyle w:val="TableText"/>
              <w:keepLines/>
            </w:pPr>
            <w:r>
              <w:rPr>
                <w:sz w:val="14"/>
                <w:szCs w:val="14"/>
              </w:rPr>
              <w:t xml:space="preserve">RBI Handbook 2022–23 / MoSPI</w:t>
            </w:r>
          </w:p>
        </w:tc>
        <w:tc>
          <w:tcPr>
            <w:tcW w:w="2600" w:type="dxa"/>
          </w:tcPr>
          <w:p>
            <w:pPr>
              <w:pStyle w:val="TableText"/>
              <w:keepLines/>
            </w:pPr>
            <w:r>
              <w:rPr>
                <w:sz w:val="14"/>
                <w:szCs w:val="14"/>
              </w:rPr>
              <w:t xml:space="preserve">Central-sector project status and cost overrun, 2009–2023.</w:t>
            </w:r>
          </w:p>
        </w:tc>
        <w:tc>
          <w:tcPr>
            <w:tcW w:w="2700" w:type="dxa"/>
          </w:tcPr>
          <w:p>
            <w:pPr>
              <w:pStyle w:val="TableText"/>
              <w:keepLines/>
            </w:pPr>
            <w:r>
              <w:rPr>
                <w:sz w:val="14"/>
                <w:szCs w:val="14"/>
              </w:rPr>
              <w:t xml:space="preserve">Stable archived publication IDs 21841 and 21842 parsed as sector/year blocks.</w:t>
            </w:r>
          </w:p>
        </w:tc>
        <w:tc>
          <w:tcPr>
            <w:tcW w:w="1700" w:type="dxa"/>
          </w:tcPr>
          <w:p>
            <w:pPr>
              <w:pStyle w:val="TableText"/>
              <w:keepLines/>
            </w:pPr>
            <w:r>
              <w:rPr>
                <w:sz w:val="14"/>
                <w:szCs w:val="14"/>
              </w:rPr>
              <w:t xml:space="preserve">HTML is checksum-landed under data/raw/rbi-handbook/&lt;date&gt;/.</w:t>
            </w:r>
          </w:p>
        </w:tc>
      </w:tr>
      <w:tr>
        <w:trPr>
          <w:cantSplit/>
        </w:trPr>
        <w:tc>
          <w:tcPr>
            <w:tcW w:w="2200" w:type="dxa"/>
          </w:tcPr>
          <w:p>
            <w:pPr>
              <w:pStyle w:val="TableText"/>
              <w:keepLines/>
            </w:pPr>
            <w:r>
              <w:rPr>
                <w:sz w:val="14"/>
                <w:szCs w:val="14"/>
              </w:rPr>
              <w:t xml:space="preserve">RBI Handbook of Statistics on Indian States</w:t>
            </w:r>
          </w:p>
        </w:tc>
        <w:tc>
          <w:tcPr>
            <w:tcW w:w="2600" w:type="dxa"/>
          </w:tcPr>
          <w:p>
            <w:pPr>
              <w:pStyle w:val="TableText"/>
              <w:keepLines/>
            </w:pPr>
            <w:r>
              <w:rPr>
                <w:sz w:val="14"/>
                <w:szCs w:val="14"/>
              </w:rPr>
              <w:t xml:space="preserve">Current/constant GSDP and state capital outlay.</w:t>
            </w:r>
          </w:p>
        </w:tc>
        <w:tc>
          <w:tcPr>
            <w:tcW w:w="2700" w:type="dxa"/>
          </w:tcPr>
          <w:p>
            <w:pPr>
              <w:pStyle w:val="TableText"/>
              <w:keepLines/>
            </w:pPr>
            <w:r>
              <w:rPr>
                <w:sz w:val="14"/>
                <w:szCs w:val="14"/>
              </w:rPr>
              <w:t xml:space="preserve">Stable publication IDs 23470, 23471 and 23623 parsed as state/year matrices.</w:t>
            </w:r>
          </w:p>
        </w:tc>
        <w:tc>
          <w:tcPr>
            <w:tcW w:w="1700" w:type="dxa"/>
          </w:tcPr>
          <w:p>
            <w:pPr>
              <w:pStyle w:val="TableText"/>
              <w:keepLines/>
            </w:pPr>
            <w:r>
              <w:rPr>
                <w:sz w:val="14"/>
                <w:szCs w:val="14"/>
              </w:rPr>
              <w:t xml:space="preserve">Actual/revised/budget labels are retained; only actual outlay enters the panel.</w:t>
            </w:r>
          </w:p>
        </w:tc>
      </w:tr>
    </w:tbl>
    <w:p>
      <w:pPr>
        <w:spacing w:after="80"/>
      </w:pPr>
      <w:r>
        <w:t xml:space="preserve"/>
      </w:r>
    </w:p>
    <w:p>
      <w:pPr>
        <w:pStyle w:val="Heading2"/>
        <w:keepNext/>
      </w:pPr>
      <w:r>
        <w:t xml:space="preserve">Source-boundary exception</w:t>
      </w:r>
    </w:p>
    <w:p>
      <w:r>
        <w:t xml:space="preserve">The allocation, physical-delivery and capital-goods IIP series are reproducible frozen observations in build_capex_delivery.py. They enter the same validation, publication and promotion pipeline as every other artifact, but they do not yet have automated PDF/HTML extractors or repository-visible immutable raw snapshots. This is a lower-layer exception, not a change to the high-level build flow. A future extractor should land each source document, parse exact tables and preserve checksums before calling the existing pure payload builders.</w:t>
      </w:r>
    </w:p>
    <w:p>
      <w:pPr>
        <w:pStyle w:val="Heading1"/>
        <w:keepNext/>
      </w:pPr>
      <w:r>
        <w:t xml:space="preserve">4. Canonical models and period semantics</w:t>
      </w:r>
    </w:p>
    <w:p>
      <w:pPr>
        <w:pStyle w:val="Heading2"/>
        <w:keepNext/>
      </w:pPr>
      <w:r>
        <w:t xml:space="preserve">Shared canonical record</w:t>
      </w:r>
    </w:p>
    <w:tbl>
      <w:tblPr>
        <w:tblStyle w:val="ArchitectureTable"/>
        <w:tblW w:w="0" w:type="auto"/>
        <w:tblLayout w:type="fixed"/>
      </w:tblPr>
      <w:tblGrid>
        <w:gridCol w:w="1900"/>
        <w:gridCol w:w="2900"/>
        <w:gridCol w:w="4200"/>
      </w:tblGrid>
      <w:tr>
        <w:trPr>
          <w:tblHeader/>
          <w:cantSplit/>
        </w:trPr>
        <w:tc>
          <w:tcPr>
            <w:tcW w:w="1900" w:type="dxa"/>
            <w:shd w:val="clear" w:color="auto" w:fill="1F4E78"/>
          </w:tcPr>
          <w:p>
            <w:pPr>
              <w:pStyle w:val="TableText"/>
              <w:keepLines/>
            </w:pPr>
            <w:r>
              <w:rPr>
                <w:b/>
                <w:color w:val="FFFFFF"/>
                <w:sz w:val="15"/>
                <w:szCs w:val="15"/>
              </w:rPr>
              <w:t xml:space="preserve">Field</w:t>
            </w:r>
          </w:p>
        </w:tc>
        <w:tc>
          <w:tcPr>
            <w:tcW w:w="2900" w:type="dxa"/>
            <w:shd w:val="clear" w:color="auto" w:fill="1F4E78"/>
          </w:tcPr>
          <w:p>
            <w:pPr>
              <w:pStyle w:val="TableText"/>
              <w:keepLines/>
            </w:pPr>
            <w:r>
              <w:rPr>
                <w:b/>
                <w:color w:val="FFFFFF"/>
                <w:sz w:val="15"/>
                <w:szCs w:val="15"/>
              </w:rPr>
              <w:t xml:space="preserve">Type/meaning</w:t>
            </w:r>
          </w:p>
        </w:tc>
        <w:tc>
          <w:tcPr>
            <w:tcW w:w="4200" w:type="dxa"/>
            <w:shd w:val="clear" w:color="auto" w:fill="1F4E78"/>
          </w:tcPr>
          <w:p>
            <w:pPr>
              <w:pStyle w:val="TableText"/>
              <w:keepLines/>
            </w:pPr>
            <w:r>
              <w:rPr>
                <w:b/>
                <w:color w:val="FFFFFF"/>
                <w:sz w:val="15"/>
                <w:szCs w:val="15"/>
              </w:rPr>
              <w:t xml:space="preserve">CapEx use</w:t>
            </w:r>
          </w:p>
        </w:tc>
      </w:tr>
      <w:tr>
        <w:trPr>
          <w:cantSplit/>
        </w:trPr>
        <w:tc>
          <w:tcPr>
            <w:tcW w:w="1900" w:type="dxa"/>
          </w:tcPr>
          <w:p>
            <w:pPr>
              <w:pStyle w:val="TableText"/>
              <w:keepLines/>
            </w:pPr>
            <w:r>
              <w:rPr>
                <w:sz w:val="15"/>
                <w:szCs w:val="15"/>
              </w:rPr>
              <w:t xml:space="preserve">date</w:t>
            </w:r>
          </w:p>
        </w:tc>
        <w:tc>
          <w:tcPr>
            <w:tcW w:w="2900" w:type="dxa"/>
          </w:tcPr>
          <w:p>
            <w:pPr>
              <w:pStyle w:val="TableText"/>
              <w:keepLines/>
            </w:pPr>
            <w:r>
              <w:rPr>
                <w:sz w:val="15"/>
                <w:szCs w:val="15"/>
              </w:rPr>
              <w:t xml:space="preserve">Normalised date</w:t>
            </w:r>
          </w:p>
        </w:tc>
        <w:tc>
          <w:tcPr>
            <w:tcW w:w="4200" w:type="dxa"/>
          </w:tcPr>
          <w:p>
            <w:pPr>
              <w:pStyle w:val="TableText"/>
              <w:keepLines/>
            </w:pPr>
            <w:r>
              <w:rPr>
                <w:sz w:val="15"/>
                <w:szCs w:val="15"/>
              </w:rPr>
              <w:t xml:space="preserve">Fiscal years normally use 31 March; market observations use provider dates before monthly sampling.</w:t>
            </w:r>
          </w:p>
        </w:tc>
      </w:tr>
      <w:tr>
        <w:trPr>
          <w:cantSplit/>
        </w:trPr>
        <w:tc>
          <w:tcPr>
            <w:tcW w:w="1900" w:type="dxa"/>
          </w:tcPr>
          <w:p>
            <w:pPr>
              <w:pStyle w:val="TableText"/>
              <w:keepLines/>
            </w:pPr>
            <w:r>
              <w:rPr>
                <w:sz w:val="15"/>
                <w:szCs w:val="15"/>
              </w:rPr>
              <w:t xml:space="preserve">entity</w:t>
            </w:r>
          </w:p>
        </w:tc>
        <w:tc>
          <w:tcPr>
            <w:tcW w:w="2900" w:type="dxa"/>
          </w:tcPr>
          <w:p>
            <w:pPr>
              <w:pStyle w:val="TableText"/>
              <w:keepLines/>
            </w:pPr>
            <w:r>
              <w:rPr>
                <w:sz w:val="15"/>
                <w:szCs w:val="15"/>
              </w:rPr>
              <w:t xml:space="preserve">Provider-neutral identifier</w:t>
            </w:r>
          </w:p>
        </w:tc>
        <w:tc>
          <w:tcPr>
            <w:tcW w:w="4200" w:type="dxa"/>
          </w:tcPr>
          <w:p>
            <w:pPr>
              <w:pStyle w:val="TableText"/>
              <w:keepLines/>
            </w:pPr>
            <w:r>
              <w:rPr>
                <w:sz w:val="15"/>
                <w:szCs w:val="15"/>
              </w:rPr>
              <w:t xml:space="preserve">IND for national series; company and market keys use frozen registry keys.</w:t>
            </w:r>
          </w:p>
        </w:tc>
      </w:tr>
      <w:tr>
        <w:trPr>
          <w:cantSplit/>
        </w:trPr>
        <w:tc>
          <w:tcPr>
            <w:tcW w:w="1900" w:type="dxa"/>
          </w:tcPr>
          <w:p>
            <w:pPr>
              <w:pStyle w:val="TableText"/>
              <w:keepLines/>
            </w:pPr>
            <w:r>
              <w:rPr>
                <w:sz w:val="15"/>
                <w:szCs w:val="15"/>
              </w:rPr>
              <w:t xml:space="preserve">indicator</w:t>
            </w:r>
          </w:p>
        </w:tc>
        <w:tc>
          <w:tcPr>
            <w:tcW w:w="2900" w:type="dxa"/>
          </w:tcPr>
          <w:p>
            <w:pPr>
              <w:pStyle w:val="TableText"/>
              <w:keepLines/>
            </w:pPr>
            <w:r>
              <w:rPr>
                <w:sz w:val="15"/>
                <w:szCs w:val="15"/>
              </w:rPr>
              <w:t xml:space="preserve">Stable machine key</w:t>
            </w:r>
          </w:p>
        </w:tc>
        <w:tc>
          <w:tcPr>
            <w:tcW w:w="4200" w:type="dxa"/>
          </w:tcPr>
          <w:p>
            <w:pPr>
              <w:pStyle w:val="TableText"/>
              <w:keepLines/>
            </w:pPr>
            <w:r>
              <w:rPr>
                <w:sz w:val="15"/>
                <w:szCs w:val="15"/>
              </w:rPr>
              <w:t xml:space="preserve">Links registry definition, transform and published series.</w:t>
            </w:r>
          </w:p>
        </w:tc>
      </w:tr>
      <w:tr>
        <w:trPr>
          <w:cantSplit/>
        </w:trPr>
        <w:tc>
          <w:tcPr>
            <w:tcW w:w="1900" w:type="dxa"/>
          </w:tcPr>
          <w:p>
            <w:pPr>
              <w:pStyle w:val="TableText"/>
              <w:keepLines/>
            </w:pPr>
            <w:r>
              <w:rPr>
                <w:sz w:val="15"/>
                <w:szCs w:val="15"/>
              </w:rPr>
              <w:t xml:space="preserve">value</w:t>
            </w:r>
          </w:p>
        </w:tc>
        <w:tc>
          <w:tcPr>
            <w:tcW w:w="2900" w:type="dxa"/>
          </w:tcPr>
          <w:p>
            <w:pPr>
              <w:pStyle w:val="TableText"/>
              <w:keepLines/>
            </w:pPr>
            <w:r>
              <w:rPr>
                <w:sz w:val="15"/>
                <w:szCs w:val="15"/>
              </w:rPr>
              <w:t xml:space="preserve">Finite float or null</w:t>
            </w:r>
          </w:p>
        </w:tc>
        <w:tc>
          <w:tcPr>
            <w:tcW w:w="4200" w:type="dxa"/>
          </w:tcPr>
          <w:p>
            <w:pPr>
              <w:pStyle w:val="TableText"/>
              <w:keepLines/>
            </w:pPr>
            <w:r>
              <w:rPr>
                <w:sz w:val="15"/>
                <w:szCs w:val="15"/>
              </w:rPr>
              <w:t xml:space="preserve">NaN and infinity are prohibited at serialisation.</w:t>
            </w:r>
          </w:p>
        </w:tc>
      </w:tr>
      <w:tr>
        <w:trPr>
          <w:cantSplit/>
        </w:trPr>
        <w:tc>
          <w:tcPr>
            <w:tcW w:w="1900" w:type="dxa"/>
          </w:tcPr>
          <w:p>
            <w:pPr>
              <w:pStyle w:val="TableText"/>
              <w:keepLines/>
            </w:pPr>
            <w:r>
              <w:rPr>
                <w:sz w:val="15"/>
                <w:szCs w:val="15"/>
              </w:rPr>
              <w:t xml:space="preserve">unit / frequency</w:t>
            </w:r>
          </w:p>
        </w:tc>
        <w:tc>
          <w:tcPr>
            <w:tcW w:w="2900" w:type="dxa"/>
          </w:tcPr>
          <w:p>
            <w:pPr>
              <w:pStyle w:val="TableText"/>
              <w:keepLines/>
            </w:pPr>
            <w:r>
              <w:rPr>
                <w:sz w:val="15"/>
                <w:szCs w:val="15"/>
              </w:rPr>
              <w:t xml:space="preserve">Explicit measurement metadata</w:t>
            </w:r>
          </w:p>
        </w:tc>
        <w:tc>
          <w:tcPr>
            <w:tcW w:w="4200" w:type="dxa"/>
          </w:tcPr>
          <w:p>
            <w:pPr>
              <w:pStyle w:val="TableText"/>
              <w:keepLines/>
            </w:pPr>
            <w:r>
              <w:rPr>
                <w:sz w:val="15"/>
                <w:szCs w:val="15"/>
              </w:rPr>
              <w:t xml:space="preserve">Prevents unsafe joins and controls display formatting.</w:t>
            </w:r>
          </w:p>
        </w:tc>
      </w:tr>
      <w:tr>
        <w:trPr>
          <w:cantSplit/>
        </w:trPr>
        <w:tc>
          <w:tcPr>
            <w:tcW w:w="1900" w:type="dxa"/>
          </w:tcPr>
          <w:p>
            <w:pPr>
              <w:pStyle w:val="TableText"/>
              <w:keepLines/>
            </w:pPr>
            <w:r>
              <w:rPr>
                <w:sz w:val="15"/>
                <w:szCs w:val="15"/>
              </w:rPr>
              <w:t xml:space="preserve">status</w:t>
            </w:r>
          </w:p>
        </w:tc>
        <w:tc>
          <w:tcPr>
            <w:tcW w:w="2900" w:type="dxa"/>
          </w:tcPr>
          <w:p>
            <w:pPr>
              <w:pStyle w:val="TableText"/>
              <w:keepLines/>
            </w:pPr>
            <w:r>
              <w:rPr>
                <w:sz w:val="15"/>
                <w:szCs w:val="15"/>
              </w:rPr>
              <w:t xml:space="preserve">actual, provisional, revised, estimate or budget</w:t>
            </w:r>
          </w:p>
        </w:tc>
        <w:tc>
          <w:tcPr>
            <w:tcW w:w="4200" w:type="dxa"/>
          </w:tcPr>
          <w:p>
            <w:pPr>
              <w:pStyle w:val="TableText"/>
              <w:keepLines/>
            </w:pPr>
            <w:r>
              <w:rPr>
                <w:sz w:val="15"/>
                <w:szCs w:val="15"/>
              </w:rPr>
              <w:t xml:space="preserve">Distinguishes out-turns from fiscal plans and model starting points.</w:t>
            </w:r>
          </w:p>
        </w:tc>
      </w:tr>
      <w:tr>
        <w:trPr>
          <w:cantSplit/>
        </w:trPr>
        <w:tc>
          <w:tcPr>
            <w:tcW w:w="1900" w:type="dxa"/>
          </w:tcPr>
          <w:p>
            <w:pPr>
              <w:pStyle w:val="TableText"/>
              <w:keepLines/>
            </w:pPr>
            <w:r>
              <w:rPr>
                <w:sz w:val="15"/>
                <w:szCs w:val="15"/>
              </w:rPr>
              <w:t xml:space="preserve">period_label</w:t>
            </w:r>
          </w:p>
        </w:tc>
        <w:tc>
          <w:tcPr>
            <w:tcW w:w="2900" w:type="dxa"/>
          </w:tcPr>
          <w:p>
            <w:pPr>
              <w:pStyle w:val="TableText"/>
              <w:keepLines/>
            </w:pPr>
            <w:r>
              <w:rPr>
                <w:sz w:val="15"/>
                <w:szCs w:val="15"/>
              </w:rPr>
              <w:t xml:space="preserve">Human-readable FY/reporting label</w:t>
            </w:r>
          </w:p>
        </w:tc>
        <w:tc>
          <w:tcPr>
            <w:tcW w:w="4200" w:type="dxa"/>
          </w:tcPr>
          <w:p>
            <w:pPr>
              <w:pStyle w:val="TableText"/>
              <w:keepLines/>
            </w:pPr>
            <w:r>
              <w:rPr>
                <w:sz w:val="15"/>
                <w:szCs w:val="15"/>
              </w:rPr>
              <w:t xml:space="preserve">Prevents 31 March dates from being read as calendar-year observations.</w:t>
            </w:r>
          </w:p>
        </w:tc>
      </w:tr>
      <w:tr>
        <w:trPr>
          <w:cantSplit/>
        </w:trPr>
        <w:tc>
          <w:tcPr>
            <w:tcW w:w="1900" w:type="dxa"/>
          </w:tcPr>
          <w:p>
            <w:pPr>
              <w:pStyle w:val="TableText"/>
              <w:keepLines/>
            </w:pPr>
            <w:r>
              <w:rPr>
                <w:sz w:val="15"/>
                <w:szCs w:val="15"/>
              </w:rPr>
              <w:t xml:space="preserve">source_url / retrieved_at / vintage</w:t>
            </w:r>
          </w:p>
        </w:tc>
        <w:tc>
          <w:tcPr>
            <w:tcW w:w="2900" w:type="dxa"/>
          </w:tcPr>
          <w:p>
            <w:pPr>
              <w:pStyle w:val="TableText"/>
              <w:keepLines/>
            </w:pPr>
            <w:r>
              <w:rPr>
                <w:sz w:val="15"/>
                <w:szCs w:val="15"/>
              </w:rPr>
              <w:t xml:space="preserve">Provenance</w:t>
            </w:r>
          </w:p>
        </w:tc>
        <w:tc>
          <w:tcPr>
            <w:tcW w:w="4200" w:type="dxa"/>
          </w:tcPr>
          <w:p>
            <w:pPr>
              <w:pStyle w:val="TableText"/>
              <w:keepLines/>
            </w:pPr>
            <w:r>
              <w:rPr>
                <w:sz w:val="15"/>
                <w:szCs w:val="15"/>
              </w:rPr>
              <w:t xml:space="preserve">Supports audit of changing institutional publications.</w:t>
            </w:r>
          </w:p>
        </w:tc>
      </w:tr>
      <w:tr>
        <w:trPr>
          <w:cantSplit/>
        </w:trPr>
        <w:tc>
          <w:tcPr>
            <w:tcW w:w="1900" w:type="dxa"/>
          </w:tcPr>
          <w:p>
            <w:pPr>
              <w:pStyle w:val="TableText"/>
              <w:keepLines/>
            </w:pPr>
            <w:r>
              <w:rPr>
                <w:sz w:val="15"/>
                <w:szCs w:val="15"/>
              </w:rPr>
              <w:t xml:space="preserve">period_start / period_end</w:t>
            </w:r>
          </w:p>
        </w:tc>
        <w:tc>
          <w:tcPr>
            <w:tcW w:w="2900" w:type="dxa"/>
          </w:tcPr>
          <w:p>
            <w:pPr>
              <w:pStyle w:val="TableText"/>
              <w:keepLines/>
            </w:pPr>
            <w:r>
              <w:rPr>
                <w:sz w:val="15"/>
                <w:szCs w:val="15"/>
              </w:rPr>
              <w:t xml:space="preserve">Inclusive non-calendar bounds</w:t>
            </w:r>
          </w:p>
        </w:tc>
        <w:tc>
          <w:tcPr>
            <w:tcW w:w="4200" w:type="dxa"/>
          </w:tcPr>
          <w:p>
            <w:pPr>
              <w:pStyle w:val="TableText"/>
              <w:keepLines/>
            </w:pPr>
            <w:r>
              <w:rPr>
                <w:sz w:val="15"/>
                <w:szCs w:val="15"/>
              </w:rPr>
              <w:t xml:space="preserve">Used by fiscal-period-safe upstream joins.</w:t>
            </w:r>
          </w:p>
        </w:tc>
      </w:tr>
    </w:tbl>
    <w:p>
      <w:pPr>
        <w:spacing w:after="80"/>
      </w:pPr>
      <w:r>
        <w:t xml:space="preserve"/>
      </w:r>
    </w:p>
    <w:p>
      <w:r>
        <w:t xml:space="preserve">The shared FiscalPeriod model represents an Indian fiscal year from 1 April through 31 March. ObservationStatus is an enum, so budget and estimate cannot be silently treated as actual. The CapEx orchestrator also consumes already validated chart-contract payloads directly; corporate extraction uses a dedicated immutable CorporateFundamental dataclass before aggregation.</w:t>
      </w:r>
    </w:p>
    <w:p>
      <w:pPr>
        <w:pStyle w:val="Heading1"/>
        <w:keepNext/>
      </w:pPr>
      <w:r>
        <w:t xml:space="preserve">5. Artifact contracts and inventory</w:t>
      </w:r>
    </w:p>
    <w:tbl>
      <w:tblPr>
        <w:tblStyle w:val="ArchitectureTable"/>
        <w:tblW w:w="0" w:type="auto"/>
        <w:tblLayout w:type="fixed"/>
      </w:tblPr>
      <w:tblGrid>
        <w:gridCol w:w="1300"/>
        <w:gridCol w:w="2600"/>
        <w:gridCol w:w="1900"/>
        <w:gridCol w:w="1800"/>
        <w:gridCol w:w="1400"/>
      </w:tblGrid>
      <w:tr>
        <w:trPr>
          <w:tblHeader/>
          <w:cantSplit/>
        </w:trPr>
        <w:tc>
          <w:tcPr>
            <w:tcW w:w="1300" w:type="dxa"/>
            <w:shd w:val="clear" w:color="auto" w:fill="1F4E78"/>
          </w:tcPr>
          <w:p>
            <w:pPr>
              <w:pStyle w:val="TableText"/>
              <w:keepLines/>
            </w:pPr>
            <w:r>
              <w:rPr>
                <w:b/>
                <w:color w:val="FFFFFF"/>
                <w:sz w:val="13"/>
                <w:szCs w:val="13"/>
              </w:rPr>
              <w:t xml:space="preserve">Key</w:t>
            </w:r>
          </w:p>
        </w:tc>
        <w:tc>
          <w:tcPr>
            <w:tcW w:w="2600" w:type="dxa"/>
            <w:shd w:val="clear" w:color="auto" w:fill="1F4E78"/>
          </w:tcPr>
          <w:p>
            <w:pPr>
              <w:pStyle w:val="TableText"/>
              <w:keepLines/>
            </w:pPr>
            <w:r>
              <w:rPr>
                <w:b/>
                <w:color w:val="FFFFFF"/>
                <w:sz w:val="13"/>
                <w:szCs w:val="13"/>
              </w:rPr>
              <w:t xml:space="preserve">Processed/public path</w:t>
            </w:r>
          </w:p>
        </w:tc>
        <w:tc>
          <w:tcPr>
            <w:tcW w:w="1900" w:type="dxa"/>
            <w:shd w:val="clear" w:color="auto" w:fill="1F4E78"/>
          </w:tcPr>
          <w:p>
            <w:pPr>
              <w:pStyle w:val="TableText"/>
              <w:keepLines/>
            </w:pPr>
            <w:r>
              <w:rPr>
                <w:b/>
                <w:color w:val="FFFFFF"/>
                <w:sz w:val="13"/>
                <w:szCs w:val="13"/>
              </w:rPr>
              <w:t xml:space="preserve">Schema</w:t>
            </w:r>
          </w:p>
        </w:tc>
        <w:tc>
          <w:tcPr>
            <w:tcW w:w="1800" w:type="dxa"/>
            <w:shd w:val="clear" w:color="auto" w:fill="1F4E78"/>
          </w:tcPr>
          <w:p>
            <w:pPr>
              <w:pStyle w:val="TableText"/>
              <w:keepLines/>
            </w:pPr>
            <w:r>
              <w:rPr>
                <w:b/>
                <w:color w:val="FFFFFF"/>
                <w:sz w:val="13"/>
                <w:szCs w:val="13"/>
              </w:rPr>
              <w:t xml:space="preserve">Dimensions</w:t>
            </w:r>
          </w:p>
        </w:tc>
        <w:tc>
          <w:tcPr>
            <w:tcW w:w="1400" w:type="dxa"/>
            <w:shd w:val="clear" w:color="auto" w:fill="1F4E78"/>
          </w:tcPr>
          <w:p>
            <w:pPr>
              <w:pStyle w:val="TableText"/>
              <w:keepLines/>
            </w:pPr>
            <w:r>
              <w:rPr>
                <w:b/>
                <w:color w:val="FFFFFF"/>
                <w:sz w:val="13"/>
                <w:szCs w:val="13"/>
              </w:rPr>
              <w:t xml:space="preserve">Coverage</w:t>
            </w:r>
          </w:p>
        </w:tc>
      </w:tr>
      <w:tr>
        <w:trPr>
          <w:cantSplit/>
        </w:trPr>
        <w:tc>
          <w:tcPr>
            <w:tcW w:w="1300" w:type="dxa"/>
          </w:tcPr>
          <w:p>
            <w:pPr>
              <w:pStyle w:val="TableText"/>
              <w:keepLines/>
            </w:pPr>
            <w:r>
              <w:rPr>
                <w:sz w:val="13"/>
                <w:szCs w:val="13"/>
              </w:rPr>
              <w:t xml:space="preserve">execution</w:t>
            </w:r>
          </w:p>
        </w:tc>
        <w:tc>
          <w:tcPr>
            <w:tcW w:w="2600" w:type="dxa"/>
          </w:tcPr>
          <w:p>
            <w:pPr>
              <w:pStyle w:val="TableText"/>
              <w:keepLines/>
            </w:pPr>
            <w:r>
              <w:rPr>
                <w:sz w:val="13"/>
                <w:szCs w:val="13"/>
              </w:rPr>
              <w:t xml:space="preserve">capex-analysis/capex-execution.json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7 series / 56 observations</w:t>
            </w:r>
          </w:p>
        </w:tc>
        <w:tc>
          <w:tcPr>
            <w:tcW w:w="1400" w:type="dxa"/>
          </w:tcPr>
          <w:p>
            <w:pPr>
              <w:pStyle w:val="TableText"/>
              <w:keepLines/>
            </w:pPr>
            <w:r>
              <w:rPr>
                <w:sz w:val="13"/>
                <w:szCs w:val="13"/>
              </w:rPr>
              <w:t xml:space="preserve">2018-03-31 → 2027-03-31</w:t>
            </w:r>
          </w:p>
        </w:tc>
      </w:tr>
      <w:tr>
        <w:trPr>
          <w:cantSplit/>
        </w:trPr>
        <w:tc>
          <w:tcPr>
            <w:tcW w:w="1300" w:type="dxa"/>
          </w:tcPr>
          <w:p>
            <w:pPr>
              <w:pStyle w:val="TableText"/>
              <w:keepLines/>
            </w:pPr>
            <w:r>
              <w:rPr>
                <w:sz w:val="13"/>
                <w:szCs w:val="13"/>
              </w:rPr>
              <w:t xml:space="preserve">allocation</w:t>
            </w:r>
          </w:p>
        </w:tc>
        <w:tc>
          <w:tcPr>
            <w:tcW w:w="2600" w:type="dxa"/>
          </w:tcPr>
          <w:p>
            <w:pPr>
              <w:pStyle w:val="TableText"/>
              <w:keepLines/>
            </w:pPr>
            <w:r>
              <w:rPr>
                <w:sz w:val="13"/>
                <w:szCs w:val="13"/>
              </w:rPr>
              <w:t xml:space="preserve">capex-analysis/sector-capex-allocation.json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2 series / 16 observations</w:t>
            </w:r>
          </w:p>
        </w:tc>
        <w:tc>
          <w:tcPr>
            <w:tcW w:w="1400" w:type="dxa"/>
          </w:tcPr>
          <w:p>
            <w:pPr>
              <w:pStyle w:val="TableText"/>
              <w:keepLines/>
            </w:pPr>
            <w:r>
              <w:rPr>
                <w:sz w:val="13"/>
                <w:szCs w:val="13"/>
              </w:rPr>
              <w:t xml:space="preserve">2019-03-31 → 2026-03-31</w:t>
            </w:r>
          </w:p>
        </w:tc>
      </w:tr>
      <w:tr>
        <w:trPr>
          <w:cantSplit/>
        </w:trPr>
        <w:tc>
          <w:tcPr>
            <w:tcW w:w="1300" w:type="dxa"/>
          </w:tcPr>
          <w:p>
            <w:pPr>
              <w:pStyle w:val="TableText"/>
              <w:keepLines/>
            </w:pPr>
            <w:r>
              <w:rPr>
                <w:sz w:val="13"/>
                <w:szCs w:val="13"/>
              </w:rPr>
              <w:t xml:space="preserve">delivery</w:t>
            </w:r>
          </w:p>
        </w:tc>
        <w:tc>
          <w:tcPr>
            <w:tcW w:w="2600" w:type="dxa"/>
          </w:tcPr>
          <w:p>
            <w:pPr>
              <w:pStyle w:val="TableText"/>
              <w:keepLines/>
            </w:pPr>
            <w:r>
              <w:rPr>
                <w:sz w:val="13"/>
                <w:szCs w:val="13"/>
              </w:rPr>
              <w:t xml:space="preserve">capex-analysis/physical-delivery.json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2 series / 12 observations</w:t>
            </w:r>
          </w:p>
        </w:tc>
        <w:tc>
          <w:tcPr>
            <w:tcW w:w="1400" w:type="dxa"/>
          </w:tcPr>
          <w:p>
            <w:pPr>
              <w:pStyle w:val="TableText"/>
              <w:keepLines/>
            </w:pPr>
            <w:r>
              <w:rPr>
                <w:sz w:val="13"/>
                <w:szCs w:val="13"/>
              </w:rPr>
              <w:t xml:space="preserve">2019-03-31 → 2024-03-31</w:t>
            </w:r>
          </w:p>
        </w:tc>
      </w:tr>
      <w:tr>
        <w:trPr>
          <w:cantSplit/>
        </w:trPr>
        <w:tc>
          <w:tcPr>
            <w:tcW w:w="1300" w:type="dxa"/>
          </w:tcPr>
          <w:p>
            <w:pPr>
              <w:pStyle w:val="TableText"/>
              <w:keepLines/>
            </w:pPr>
            <w:r>
              <w:rPr>
                <w:sz w:val="13"/>
                <w:szCs w:val="13"/>
              </w:rPr>
              <w:t xml:space="preserve">production</w:t>
            </w:r>
          </w:p>
        </w:tc>
        <w:tc>
          <w:tcPr>
            <w:tcW w:w="2600" w:type="dxa"/>
          </w:tcPr>
          <w:p>
            <w:pPr>
              <w:pStyle w:val="TableText"/>
              <w:keepLines/>
            </w:pPr>
            <w:r>
              <w:rPr>
                <w:sz w:val="13"/>
                <w:szCs w:val="13"/>
              </w:rPr>
              <w:t xml:space="preserve">capex-analysis/capital-goods-production.json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1 series / 9 observations</w:t>
            </w:r>
          </w:p>
        </w:tc>
        <w:tc>
          <w:tcPr>
            <w:tcW w:w="1400" w:type="dxa"/>
          </w:tcPr>
          <w:p>
            <w:pPr>
              <w:pStyle w:val="TableText"/>
              <w:keepLines/>
            </w:pPr>
            <w:r>
              <w:rPr>
                <w:sz w:val="13"/>
                <w:szCs w:val="13"/>
              </w:rPr>
              <w:t xml:space="preserve">2015-03-31 → 2023-03-31</w:t>
            </w:r>
          </w:p>
        </w:tc>
      </w:tr>
      <w:tr>
        <w:trPr>
          <w:cantSplit/>
        </w:trPr>
        <w:tc>
          <w:tcPr>
            <w:tcW w:w="1300" w:type="dxa"/>
          </w:tcPr>
          <w:p>
            <w:pPr>
              <w:pStyle w:val="TableText"/>
              <w:keepLines/>
            </w:pPr>
            <w:r>
              <w:rPr>
                <w:sz w:val="13"/>
                <w:szCs w:val="13"/>
              </w:rPr>
              <w:t xml:space="preserve">sectors</w:t>
            </w:r>
          </w:p>
        </w:tc>
        <w:tc>
          <w:tcPr>
            <w:tcW w:w="2600" w:type="dxa"/>
          </w:tcPr>
          <w:p>
            <w:pPr>
              <w:pStyle w:val="TableText"/>
              <w:keepLines/>
            </w:pPr>
            <w:r>
              <w:rPr>
                <w:sz w:val="13"/>
                <w:szCs w:val="13"/>
              </w:rPr>
              <w:t xml:space="preserve">capex-analysis/sector-performance.json</w:t>
            </w:r>
          </w:p>
        </w:tc>
        <w:tc>
          <w:tcPr>
            <w:tcW w:w="1900" w:type="dxa"/>
          </w:tcPr>
          <w:p>
            <w:pPr>
              <w:pStyle w:val="TableText"/>
              <w:keepLines/>
            </w:pPr>
            <w:r>
              <w:rPr>
                <w:sz w:val="13"/>
                <w:szCs w:val="13"/>
              </w:rPr>
              <w:t xml:space="preserve">market_performance</w:t>
            </w:r>
          </w:p>
        </w:tc>
        <w:tc>
          <w:tcPr>
            <w:tcW w:w="1800" w:type="dxa"/>
          </w:tcPr>
          <w:p>
            <w:pPr>
              <w:pStyle w:val="TableText"/>
              <w:keepLines/>
            </w:pPr>
            <w:r>
              <w:rPr>
                <w:sz w:val="13"/>
                <w:szCs w:val="13"/>
              </w:rPr>
              <w:t xml:space="preserve">5 markets / 500 observations</w:t>
            </w:r>
          </w:p>
        </w:tc>
        <w:tc>
          <w:tcPr>
            <w:tcW w:w="1400" w:type="dxa"/>
          </w:tcPr>
          <w:p>
            <w:pPr>
              <w:pStyle w:val="TableText"/>
              <w:keepLines/>
            </w:pPr>
            <w:r>
              <w:rPr>
                <w:sz w:val="13"/>
                <w:szCs w:val="13"/>
              </w:rPr>
              <w:t xml:space="preserve">2018-04-30 → 2026-07-30</w:t>
            </w:r>
          </w:p>
        </w:tc>
      </w:tr>
      <w:tr>
        <w:trPr>
          <w:cantSplit/>
        </w:trPr>
        <w:tc>
          <w:tcPr>
            <w:tcW w:w="1300" w:type="dxa"/>
          </w:tcPr>
          <w:p>
            <w:pPr>
              <w:pStyle w:val="TableText"/>
              <w:keepLines/>
            </w:pPr>
            <w:r>
              <w:rPr>
                <w:sz w:val="13"/>
                <w:szCs w:val="13"/>
              </w:rPr>
              <w:t xml:space="preserve">correlations</w:t>
            </w:r>
          </w:p>
        </w:tc>
        <w:tc>
          <w:tcPr>
            <w:tcW w:w="2600" w:type="dxa"/>
          </w:tcPr>
          <w:p>
            <w:pPr>
              <w:pStyle w:val="TableText"/>
              <w:keepLines/>
            </w:pPr>
            <w:r>
              <w:rPr>
                <w:sz w:val="13"/>
                <w:szCs w:val="13"/>
              </w:rPr>
              <w:t xml:space="preserve">capex-analysis/capex-sector-correlations.json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46 series / 304 observations</w:t>
            </w:r>
          </w:p>
        </w:tc>
        <w:tc>
          <w:tcPr>
            <w:tcW w:w="1400" w:type="dxa"/>
          </w:tcPr>
          <w:p>
            <w:pPr>
              <w:pStyle w:val="TableText"/>
              <w:keepLines/>
            </w:pPr>
            <w:r>
              <w:rPr>
                <w:sz w:val="13"/>
                <w:szCs w:val="13"/>
              </w:rPr>
              <w:t xml:space="preserve">2018-03-31 → 2025-03-31</w:t>
            </w:r>
          </w:p>
        </w:tc>
      </w:tr>
      <w:tr>
        <w:trPr>
          <w:cantSplit/>
        </w:trPr>
        <w:tc>
          <w:tcPr>
            <w:tcW w:w="1300" w:type="dxa"/>
          </w:tcPr>
          <w:p>
            <w:pPr>
              <w:pStyle w:val="TableText"/>
              <w:keepLines/>
            </w:pPr>
            <w:r>
              <w:rPr>
                <w:sz w:val="13"/>
                <w:szCs w:val="13"/>
              </w:rPr>
              <w:t xml:space="preserve">private</w:t>
            </w:r>
          </w:p>
        </w:tc>
        <w:tc>
          <w:tcPr>
            <w:tcW w:w="2600" w:type="dxa"/>
          </w:tcPr>
          <w:p>
            <w:pPr>
              <w:pStyle w:val="TableText"/>
              <w:keepLines/>
            </w:pPr>
            <w:r>
              <w:rPr>
                <w:sz w:val="13"/>
                <w:szCs w:val="13"/>
              </w:rPr>
              <w:t xml:space="preserve">capex-analysis/private-investment-response.json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4 series / 18 observations</w:t>
            </w:r>
          </w:p>
        </w:tc>
        <w:tc>
          <w:tcPr>
            <w:tcW w:w="1400" w:type="dxa"/>
          </w:tcPr>
          <w:p>
            <w:pPr>
              <w:pStyle w:val="TableText"/>
              <w:keepLines/>
            </w:pPr>
            <w:r>
              <w:rPr>
                <w:sz w:val="13"/>
                <w:szCs w:val="13"/>
              </w:rPr>
              <w:t xml:space="preserve">2020-03-31 → 2026-03-31</w:t>
            </w:r>
          </w:p>
        </w:tc>
      </w:tr>
      <w:tr>
        <w:trPr>
          <w:cantSplit/>
        </w:trPr>
        <w:tc>
          <w:tcPr>
            <w:tcW w:w="1300" w:type="dxa"/>
          </w:tcPr>
          <w:p>
            <w:pPr>
              <w:pStyle w:val="TableText"/>
              <w:keepLines/>
            </w:pPr>
            <w:r>
              <w:rPr>
                <w:sz w:val="13"/>
                <w:szCs w:val="13"/>
              </w:rPr>
              <w:t xml:space="preserve">fiscal</w:t>
            </w:r>
          </w:p>
        </w:tc>
        <w:tc>
          <w:tcPr>
            <w:tcW w:w="2600" w:type="dxa"/>
          </w:tcPr>
          <w:p>
            <w:pPr>
              <w:pStyle w:val="TableText"/>
              <w:keepLines/>
            </w:pPr>
            <w:r>
              <w:rPr>
                <w:sz w:val="13"/>
                <w:szCs w:val="13"/>
              </w:rPr>
              <w:t xml:space="preserve">capex-analysis/fiscal-sustainability.json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6 series / 79 observations</w:t>
            </w:r>
          </w:p>
        </w:tc>
        <w:tc>
          <w:tcPr>
            <w:tcW w:w="1400" w:type="dxa"/>
          </w:tcPr>
          <w:p>
            <w:pPr>
              <w:pStyle w:val="TableText"/>
              <w:keepLines/>
            </w:pPr>
            <w:r>
              <w:rPr>
                <w:sz w:val="13"/>
                <w:szCs w:val="13"/>
              </w:rPr>
              <w:t xml:space="preserve">2011-03-31 → 2026-03-31</w:t>
            </w:r>
          </w:p>
        </w:tc>
      </w:tr>
      <w:tr>
        <w:trPr>
          <w:cantSplit/>
        </w:trPr>
        <w:tc>
          <w:tcPr>
            <w:tcW w:w="1300" w:type="dxa"/>
          </w:tcPr>
          <w:p>
            <w:pPr>
              <w:pStyle w:val="TableText"/>
              <w:keepLines/>
            </w:pPr>
            <w:r>
              <w:rPr>
                <w:sz w:val="13"/>
                <w:szCs w:val="13"/>
              </w:rPr>
              <w:t xml:space="preserve">summary</w:t>
            </w:r>
          </w:p>
        </w:tc>
        <w:tc>
          <w:tcPr>
            <w:tcW w:w="2600" w:type="dxa"/>
          </w:tcPr>
          <w:p>
            <w:pPr>
              <w:pStyle w:val="TableText"/>
              <w:keepLines/>
            </w:pPr>
            <w:r>
              <w:rPr>
                <w:sz w:val="13"/>
                <w:szCs w:val="13"/>
              </w:rPr>
              <w:t xml:space="preserve">capex-analysis/analysis-summary.json</w:t>
            </w:r>
          </w:p>
        </w:tc>
        <w:tc>
          <w:tcPr>
            <w:tcW w:w="1900" w:type="dxa"/>
          </w:tcPr>
          <w:p>
            <w:pPr>
              <w:pStyle w:val="TableText"/>
              <w:keepLines/>
            </w:pPr>
            <w:r>
              <w:rPr>
                <w:sz w:val="13"/>
                <w:szCs w:val="13"/>
              </w:rPr>
              <w:t xml:space="preserve">capex_analysis_summary</w:t>
            </w:r>
          </w:p>
        </w:tc>
        <w:tc>
          <w:tcPr>
            <w:tcW w:w="1800" w:type="dxa"/>
          </w:tcPr>
          <w:p>
            <w:pPr>
              <w:pStyle w:val="TableText"/>
              <w:keepLines/>
            </w:pPr>
            <w:r>
              <w:rPr>
                <w:sz w:val="13"/>
                <w:szCs w:val="13"/>
              </w:rPr>
              <w:t xml:space="preserve">4 hypotheses</w:t>
            </w:r>
          </w:p>
        </w:tc>
        <w:tc>
          <w:tcPr>
            <w:tcW w:w="1400" w:type="dxa"/>
          </w:tcPr>
          <w:p>
            <w:pPr>
              <w:pStyle w:val="TableText"/>
              <w:keepLines/>
            </w:pPr>
            <w:r>
              <w:rPr>
                <w:sz w:val="13"/>
                <w:szCs w:val="13"/>
              </w:rPr>
              <w:t xml:space="preserve">Rule-generated at build time</w:t>
            </w:r>
          </w:p>
        </w:tc>
      </w:tr>
      <w:tr>
        <w:trPr>
          <w:cantSplit/>
        </w:trPr>
        <w:tc>
          <w:tcPr>
            <w:tcW w:w="1300" w:type="dxa"/>
          </w:tcPr>
          <w:p>
            <w:pPr>
              <w:pStyle w:val="TableText"/>
              <w:keepLines/>
            </w:pPr>
            <w:r>
              <w:rPr>
                <w:sz w:val="13"/>
                <w:szCs w:val="13"/>
              </w:rPr>
              <w:t xml:space="preserve">corporate</w:t>
            </w:r>
          </w:p>
        </w:tc>
        <w:tc>
          <w:tcPr>
            <w:tcW w:w="2600" w:type="dxa"/>
          </w:tcPr>
          <w:p>
            <w:pPr>
              <w:pStyle w:val="TableText"/>
              <w:keepLines/>
            </w:pPr>
            <w:r>
              <w:rPr>
                <w:sz w:val="13"/>
                <w:szCs w:val="13"/>
              </w:rPr>
              <w:t xml:space="preserve">capex-analysis/corporate-fundamentals.json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12 series / 44 observations</w:t>
            </w:r>
          </w:p>
        </w:tc>
        <w:tc>
          <w:tcPr>
            <w:tcW w:w="1400" w:type="dxa"/>
          </w:tcPr>
          <w:p>
            <w:pPr>
              <w:pStyle w:val="TableText"/>
              <w:keepLines/>
            </w:pPr>
            <w:r>
              <w:rPr>
                <w:sz w:val="13"/>
                <w:szCs w:val="13"/>
              </w:rPr>
              <w:t xml:space="preserve">2022-03-31 → 2026-03-31</w:t>
            </w:r>
          </w:p>
        </w:tc>
      </w:tr>
      <w:tr>
        <w:trPr>
          <w:cantSplit/>
        </w:trPr>
        <w:tc>
          <w:tcPr>
            <w:tcW w:w="1300" w:type="dxa"/>
          </w:tcPr>
          <w:p>
            <w:pPr>
              <w:pStyle w:val="TableText"/>
              <w:keepLines/>
            </w:pPr>
            <w:r>
              <w:rPr>
                <w:sz w:val="13"/>
                <w:szCs w:val="13"/>
              </w:rPr>
              <w:t xml:space="preserve">quality</w:t>
            </w:r>
          </w:p>
        </w:tc>
        <w:tc>
          <w:tcPr>
            <w:tcW w:w="2600" w:type="dxa"/>
          </w:tcPr>
          <w:p>
            <w:pPr>
              <w:pStyle w:val="TableText"/>
              <w:keepLines/>
            </w:pPr>
            <w:r>
              <w:rPr>
                <w:sz w:val="13"/>
                <w:szCs w:val="13"/>
              </w:rPr>
              <w:t xml:space="preserve">capex-analysis/investment-quality.json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5 series / 71 observations</w:t>
            </w:r>
          </w:p>
        </w:tc>
        <w:tc>
          <w:tcPr>
            <w:tcW w:w="1400" w:type="dxa"/>
          </w:tcPr>
          <w:p>
            <w:pPr>
              <w:pStyle w:val="TableText"/>
              <w:keepLines/>
            </w:pPr>
            <w:r>
              <w:rPr>
                <w:sz w:val="13"/>
                <w:szCs w:val="13"/>
              </w:rPr>
              <w:t xml:space="preserve">2009-03-31 → 2023-03-31</w:t>
            </w:r>
          </w:p>
        </w:tc>
      </w:tr>
      <w:tr>
        <w:trPr>
          <w:cantSplit/>
        </w:trPr>
        <w:tc>
          <w:tcPr>
            <w:tcW w:w="1300" w:type="dxa"/>
          </w:tcPr>
          <w:p>
            <w:pPr>
              <w:pStyle w:val="TableText"/>
              <w:keepLines/>
            </w:pPr>
            <w:r>
              <w:rPr>
                <w:sz w:val="13"/>
                <w:szCs w:val="13"/>
              </w:rPr>
              <w:t xml:space="preserve">states</w:t>
            </w:r>
          </w:p>
        </w:tc>
        <w:tc>
          <w:tcPr>
            <w:tcW w:w="2600" w:type="dxa"/>
          </w:tcPr>
          <w:p>
            <w:pPr>
              <w:pStyle w:val="TableText"/>
              <w:keepLines/>
            </w:pPr>
            <w:r>
              <w:rPr>
                <w:sz w:val="13"/>
                <w:szCs w:val="13"/>
              </w:rPr>
              <w:t xml:space="preserve">capex-analysis/state-capex-evaluation.json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2 series / 24 observations</w:t>
            </w:r>
          </w:p>
        </w:tc>
        <w:tc>
          <w:tcPr>
            <w:tcW w:w="1400" w:type="dxa"/>
          </w:tcPr>
          <w:p>
            <w:pPr>
              <w:pStyle w:val="TableText"/>
              <w:keepLines/>
            </w:pPr>
            <w:r>
              <w:rPr>
                <w:sz w:val="13"/>
                <w:szCs w:val="13"/>
              </w:rPr>
              <w:t xml:space="preserve">2012-03-31 → 2023-03-31</w:t>
            </w:r>
          </w:p>
        </w:tc>
      </w:tr>
      <w:tr>
        <w:trPr>
          <w:cantSplit/>
        </w:trPr>
        <w:tc>
          <w:tcPr>
            <w:tcW w:w="1300" w:type="dxa"/>
          </w:tcPr>
          <w:p>
            <w:pPr>
              <w:pStyle w:val="TableText"/>
              <w:keepLines/>
            </w:pPr>
            <w:r>
              <w:rPr>
                <w:sz w:val="13"/>
                <w:szCs w:val="13"/>
              </w:rPr>
              <w:t xml:space="preserve">crowding_in</w:t>
            </w:r>
          </w:p>
        </w:tc>
        <w:tc>
          <w:tcPr>
            <w:tcW w:w="2600" w:type="dxa"/>
          </w:tcPr>
          <w:p>
            <w:pPr>
              <w:pStyle w:val="TableText"/>
              <w:keepLines/>
            </w:pPr>
            <w:r>
              <w:rPr>
                <w:sz w:val="13"/>
                <w:szCs w:val="13"/>
              </w:rPr>
              <w:t xml:space="preserve">capex-analysis/crowding-in-evidence.json</w:t>
            </w:r>
          </w:p>
        </w:tc>
        <w:tc>
          <w:tcPr>
            <w:tcW w:w="1900" w:type="dxa"/>
          </w:tcPr>
          <w:p>
            <w:pPr>
              <w:pStyle w:val="TableText"/>
              <w:keepLines/>
            </w:pPr>
            <w:r>
              <w:rPr>
                <w:sz w:val="13"/>
                <w:szCs w:val="13"/>
              </w:rPr>
              <w:t xml:space="preserve">dated_multi_series</w:t>
            </w:r>
          </w:p>
        </w:tc>
        <w:tc>
          <w:tcPr>
            <w:tcW w:w="1800" w:type="dxa"/>
          </w:tcPr>
          <w:p>
            <w:pPr>
              <w:pStyle w:val="TableText"/>
              <w:keepLines/>
            </w:pPr>
            <w:r>
              <w:rPr>
                <w:sz w:val="13"/>
                <w:szCs w:val="13"/>
              </w:rPr>
              <w:t xml:space="preserve">1 series / 8 observations</w:t>
            </w:r>
          </w:p>
        </w:tc>
        <w:tc>
          <w:tcPr>
            <w:tcW w:w="1400" w:type="dxa"/>
          </w:tcPr>
          <w:p>
            <w:pPr>
              <w:pStyle w:val="TableText"/>
              <w:keepLines/>
            </w:pPr>
            <w:r>
              <w:rPr>
                <w:sz w:val="13"/>
                <w:szCs w:val="13"/>
              </w:rPr>
              <w:t xml:space="preserve">2018-03-31 → 2025-03-31</w:t>
            </w:r>
          </w:p>
        </w:tc>
      </w:tr>
    </w:tbl>
    <w:p>
      <w:pPr>
        <w:spacing w:after="80"/>
      </w:pPr>
      <w:r>
        <w:t xml:space="preserve"/>
      </w:r>
    </w:p>
    <w:p>
      <w:pPr>
        <w:pStyle w:val="Heading2"/>
        <w:keepNext/>
      </w:pPr>
      <w:r>
        <w:t xml:space="preserve">dated_multi_series</w:t>
      </w:r>
    </w:p>
    <w:p>
      <w:r>
        <w:t xml:space="preserve">The metadata object requires generated_at, source, frequency, true start/end dates, indicator_code, label, default_unit, series_order and is_derived. Each named series requires label, entity, unit and values. Values require an ISO date and numeric-or-null value; status and period_label are optional but used extensively. additionalProperties is false at the payload and series levels, while metadata allows documented analytical additions such as correlation_estimates, company_coverage and transmission_evidence.</w:t>
      </w:r>
    </w:p>
    <w:p>
      <w:pPr>
        <w:pStyle w:val="Heading2"/>
        <w:keepNext/>
      </w:pPr>
      <w:r>
        <w:t xml:space="preserve">market_performance</w:t>
      </w:r>
    </w:p>
    <w:p>
      <w:r>
        <w:t xml:space="preserve">The market contract carries source/start/end metadata and a market mapping. Each observation can contain price, independently normalised value, total or excess return fields, relative wealth, drawdown and rolling volatility. The CapEx bundle retains both raw_return and benchmark-excess return so the broad Nifty 50 test can use raw market performance while target sectors use excess performance.</w:t>
      </w:r>
    </w:p>
    <w:p>
      <w:pPr>
        <w:pStyle w:val="Heading2"/>
        <w:keepNext/>
      </w:pPr>
      <w:r>
        <w:t xml:space="preserve">capex_analysis_summary</w:t>
      </w:r>
    </w:p>
    <w:p>
      <w:r>
        <w:t xml:space="preserve">The summary contract requires a research question, classification method and four structured hypotheses. Each hypothesis carries a stable key, claim, status, interpretation and caveat. The artifact is promoted and schema-validated but is loaded directly by CapexVerdict rather than through a catalogue asset.</w:t>
      </w:r>
    </w:p>
    <w:p>
      <w:pPr>
        <w:pStyle w:val="Heading2"/>
        <w:keepNext/>
      </w:pPr>
      <w:r>
        <w:t xml:space="preserve">Catalogue presentation contract</w:t>
      </w:r>
    </w:p>
    <w:p>
      <w:r>
        <w:t xml:space="preserve">Each view binds an asset_id to a component, chart type, x-axis, default visible keys, value format, controls and source/methodology flags. The catalogue schema enumerates specialised components including capex-correlation, corporate-fundamentals, fiscal-bridge, investment-quality, crowding-in, state-capex-evaluation and capex-scenario-lab.</w:t>
      </w:r>
    </w:p>
    <w:p>
      <w:pPr>
        <w:pStyle w:val="Heading1"/>
        <w:keepNext/>
      </w:pPr>
      <w:r>
        <w:t xml:space="preserve">6. End-to-end ETL by artifact</w:t>
      </w:r>
    </w:p>
    <w:tbl>
      <w:tblPr>
        <w:tblStyle w:val="ArchitectureTable"/>
        <w:tblW w:w="0" w:type="auto"/>
        <w:tblLayout w:type="fixed"/>
      </w:tblPr>
      <w:tblGrid>
        <w:gridCol w:w="2300"/>
        <w:gridCol w:w="2300"/>
        <w:gridCol w:w="3100"/>
        <w:gridCol w:w="1300"/>
      </w:tblGrid>
      <w:tr>
        <w:trPr>
          <w:tblHeader/>
          <w:cantSplit/>
        </w:trPr>
        <w:tc>
          <w:tcPr>
            <w:tcW w:w="2300" w:type="dxa"/>
            <w:shd w:val="clear" w:color="auto" w:fill="1F4E78"/>
          </w:tcPr>
          <w:p>
            <w:pPr>
              <w:pStyle w:val="TableText"/>
              <w:keepLines/>
            </w:pPr>
            <w:r>
              <w:rPr>
                <w:b/>
                <w:color w:val="FFFFFF"/>
                <w:sz w:val="13"/>
                <w:szCs w:val="13"/>
              </w:rPr>
              <w:t xml:space="preserve">Output</w:t>
            </w:r>
          </w:p>
        </w:tc>
        <w:tc>
          <w:tcPr>
            <w:tcW w:w="2300" w:type="dxa"/>
            <w:shd w:val="clear" w:color="auto" w:fill="1F4E78"/>
          </w:tcPr>
          <w:p>
            <w:pPr>
              <w:pStyle w:val="TableText"/>
              <w:keepLines/>
            </w:pPr>
            <w:r>
              <w:rPr>
                <w:b/>
                <w:color w:val="FFFFFF"/>
                <w:sz w:val="13"/>
                <w:szCs w:val="13"/>
              </w:rPr>
              <w:t xml:space="preserve">Inputs</w:t>
            </w:r>
          </w:p>
        </w:tc>
        <w:tc>
          <w:tcPr>
            <w:tcW w:w="3100" w:type="dxa"/>
            <w:shd w:val="clear" w:color="auto" w:fill="1F4E78"/>
          </w:tcPr>
          <w:p>
            <w:pPr>
              <w:pStyle w:val="TableText"/>
              <w:keepLines/>
            </w:pPr>
            <w:r>
              <w:rPr>
                <w:b/>
                <w:color w:val="FFFFFF"/>
                <w:sz w:val="13"/>
                <w:szCs w:val="13"/>
              </w:rPr>
              <w:t xml:space="preserve">Core transform</w:t>
            </w:r>
          </w:p>
        </w:tc>
        <w:tc>
          <w:tcPr>
            <w:tcW w:w="1300" w:type="dxa"/>
            <w:shd w:val="clear" w:color="auto" w:fill="1F4E78"/>
          </w:tcPr>
          <w:p>
            <w:pPr>
              <w:pStyle w:val="TableText"/>
              <w:keepLines/>
            </w:pPr>
            <w:r>
              <w:rPr>
                <w:b/>
                <w:color w:val="FFFFFF"/>
                <w:sz w:val="13"/>
                <w:szCs w:val="13"/>
              </w:rPr>
              <w:t xml:space="preserve">Validation and consumer</w:t>
            </w:r>
          </w:p>
        </w:tc>
      </w:tr>
      <w:tr>
        <w:trPr>
          <w:cantSplit/>
        </w:trPr>
        <w:tc>
          <w:tcPr>
            <w:tcW w:w="2300" w:type="dxa"/>
          </w:tcPr>
          <w:p>
            <w:pPr>
              <w:pStyle w:val="TableText"/>
              <w:keepLines/>
            </w:pPr>
            <w:r>
              <w:rPr>
                <w:sz w:val="13"/>
                <w:szCs w:val="13"/>
              </w:rPr>
              <w:t xml:space="preserve">capex-execution.json</w:t>
            </w:r>
          </w:p>
        </w:tc>
        <w:tc>
          <w:tcPr>
            <w:tcW w:w="2300" w:type="dxa"/>
          </w:tcPr>
          <w:p>
            <w:pPr>
              <w:pStyle w:val="TableText"/>
              <w:keepLines/>
            </w:pPr>
            <w:r>
              <w:rPr>
                <w:sz w:val="13"/>
                <w:szCs w:val="13"/>
              </w:rPr>
              <w:t xml:space="preserve">Validated government-investment bundle</w:t>
            </w:r>
          </w:p>
        </w:tc>
        <w:tc>
          <w:tcPr>
            <w:tcW w:w="3100" w:type="dxa"/>
          </w:tcPr>
          <w:p>
            <w:pPr>
              <w:pStyle w:val="TableText"/>
              <w:keepLines/>
            </w:pPr>
            <w:r>
              <w:rPr>
                <w:sz w:val="13"/>
                <w:szCs w:val="13"/>
              </w:rPr>
              <w:t xml:space="preserve">Scope from FY2017–18; retain ratios/vintages; derive nominal growth</w:t>
            </w:r>
          </w:p>
        </w:tc>
        <w:tc>
          <w:tcPr>
            <w:tcW w:w="1300" w:type="dxa"/>
          </w:tcPr>
          <w:p>
            <w:pPr>
              <w:pStyle w:val="TableText"/>
              <w:keepLines/>
            </w:pPr>
            <w:r>
              <w:rPr>
                <w:sz w:val="13"/>
                <w:szCs w:val="13"/>
              </w:rPr>
              <w:t xml:space="preserve">dated_multi_series → general line charts</w:t>
            </w:r>
          </w:p>
        </w:tc>
      </w:tr>
      <w:tr>
        <w:trPr>
          <w:cantSplit/>
        </w:trPr>
        <w:tc>
          <w:tcPr>
            <w:tcW w:w="2300" w:type="dxa"/>
          </w:tcPr>
          <w:p>
            <w:pPr>
              <w:pStyle w:val="TableText"/>
              <w:keepLines/>
            </w:pPr>
            <w:r>
              <w:rPr>
                <w:sz w:val="13"/>
                <w:szCs w:val="13"/>
              </w:rPr>
              <w:t xml:space="preserve">sector-capex-allocation.json</w:t>
            </w:r>
          </w:p>
        </w:tc>
        <w:tc>
          <w:tcPr>
            <w:tcW w:w="2300" w:type="dxa"/>
          </w:tcPr>
          <w:p>
            <w:pPr>
              <w:pStyle w:val="TableText"/>
              <w:keepLines/>
            </w:pPr>
            <w:r>
              <w:rPr>
                <w:sz w:val="13"/>
                <w:szCs w:val="13"/>
              </w:rPr>
              <w:t xml:space="preserve">Frozen Statement 3 capital BE</w:t>
            </w:r>
          </w:p>
        </w:tc>
        <w:tc>
          <w:tcPr>
            <w:tcW w:w="3100" w:type="dxa"/>
          </w:tcPr>
          <w:p>
            <w:pPr>
              <w:pStyle w:val="TableText"/>
              <w:keepLines/>
            </w:pPr>
            <w:r>
              <w:rPr>
                <w:sz w:val="13"/>
                <w:szCs w:val="13"/>
              </w:rPr>
              <w:t xml:space="preserve">Map FY label to 31 March; budget status; separate Roads/Railways series</w:t>
            </w:r>
          </w:p>
        </w:tc>
        <w:tc>
          <w:tcPr>
            <w:tcW w:w="1300" w:type="dxa"/>
          </w:tcPr>
          <w:p>
            <w:pPr>
              <w:pStyle w:val="TableText"/>
              <w:keepLines/>
            </w:pPr>
            <w:r>
              <w:rPr>
                <w:sz w:val="13"/>
                <w:szCs w:val="13"/>
              </w:rPr>
              <w:t xml:space="preserve">dated_multi_series → allocation line view</w:t>
            </w:r>
          </w:p>
        </w:tc>
      </w:tr>
      <w:tr>
        <w:trPr>
          <w:cantSplit/>
        </w:trPr>
        <w:tc>
          <w:tcPr>
            <w:tcW w:w="2300" w:type="dxa"/>
          </w:tcPr>
          <w:p>
            <w:pPr>
              <w:pStyle w:val="TableText"/>
              <w:keepLines/>
            </w:pPr>
            <w:r>
              <w:rPr>
                <w:sz w:val="13"/>
                <w:szCs w:val="13"/>
              </w:rPr>
              <w:t xml:space="preserve">physical-delivery.json</w:t>
            </w:r>
          </w:p>
        </w:tc>
        <w:tc>
          <w:tcPr>
            <w:tcW w:w="2300" w:type="dxa"/>
          </w:tcPr>
          <w:p>
            <w:pPr>
              <w:pStyle w:val="TableText"/>
              <w:keepLines/>
            </w:pPr>
            <w:r>
              <w:rPr>
                <w:sz w:val="13"/>
                <w:szCs w:val="13"/>
              </w:rPr>
              <w:t xml:space="preserve">Frozen MoRTH and Railways reports</w:t>
            </w:r>
          </w:p>
        </w:tc>
        <w:tc>
          <w:tcPr>
            <w:tcW w:w="3100" w:type="dxa"/>
          </w:tcPr>
          <w:p>
            <w:pPr>
              <w:pStyle w:val="TableText"/>
              <w:keepLines/>
            </w:pPr>
            <w:r>
              <w:rPr>
                <w:sz w:val="13"/>
                <w:szCs w:val="13"/>
              </w:rPr>
              <w:t xml:space="preserve">Map annual km outputs; actual status</w:t>
            </w:r>
          </w:p>
        </w:tc>
        <w:tc>
          <w:tcPr>
            <w:tcW w:w="1300" w:type="dxa"/>
          </w:tcPr>
          <w:p>
            <w:pPr>
              <w:pStyle w:val="TableText"/>
              <w:keepLines/>
            </w:pPr>
            <w:r>
              <w:rPr>
                <w:sz w:val="13"/>
                <w:szCs w:val="13"/>
              </w:rPr>
              <w:t xml:space="preserve">dated_multi_series → physical-delivery line view</w:t>
            </w:r>
          </w:p>
        </w:tc>
      </w:tr>
      <w:tr>
        <w:trPr>
          <w:cantSplit/>
        </w:trPr>
        <w:tc>
          <w:tcPr>
            <w:tcW w:w="2300" w:type="dxa"/>
          </w:tcPr>
          <w:p>
            <w:pPr>
              <w:pStyle w:val="TableText"/>
              <w:keepLines/>
            </w:pPr>
            <w:r>
              <w:rPr>
                <w:sz w:val="13"/>
                <w:szCs w:val="13"/>
              </w:rPr>
              <w:t xml:space="preserve">capital-goods-production.json</w:t>
            </w:r>
          </w:p>
        </w:tc>
        <w:tc>
          <w:tcPr>
            <w:tcW w:w="2300" w:type="dxa"/>
          </w:tcPr>
          <w:p>
            <w:pPr>
              <w:pStyle w:val="TableText"/>
              <w:keepLines/>
            </w:pPr>
            <w:r>
              <w:rPr>
                <w:sz w:val="13"/>
                <w:szCs w:val="13"/>
              </w:rPr>
              <w:t xml:space="preserve">RBI/NSO Table 30</w:t>
            </w:r>
          </w:p>
        </w:tc>
        <w:tc>
          <w:tcPr>
            <w:tcW w:w="3100" w:type="dxa"/>
          </w:tcPr>
          <w:p>
            <w:pPr>
              <w:pStyle w:val="TableText"/>
              <w:keepLines/>
            </w:pPr>
            <w:r>
              <w:rPr>
                <w:sz w:val="13"/>
                <w:szCs w:val="13"/>
              </w:rPr>
              <w:t xml:space="preserve">Map fiscal average IIP; preserve pandemic observation</w:t>
            </w:r>
          </w:p>
        </w:tc>
        <w:tc>
          <w:tcPr>
            <w:tcW w:w="1300" w:type="dxa"/>
          </w:tcPr>
          <w:p>
            <w:pPr>
              <w:pStyle w:val="TableText"/>
              <w:keepLines/>
            </w:pPr>
            <w:r>
              <w:rPr>
                <w:sz w:val="13"/>
                <w:szCs w:val="13"/>
              </w:rPr>
              <w:t xml:space="preserve">dated_multi_series → 2D production view</w:t>
            </w:r>
          </w:p>
        </w:tc>
      </w:tr>
      <w:tr>
        <w:trPr>
          <w:cantSplit/>
        </w:trPr>
        <w:tc>
          <w:tcPr>
            <w:tcW w:w="2300" w:type="dxa"/>
          </w:tcPr>
          <w:p>
            <w:pPr>
              <w:pStyle w:val="TableText"/>
              <w:keepLines/>
            </w:pPr>
            <w:r>
              <w:rPr>
                <w:sz w:val="13"/>
                <w:szCs w:val="13"/>
              </w:rPr>
              <w:t xml:space="preserve">sector-performance.json</w:t>
            </w:r>
          </w:p>
        </w:tc>
        <w:tc>
          <w:tcPr>
            <w:tcW w:w="2300" w:type="dxa"/>
          </w:tcPr>
          <w:p>
            <w:pPr>
              <w:pStyle w:val="TableText"/>
              <w:keepLines/>
            </w:pPr>
            <w:r>
              <w:rPr>
                <w:sz w:val="13"/>
                <w:szCs w:val="13"/>
              </w:rPr>
              <w:t xml:space="preserve">Official daily TRI matrix</w:t>
            </w:r>
          </w:p>
        </w:tc>
        <w:tc>
          <w:tcPr>
            <w:tcW w:w="3100" w:type="dxa"/>
          </w:tcPr>
          <w:p>
            <w:pPr>
              <w:pStyle w:val="TableText"/>
              <w:keepLines/>
            </w:pPr>
            <w:r>
              <w:rPr>
                <w:sz w:val="13"/>
                <w:szCs w:val="13"/>
              </w:rPr>
              <w:t xml:space="preserve">Common-date drop; month-end sampling; total/excess returns; rebasing; risk summaries</w:t>
            </w:r>
          </w:p>
        </w:tc>
        <w:tc>
          <w:tcPr>
            <w:tcW w:w="1300" w:type="dxa"/>
          </w:tcPr>
          <w:p>
            <w:pPr>
              <w:pStyle w:val="TableText"/>
              <w:keepLines/>
            </w:pPr>
            <w:r>
              <w:rPr>
                <w:sz w:val="13"/>
                <w:szCs w:val="13"/>
              </w:rPr>
              <w:t xml:space="preserve">market_performance → ChartView</w:t>
            </w:r>
          </w:p>
        </w:tc>
      </w:tr>
      <w:tr>
        <w:trPr>
          <w:cantSplit/>
        </w:trPr>
        <w:tc>
          <w:tcPr>
            <w:tcW w:w="2300" w:type="dxa"/>
          </w:tcPr>
          <w:p>
            <w:pPr>
              <w:pStyle w:val="TableText"/>
              <w:keepLines/>
            </w:pPr>
            <w:r>
              <w:rPr>
                <w:sz w:val="13"/>
                <w:szCs w:val="13"/>
              </w:rPr>
              <w:t xml:space="preserve">capex-sector-correlations.json</w:t>
            </w:r>
          </w:p>
        </w:tc>
        <w:tc>
          <w:tcPr>
            <w:tcW w:w="2300" w:type="dxa"/>
          </w:tcPr>
          <w:p>
            <w:pPr>
              <w:pStyle w:val="TableText"/>
              <w:keepLines/>
            </w:pPr>
            <w:r>
              <w:rPr>
                <w:sz w:val="13"/>
                <w:szCs w:val="13"/>
              </w:rPr>
              <w:t xml:space="preserve">Actual CapEx plus market/private artifacts</w:t>
            </w:r>
          </w:p>
        </w:tc>
        <w:tc>
          <w:tcPr>
            <w:tcW w:w="3100" w:type="dxa"/>
          </w:tcPr>
          <w:p>
            <w:pPr>
              <w:pStyle w:val="TableText"/>
              <w:keepLines/>
            </w:pPr>
            <w:r>
              <w:rPr>
                <w:sz w:val="13"/>
                <w:szCs w:val="13"/>
              </w:rPr>
              <w:t xml:space="preserve">Fixed forward/reverse windows; pair by fiscal end; Pearson/Spearman; pandemic sensitivity</w:t>
            </w:r>
          </w:p>
        </w:tc>
        <w:tc>
          <w:tcPr>
            <w:tcW w:w="1300" w:type="dxa"/>
          </w:tcPr>
          <w:p>
            <w:pPr>
              <w:pStyle w:val="TableText"/>
              <w:keepLines/>
            </w:pPr>
            <w:r>
              <w:rPr>
                <w:sz w:val="13"/>
                <w:szCs w:val="13"/>
              </w:rPr>
              <w:t xml:space="preserve">dated_multi_series metadata → CapexCorrelationView</w:t>
            </w:r>
          </w:p>
        </w:tc>
      </w:tr>
      <w:tr>
        <w:trPr>
          <w:cantSplit/>
        </w:trPr>
        <w:tc>
          <w:tcPr>
            <w:tcW w:w="2300" w:type="dxa"/>
          </w:tcPr>
          <w:p>
            <w:pPr>
              <w:pStyle w:val="TableText"/>
              <w:keepLines/>
            </w:pPr>
            <w:r>
              <w:rPr>
                <w:sz w:val="13"/>
                <w:szCs w:val="13"/>
              </w:rPr>
              <w:t xml:space="preserve">corporate-fundamentals.json</w:t>
            </w:r>
          </w:p>
        </w:tc>
        <w:tc>
          <w:tcPr>
            <w:tcW w:w="2300" w:type="dxa"/>
          </w:tcPr>
          <w:p>
            <w:pPr>
              <w:pStyle w:val="TableText"/>
              <w:keepLines/>
            </w:pPr>
            <w:r>
              <w:rPr>
                <w:sz w:val="13"/>
                <w:szCs w:val="13"/>
              </w:rPr>
              <w:t xml:space="preserve">Ten CorporateFundamental histories</w:t>
            </w:r>
          </w:p>
        </w:tc>
        <w:tc>
          <w:tcPr>
            <w:tcW w:w="3100" w:type="dxa"/>
          </w:tcPr>
          <w:p>
            <w:pPr>
              <w:pStyle w:val="TableText"/>
              <w:keepLines/>
            </w:pPr>
            <w:r>
              <w:rPr>
                <w:sz w:val="13"/>
                <w:szCs w:val="13"/>
              </w:rPr>
              <w:t xml:space="preserve">Within-company growth; unweighted group median; coverage metadata</w:t>
            </w:r>
          </w:p>
        </w:tc>
        <w:tc>
          <w:tcPr>
            <w:tcW w:w="1300" w:type="dxa"/>
          </w:tcPr>
          <w:p>
            <w:pPr>
              <w:pStyle w:val="TableText"/>
              <w:keepLines/>
            </w:pPr>
            <w:r>
              <w:rPr>
                <w:sz w:val="13"/>
                <w:szCs w:val="13"/>
              </w:rPr>
              <w:t xml:space="preserve">dated_multi_series → CorporateFundamentalsView</w:t>
            </w:r>
          </w:p>
        </w:tc>
      </w:tr>
      <w:tr>
        <w:trPr>
          <w:cantSplit/>
        </w:trPr>
        <w:tc>
          <w:tcPr>
            <w:tcW w:w="2300" w:type="dxa"/>
          </w:tcPr>
          <w:p>
            <w:pPr>
              <w:pStyle w:val="TableText"/>
              <w:keepLines/>
            </w:pPr>
            <w:r>
              <w:rPr>
                <w:sz w:val="13"/>
                <w:szCs w:val="13"/>
              </w:rPr>
              <w:t xml:space="preserve">private-investment-response.json</w:t>
            </w:r>
          </w:p>
        </w:tc>
        <w:tc>
          <w:tcPr>
            <w:tcW w:w="2300" w:type="dxa"/>
          </w:tcPr>
          <w:p>
            <w:pPr>
              <w:pStyle w:val="TableText"/>
              <w:keepLines/>
            </w:pPr>
            <w:r>
              <w:rPr>
                <w:sz w:val="13"/>
                <w:szCs w:val="13"/>
              </w:rPr>
              <w:t xml:space="preserve">Validated private-investment bundle</w:t>
            </w:r>
          </w:p>
        </w:tc>
        <w:tc>
          <w:tcPr>
            <w:tcW w:w="3100" w:type="dxa"/>
          </w:tcPr>
          <w:p>
            <w:pPr>
              <w:pStyle w:val="TableText"/>
              <w:keepLines/>
            </w:pPr>
            <w:r>
              <w:rPr>
                <w:sz w:val="13"/>
                <w:szCs w:val="13"/>
              </w:rPr>
              <w:t xml:space="preserve">Scope GFCF, utilisation and one-year public-CapEx lag</w:t>
            </w:r>
          </w:p>
        </w:tc>
        <w:tc>
          <w:tcPr>
            <w:tcW w:w="1300" w:type="dxa"/>
          </w:tcPr>
          <w:p>
            <w:pPr>
              <w:pStyle w:val="TableText"/>
              <w:keepLines/>
            </w:pPr>
            <w:r>
              <w:rPr>
                <w:sz w:val="13"/>
                <w:szCs w:val="13"/>
              </w:rPr>
              <w:t xml:space="preserve">dated_multi_series → general line chart</w:t>
            </w:r>
          </w:p>
        </w:tc>
      </w:tr>
      <w:tr>
        <w:trPr>
          <w:cantSplit/>
        </w:trPr>
        <w:tc>
          <w:tcPr>
            <w:tcW w:w="2300" w:type="dxa"/>
          </w:tcPr>
          <w:p>
            <w:pPr>
              <w:pStyle w:val="TableText"/>
              <w:keepLines/>
            </w:pPr>
            <w:r>
              <w:rPr>
                <w:sz w:val="13"/>
                <w:szCs w:val="13"/>
              </w:rPr>
              <w:t xml:space="preserve">investment-quality.json</w:t>
            </w:r>
          </w:p>
        </w:tc>
        <w:tc>
          <w:tcPr>
            <w:tcW w:w="2300" w:type="dxa"/>
          </w:tcPr>
          <w:p>
            <w:pPr>
              <w:pStyle w:val="TableText"/>
              <w:keepLines/>
            </w:pPr>
            <w:r>
              <w:rPr>
                <w:sz w:val="13"/>
                <w:szCs w:val="13"/>
              </w:rPr>
              <w:t xml:space="preserve">RBI/MoSPI project status and cost tables</w:t>
            </w:r>
          </w:p>
        </w:tc>
        <w:tc>
          <w:tcPr>
            <w:tcW w:w="3100" w:type="dxa"/>
          </w:tcPr>
          <w:p>
            <w:pPr>
              <w:pStyle w:val="TableText"/>
              <w:keepLines/>
            </w:pPr>
            <w:r>
              <w:rPr>
                <w:sz w:val="13"/>
                <w:szCs w:val="13"/>
              </w:rPr>
              <w:t xml:space="preserve">Parse sector blocks; derive schedule, delay and cost-overrun shares; retain sector histories</w:t>
            </w:r>
          </w:p>
        </w:tc>
        <w:tc>
          <w:tcPr>
            <w:tcW w:w="1300" w:type="dxa"/>
          </w:tcPr>
          <w:p>
            <w:pPr>
              <w:pStyle w:val="TableText"/>
              <w:keepLines/>
            </w:pPr>
            <w:r>
              <w:rPr>
                <w:sz w:val="13"/>
                <w:szCs w:val="13"/>
              </w:rPr>
              <w:t xml:space="preserve">dated_multi_series metadata → InvestmentQualityView</w:t>
            </w:r>
          </w:p>
        </w:tc>
      </w:tr>
      <w:tr>
        <w:trPr>
          <w:cantSplit/>
        </w:trPr>
        <w:tc>
          <w:tcPr>
            <w:tcW w:w="2300" w:type="dxa"/>
          </w:tcPr>
          <w:p>
            <w:pPr>
              <w:pStyle w:val="TableText"/>
              <w:keepLines/>
            </w:pPr>
            <w:r>
              <w:rPr>
                <w:sz w:val="13"/>
                <w:szCs w:val="13"/>
              </w:rPr>
              <w:t xml:space="preserve">crowding-in-evidence.json</w:t>
            </w:r>
          </w:p>
        </w:tc>
        <w:tc>
          <w:tcPr>
            <w:tcW w:w="2300" w:type="dxa"/>
          </w:tcPr>
          <w:p>
            <w:pPr>
              <w:pStyle w:val="TableText"/>
              <w:keepLines/>
            </w:pPr>
            <w:r>
              <w:rPr>
                <w:sz w:val="13"/>
                <w:szCs w:val="13"/>
              </w:rPr>
              <w:t xml:space="preserve">Execution, private-investment and IIP artifacts</w:t>
            </w:r>
          </w:p>
        </w:tc>
        <w:tc>
          <w:tcPr>
            <w:tcW w:w="3100" w:type="dxa"/>
          </w:tcPr>
          <w:p>
            <w:pPr>
              <w:pStyle w:val="TableText"/>
              <w:keepLines/>
            </w:pPr>
            <w:r>
              <w:rPr>
                <w:sz w:val="13"/>
                <w:szCs w:val="13"/>
              </w:rPr>
              <w:t xml:space="preserve">Fixed 0–3 year alignment; Pearson/Spearman; eight-observation eligibility gate</w:t>
            </w:r>
          </w:p>
        </w:tc>
        <w:tc>
          <w:tcPr>
            <w:tcW w:w="1300" w:type="dxa"/>
          </w:tcPr>
          <w:p>
            <w:pPr>
              <w:pStyle w:val="TableText"/>
              <w:keepLines/>
            </w:pPr>
            <w:r>
              <w:rPr>
                <w:sz w:val="13"/>
                <w:szCs w:val="13"/>
              </w:rPr>
              <w:t xml:space="preserve">dated_multi_series metadata → CrowdingInView</w:t>
            </w:r>
          </w:p>
        </w:tc>
      </w:tr>
      <w:tr>
        <w:trPr>
          <w:cantSplit/>
        </w:trPr>
        <w:tc>
          <w:tcPr>
            <w:tcW w:w="2300" w:type="dxa"/>
          </w:tcPr>
          <w:p>
            <w:pPr>
              <w:pStyle w:val="TableText"/>
              <w:keepLines/>
            </w:pPr>
            <w:r>
              <w:rPr>
                <w:sz w:val="13"/>
                <w:szCs w:val="13"/>
              </w:rPr>
              <w:t xml:space="preserve">state-capex-evaluation.json</w:t>
            </w:r>
          </w:p>
        </w:tc>
        <w:tc>
          <w:tcPr>
            <w:tcW w:w="2300" w:type="dxa"/>
          </w:tcPr>
          <w:p>
            <w:pPr>
              <w:pStyle w:val="TableText"/>
              <w:keepLines/>
            </w:pPr>
            <w:r>
              <w:rPr>
                <w:sz w:val="13"/>
                <w:szCs w:val="13"/>
              </w:rPr>
              <w:t xml:space="preserve">RBI state outlay and current/constant GSDP</w:t>
            </w:r>
          </w:p>
        </w:tc>
        <w:tc>
          <w:tcPr>
            <w:tcW w:w="3100" w:type="dxa"/>
          </w:tcPr>
          <w:p>
            <w:pPr>
              <w:pStyle w:val="TableText"/>
              <w:keepLines/>
            </w:pPr>
            <w:r>
              <w:rPr>
                <w:sz w:val="13"/>
                <w:szCs w:val="13"/>
              </w:rPr>
              <w:t xml:space="preserve">Scale outlay; pair next-year growth; two-way demean; state-clustered SE</w:t>
            </w:r>
          </w:p>
        </w:tc>
        <w:tc>
          <w:tcPr>
            <w:tcW w:w="1300" w:type="dxa"/>
          </w:tcPr>
          <w:p>
            <w:pPr>
              <w:pStyle w:val="TableText"/>
              <w:keepLines/>
            </w:pPr>
            <w:r>
              <w:rPr>
                <w:sz w:val="13"/>
                <w:szCs w:val="13"/>
              </w:rPr>
              <w:t xml:space="preserve">dated_multi_series metadata → StateCapexEvaluationView</w:t>
            </w:r>
          </w:p>
        </w:tc>
      </w:tr>
      <w:tr>
        <w:trPr>
          <w:cantSplit/>
        </w:trPr>
        <w:tc>
          <w:tcPr>
            <w:tcW w:w="2300" w:type="dxa"/>
          </w:tcPr>
          <w:p>
            <w:pPr>
              <w:pStyle w:val="TableText"/>
              <w:keepLines/>
            </w:pPr>
            <w:r>
              <w:rPr>
                <w:sz w:val="13"/>
                <w:szCs w:val="13"/>
              </w:rPr>
              <w:t xml:space="preserve">fiscal-sustainability.json</w:t>
            </w:r>
          </w:p>
        </w:tc>
        <w:tc>
          <w:tcPr>
            <w:tcW w:w="2300" w:type="dxa"/>
          </w:tcPr>
          <w:p>
            <w:pPr>
              <w:pStyle w:val="TableText"/>
              <w:keepLines/>
            </w:pPr>
            <w:r>
              <w:rPr>
                <w:sz w:val="13"/>
                <w:szCs w:val="13"/>
              </w:rPr>
              <w:t xml:space="preserve">Validated fiscal and execution bundles</w:t>
            </w:r>
          </w:p>
        </w:tc>
        <w:tc>
          <w:tcPr>
            <w:tcW w:w="3100" w:type="dxa"/>
          </w:tcPr>
          <w:p>
            <w:pPr>
              <w:pStyle w:val="TableText"/>
              <w:keepLines/>
            </w:pPr>
            <w:r>
              <w:rPr>
                <w:sz w:val="13"/>
                <w:szCs w:val="13"/>
              </w:rPr>
              <w:t xml:space="preserve">Scope debt/burden/primary balance; add CapEx share and allocation ratio; attach verdict chain</w:t>
            </w:r>
          </w:p>
        </w:tc>
        <w:tc>
          <w:tcPr>
            <w:tcW w:w="1300" w:type="dxa"/>
          </w:tcPr>
          <w:p>
            <w:pPr>
              <w:pStyle w:val="TableText"/>
              <w:keepLines/>
            </w:pPr>
            <w:r>
              <w:rPr>
                <w:sz w:val="13"/>
                <w:szCs w:val="13"/>
              </w:rPr>
              <w:t xml:space="preserve">dated_multi_series → FiscalBridgeView and ScenarioLab</w:t>
            </w:r>
          </w:p>
        </w:tc>
      </w:tr>
      <w:tr>
        <w:trPr>
          <w:cantSplit/>
        </w:trPr>
        <w:tc>
          <w:tcPr>
            <w:tcW w:w="2300" w:type="dxa"/>
          </w:tcPr>
          <w:p>
            <w:pPr>
              <w:pStyle w:val="TableText"/>
              <w:keepLines/>
            </w:pPr>
            <w:r>
              <w:rPr>
                <w:sz w:val="13"/>
                <w:szCs w:val="13"/>
              </w:rPr>
              <w:t xml:space="preserve">analysis-summary.json</w:t>
            </w:r>
          </w:p>
        </w:tc>
        <w:tc>
          <w:tcPr>
            <w:tcW w:w="2300" w:type="dxa"/>
          </w:tcPr>
          <w:p>
            <w:pPr>
              <w:pStyle w:val="TableText"/>
              <w:keepLines/>
            </w:pPr>
            <w:r>
              <w:rPr>
                <w:sz w:val="13"/>
                <w:szCs w:val="13"/>
              </w:rPr>
              <w:t xml:space="preserve">Execution/private/fiscal outputs plus forward correlations</w:t>
            </w:r>
          </w:p>
        </w:tc>
        <w:tc>
          <w:tcPr>
            <w:tcW w:w="3100" w:type="dxa"/>
          </w:tcPr>
          <w:p>
            <w:pPr>
              <w:pStyle w:val="TableText"/>
              <w:keepLines/>
            </w:pPr>
            <w:r>
              <w:rPr>
                <w:sz w:val="13"/>
                <w:szCs w:val="13"/>
              </w:rPr>
              <w:t xml:space="preserve">Deterministic directional classification; reverse leads and Nifty 50 excluded from H2</w:t>
            </w:r>
          </w:p>
        </w:tc>
        <w:tc>
          <w:tcPr>
            <w:tcW w:w="1300" w:type="dxa"/>
          </w:tcPr>
          <w:p>
            <w:pPr>
              <w:pStyle w:val="TableText"/>
              <w:keepLines/>
            </w:pPr>
            <w:r>
              <w:rPr>
                <w:sz w:val="13"/>
                <w:szCs w:val="13"/>
              </w:rPr>
              <w:t xml:space="preserve">capex_analysis_summary → CapexVerdict</w:t>
            </w:r>
          </w:p>
        </w:tc>
      </w:tr>
    </w:tbl>
    <w:p>
      <w:pPr>
        <w:spacing w:after="80"/>
      </w:pPr>
      <w:r>
        <w:t xml:space="preserve"/>
      </w:r>
    </w:p>
    <w:p>
      <w:pPr>
        <w:pStyle w:val="Heading1"/>
        <w:keepNext/>
      </w:pPr>
      <w:r>
        <w:t xml:space="preserve">7. Core transformation algorithms</w:t>
      </w:r>
    </w:p>
    <w:p>
      <w:pPr>
        <w:pStyle w:val="Heading2"/>
        <w:keepNext/>
      </w:pPr>
      <w:r>
        <w:t xml:space="preserve">Market alignment</w:t>
      </w:r>
    </w:p>
    <w:p>
      <w:pPr>
        <w:pStyle w:val="ListParagraph"/>
        <w:keepLines/>
        <w:ind w:left="240"/>
      </w:pPr>
      <w:r>
        <w:rPr>
          <w:b/>
          <w:color w:val="1F4E78"/>
        </w:rPr>
        <w:t xml:space="preserve">1. </w:t>
      </w:r>
      <w:r>
        <w:t xml:space="preserve">Require Nifty 50, every target and FMCG to contain non-empty price histories.</w:t>
      </w:r>
    </w:p>
    <w:p>
      <w:pPr>
        <w:pStyle w:val="ListParagraph"/>
        <w:keepLines/>
        <w:ind w:left="240"/>
      </w:pPr>
      <w:r>
        <w:rPr>
          <w:b/>
          <w:color w:val="1F4E78"/>
        </w:rPr>
        <w:t xml:space="preserve">2. </w:t>
      </w:r>
      <w:r>
        <w:t xml:space="preserve">Sort by date, retain only rows where every required market has a value, and select the last provider observation in each calendar month.</w:t>
      </w:r>
    </w:p>
    <w:p>
      <w:pPr>
        <w:pStyle w:val="ListParagraph"/>
        <w:keepLines/>
        <w:ind w:left="240"/>
      </w:pPr>
      <w:r>
        <w:rPr>
          <w:b/>
          <w:color w:val="1F4E78"/>
        </w:rPr>
        <w:t xml:space="preserve">3. </w:t>
      </w:r>
      <w:r>
        <w:t xml:space="preserve">Compute monthly total returns with no forward filling.</w:t>
      </w:r>
    </w:p>
    <w:p>
      <w:pPr>
        <w:pStyle w:val="ListParagraph"/>
        <w:keepLines/>
        <w:ind w:left="240"/>
      </w:pPr>
      <w:r>
        <w:rPr>
          <w:b/>
          <w:color w:val="1F4E78"/>
        </w:rPr>
        <w:t xml:space="preserve">4. </w:t>
      </w:r>
      <w:r>
        <w:t xml:space="preserve">For target series, subtract Nifty 50 monthly returns to create excess-return observations.</w:t>
      </w:r>
    </w:p>
    <w:p>
      <w:pPr>
        <w:pStyle w:val="ListParagraph"/>
        <w:keepLines/>
        <w:ind w:left="240"/>
      </w:pPr>
      <w:r>
        <w:rPr>
          <w:b/>
          <w:color w:val="1F4E78"/>
        </w:rPr>
        <w:t xml:space="preserve">5. </w:t>
      </w:r>
      <w:r>
        <w:t xml:space="preserve">Construct relative wealth by compounding the ratio of sector and benchmark gross returns.</w:t>
      </w:r>
    </w:p>
    <w:p>
      <w:pPr>
        <w:pStyle w:val="ListParagraph"/>
        <w:keepLines/>
        <w:ind w:left="240"/>
      </w:pPr>
      <w:r>
        <w:rPr>
          <w:b/>
          <w:color w:val="1F4E78"/>
        </w:rPr>
        <w:t xml:space="preserve">6. </w:t>
      </w:r>
      <w:r>
        <w:t xml:space="preserve">Publish independent rebased TRI levels for the FMCG comparison and stable summary statistics.</w:t>
      </w:r>
    </w:p>
    <w:p>
      <w:pPr>
        <w:pStyle w:val="Heading2"/>
        <w:keepNext/>
      </w:pPr>
      <w:r>
        <w:t xml:space="preserve">Lead/lag alignment</w:t>
      </w:r>
    </w:p>
    <w:p>
      <w:r>
        <w:t xml:space="preserve">capex_growth_series derives annual percentage changes from actual CapEx. For every fiscal end and fixed market window, the transform selects monthly returns strictly inside the registered boundaries, requires at least nine monthly observations, compounds them, and records a value at the CapEx fiscal-end date. Correlation pairs are assembled only from complete matching dates. Fiscal ends 2021 and 2022 are removed only in the registered pandemic sensitivity.</w:t>
      </w:r>
    </w:p>
    <w:p>
      <w:pPr>
        <w:pStyle w:val="Heading2"/>
        <w:keepNext/>
      </w:pPr>
      <w:r>
        <w:t xml:space="preserve">Corporate aggregation</w:t>
      </w:r>
    </w:p>
    <w:p>
      <w:r>
        <w:t xml:space="preserve">Records are sorted by company and date. pandas groupby.pct_change with fill_method=None calculates each company’s level growth. Infinite results are replaced by missing values. The median is then taken across available firms within the frozen group and reporting year. ROCE is a level proxy and is therefore not differenced before the median.</w:t>
      </w:r>
    </w:p>
    <w:p>
      <w:pPr>
        <w:pStyle w:val="Heading2"/>
        <w:keepNext/>
      </w:pPr>
      <w:r>
        <w:t xml:space="preserve">Fiscal bridge</w:t>
      </w:r>
    </w:p>
    <w:p>
      <w:r>
        <w:t xml:space="preserve">The execution artifact’s actual CapEx expenditure share is copied into the fiscal payload. It is joined by exact fiscal-end date to interest payments as a share of expenditure. The allocation ratio divides the two shares; a zero or missing interest denominator is omitted. Observation status is conservatively propagated from the non-actual input when applicable.</w:t>
      </w:r>
    </w:p>
    <w:p>
      <w:pPr>
        <w:pStyle w:val="Heading1"/>
        <w:keepNext/>
      </w:pPr>
      <w:r>
        <w:t xml:space="preserve">8. Main build orchestration</w:t>
      </w:r>
    </w:p>
    <w:p>
      <w:pPr>
        <w:pStyle w:val="Code"/>
        <w:keepLines/>
      </w:pPr>
      <w:r>
        <w:t xml:space="preserve">PYTHONPATH=scripts venv/bin/python scripts/build_capex_analysis.py</w:t>
      </w:r>
    </w:p>
    <w:p>
      <w:r>
        <w:t xml:space="preserve">The main build first loads and schema-validates three structural inputs: government investment, private investment and fiscal capacity. It then requests official Nifty TRI histories unless a reproducible --prices-json file is provided. Corporate statements are refreshed unless --skip-corporate is supplied. build_all returns the core artifacts plus corporate when records are available. The same command then refreshes the official investment-quality, state-panel and crowding-in outputs through build_capex_depth. Every payload is mapped to its explicit schema and passed to publish_json.</w:t>
      </w:r>
    </w:p>
    <w:p>
      <w:pPr>
        <w:pStyle w:val="Heading2"/>
        <w:keepNext/>
      </w:pPr>
      <w:r>
        <w:t xml:space="preserve">Reproducible/offline verification</w:t>
      </w:r>
    </w:p>
    <w:p>
      <w:pPr>
        <w:pStyle w:val="Code"/>
        <w:keepLines/>
      </w:pPr>
      <w:r>
        <w:t xml:space="preserve">PYTHONPATH=scripts venv/bin/python scripts/build_capex_analysis.py --prices-json /path/to/prices.json --skip-corporate --skip-depth-refresh</w:t>
      </w:r>
    </w:p>
    <w:p>
      <w:r>
        <w:t xml:space="preserve">The price file contains dates and row objects keyed by the frozen market keys. This path avoids a live market and RBI depth refresh while exercising the deterministic core transformation and publication chain. Skipping either refresh does not delete the last valid artifact.</w:t>
      </w:r>
    </w:p>
    <w:p>
      <w:pPr>
        <w:pStyle w:val="Heading2"/>
        <w:keepNext/>
      </w:pPr>
      <w:r>
        <w:t xml:space="preserve">Targeted allocation/delivery refresh</w:t>
      </w:r>
    </w:p>
    <w:p>
      <w:pPr>
        <w:pStyle w:val="Code"/>
        <w:keepLines/>
      </w:pPr>
      <w:r>
        <w:t xml:space="preserve">PYTHONPATH=scripts venv/bin/python scripts/build_capex_delivery.py</w:t>
      </w:r>
    </w:p>
    <w:p>
      <w:r>
        <w:t xml:space="preserve">The targeted builder publishes the three frozen official-series artifacts. These functions are also called by the main CapEx build, so the targeted entry point is an operational convenience rather than a second required pipeline.</w:t>
      </w:r>
    </w:p>
    <w:p>
      <w:pPr>
        <w:pStyle w:val="Heading1"/>
        <w:keepNext/>
      </w:pPr>
      <w:r>
        <w:t xml:space="preserve">9. Validation and atomic publication</w:t>
      </w:r>
    </w:p>
    <w:p>
      <w:pPr>
        <w:pStyle w:val="ListParagraph"/>
        <w:keepLines/>
        <w:ind w:left="240"/>
      </w:pPr>
      <w:r>
        <w:rPr>
          <w:b/>
          <w:color w:val="1F4E78"/>
        </w:rPr>
        <w:t xml:space="preserve">1. </w:t>
      </w:r>
      <w:r>
        <w:t xml:space="preserve">publish_json validates the complete candidate against the named Draft 2020-12 schema.</w:t>
      </w:r>
    </w:p>
    <w:p>
      <w:pPr>
        <w:pStyle w:val="ListParagraph"/>
        <w:keepLines/>
        <w:ind w:left="240"/>
      </w:pPr>
      <w:r>
        <w:rPr>
          <w:b/>
          <w:color w:val="1F4E78"/>
        </w:rPr>
        <w:t xml:space="preserve">2. </w:t>
      </w:r>
      <w:r>
        <w:t xml:space="preserve">Strict json.dump uses allow_nan=False, rejecting NaN and infinity.</w:t>
      </w:r>
    </w:p>
    <w:p>
      <w:pPr>
        <w:pStyle w:val="ListParagraph"/>
        <w:keepLines/>
        <w:ind w:left="240"/>
      </w:pPr>
      <w:r>
        <w:rPr>
          <w:b/>
          <w:color w:val="1F4E78"/>
        </w:rPr>
        <w:t xml:space="preserve">3. </w:t>
      </w:r>
      <w:r>
        <w:t xml:space="preserve">A temporary file is created beside the destination.</w:t>
      </w:r>
    </w:p>
    <w:p>
      <w:pPr>
        <w:pStyle w:val="ListParagraph"/>
        <w:keepLines/>
        <w:ind w:left="240"/>
      </w:pPr>
      <w:r>
        <w:rPr>
          <w:b/>
          <w:color w:val="1F4E78"/>
        </w:rPr>
        <w:t xml:space="preserve">4. </w:t>
      </w:r>
      <w:r>
        <w:t xml:space="preserve">The file is flushed and fsync is called.</w:t>
      </w:r>
    </w:p>
    <w:p>
      <w:pPr>
        <w:pStyle w:val="ListParagraph"/>
        <w:keepLines/>
        <w:ind w:left="240"/>
      </w:pPr>
      <w:r>
        <w:rPr>
          <w:b/>
          <w:color w:val="1F4E78"/>
        </w:rPr>
        <w:t xml:space="preserve">5. </w:t>
      </w:r>
      <w:r>
        <w:t xml:space="preserve">os.replace atomically replaces the prior valid artifact.</w:t>
      </w:r>
    </w:p>
    <w:p>
      <w:pPr>
        <w:pStyle w:val="ListParagraph"/>
        <w:keepLines/>
        <w:ind w:left="240"/>
      </w:pPr>
      <w:r>
        <w:rPr>
          <w:b/>
          <w:color w:val="1F4E78"/>
        </w:rPr>
        <w:t xml:space="preserve">6. </w:t>
      </w:r>
      <w:r>
        <w:t xml:space="preserve">On any exception, the temporary file is removed and the prior artifact remains.</w:t>
      </w:r>
    </w:p>
    <w:p>
      <w:r>
        <w:t xml:space="preserve">Promotion repeats validation against the route’s contract before copying into frontend/public/data. All thirteen CapEx output paths are registered. The current processed and public copies have matching SHA-256 content, so the browser is serving the same payloads that passed backend validation.</w:t>
      </w:r>
    </w:p>
    <w:p>
      <w:pPr>
        <w:pStyle w:val="Heading1"/>
        <w:keepNext/>
      </w:pPr>
      <w:r>
        <w:t xml:space="preserve">10. Catalogue and frontend integration</w:t>
      </w:r>
    </w:p>
    <w:p>
      <w:pPr>
        <w:pStyle w:val="Heading2"/>
        <w:keepNext/>
      </w:pPr>
      <w:r>
        <w:t xml:space="preserve">Catalogue generation</w:t>
      </w:r>
    </w:p>
    <w:p>
      <w:r>
        <w:t xml:space="preserve">sync_focused_catalogue removes any previous generated capex-transmission section, registers twelve chart assets, builds eleven ordered stage indicators and validates the completed catalogue. The summary artifact is intentionally loaded by the CapexVerdict component rather than counted as a chart asset.</w:t>
      </w:r>
    </w:p>
    <w:tbl>
      <w:tblPr>
        <w:tblStyle w:val="ArchitectureTable"/>
        <w:tblW w:w="0" w:type="auto"/>
        <w:tblLayout w:type="fixed"/>
      </w:tblPr>
      <w:tblGrid>
        <w:gridCol w:w="2400"/>
        <w:gridCol w:w="2200"/>
        <w:gridCol w:w="4400"/>
      </w:tblGrid>
      <w:tr>
        <w:trPr>
          <w:tblHeader/>
          <w:cantSplit/>
        </w:trPr>
        <w:tc>
          <w:tcPr>
            <w:tcW w:w="2400" w:type="dxa"/>
            <w:shd w:val="clear" w:color="auto" w:fill="1F4E78"/>
          </w:tcPr>
          <w:p>
            <w:pPr>
              <w:pStyle w:val="TableText"/>
              <w:keepLines/>
            </w:pPr>
            <w:r>
              <w:rPr>
                <w:b/>
                <w:color w:val="FFFFFF"/>
                <w:sz w:val="15"/>
                <w:szCs w:val="15"/>
              </w:rPr>
              <w:t xml:space="preserve">Component</w:t>
            </w:r>
          </w:p>
        </w:tc>
        <w:tc>
          <w:tcPr>
            <w:tcW w:w="2200" w:type="dxa"/>
            <w:shd w:val="clear" w:color="auto" w:fill="1F4E78"/>
          </w:tcPr>
          <w:p>
            <w:pPr>
              <w:pStyle w:val="TableText"/>
              <w:keepLines/>
            </w:pPr>
            <w:r>
              <w:rPr>
                <w:b/>
                <w:color w:val="FFFFFF"/>
                <w:sz w:val="15"/>
                <w:szCs w:val="15"/>
              </w:rPr>
              <w:t xml:space="preserve">Schema</w:t>
            </w:r>
          </w:p>
        </w:tc>
        <w:tc>
          <w:tcPr>
            <w:tcW w:w="4400" w:type="dxa"/>
            <w:shd w:val="clear" w:color="auto" w:fill="1F4E78"/>
          </w:tcPr>
          <w:p>
            <w:pPr>
              <w:pStyle w:val="TableText"/>
              <w:keepLines/>
            </w:pPr>
            <w:r>
              <w:rPr>
                <w:b/>
                <w:color w:val="FFFFFF"/>
                <w:sz w:val="15"/>
                <w:szCs w:val="15"/>
              </w:rPr>
              <w:t xml:space="preserve">Responsibility</w:t>
            </w:r>
          </w:p>
        </w:tc>
      </w:tr>
      <w:tr>
        <w:trPr>
          <w:cantSplit/>
        </w:trPr>
        <w:tc>
          <w:tcPr>
            <w:tcW w:w="2400" w:type="dxa"/>
          </w:tcPr>
          <w:p>
            <w:pPr>
              <w:pStyle w:val="TableText"/>
              <w:keepLines/>
            </w:pPr>
            <w:r>
              <w:rPr>
                <w:sz w:val="15"/>
                <w:szCs w:val="15"/>
              </w:rPr>
              <w:t xml:space="preserve">ChartView</w:t>
            </w:r>
          </w:p>
        </w:tc>
        <w:tc>
          <w:tcPr>
            <w:tcW w:w="2200" w:type="dxa"/>
          </w:tcPr>
          <w:p>
            <w:pPr>
              <w:pStyle w:val="TableText"/>
              <w:keepLines/>
            </w:pPr>
            <w:r>
              <w:rPr>
                <w:sz w:val="15"/>
                <w:szCs w:val="15"/>
              </w:rPr>
              <w:t xml:space="preserve">dated_multi_series or market_performance</w:t>
            </w:r>
          </w:p>
        </w:tc>
        <w:tc>
          <w:tcPr>
            <w:tcW w:w="4400" w:type="dxa"/>
          </w:tcPr>
          <w:p>
            <w:pPr>
              <w:pStyle w:val="TableText"/>
              <w:keepLines/>
            </w:pPr>
            <w:r>
              <w:rPr>
                <w:sz w:val="15"/>
                <w:szCs w:val="15"/>
              </w:rPr>
              <w:t xml:space="preserve">General line rendering, stable series colours, toggles, tooltips and legends.</w:t>
            </w:r>
          </w:p>
        </w:tc>
      </w:tr>
      <w:tr>
        <w:trPr>
          <w:cantSplit/>
        </w:trPr>
        <w:tc>
          <w:tcPr>
            <w:tcW w:w="2400" w:type="dxa"/>
          </w:tcPr>
          <w:p>
            <w:pPr>
              <w:pStyle w:val="TableText"/>
              <w:keepLines/>
            </w:pPr>
            <w:r>
              <w:rPr>
                <w:sz w:val="15"/>
                <w:szCs w:val="15"/>
              </w:rPr>
              <w:t xml:space="preserve">CapexCorrelationView</w:t>
            </w:r>
          </w:p>
        </w:tc>
        <w:tc>
          <w:tcPr>
            <w:tcW w:w="2200" w:type="dxa"/>
          </w:tcPr>
          <w:p>
            <w:pPr>
              <w:pStyle w:val="TableText"/>
              <w:keepLines/>
            </w:pPr>
            <w:r>
              <w:rPr>
                <w:sz w:val="15"/>
                <w:szCs w:val="15"/>
              </w:rPr>
              <w:t xml:space="preserve">dated_multi_series</w:t>
            </w:r>
          </w:p>
        </w:tc>
        <w:tc>
          <w:tcPr>
            <w:tcW w:w="4400" w:type="dxa"/>
          </w:tcPr>
          <w:p>
            <w:pPr>
              <w:pStyle w:val="TableText"/>
              <w:keepLines/>
            </w:pPr>
            <w:r>
              <w:rPr>
                <w:sz w:val="15"/>
                <w:szCs w:val="15"/>
              </w:rPr>
              <w:t xml:space="preserve">Timing controls, heatmap, detailed and mini scatter plots, coefficients and fitted lines.</w:t>
            </w:r>
          </w:p>
        </w:tc>
      </w:tr>
      <w:tr>
        <w:trPr>
          <w:cantSplit/>
        </w:trPr>
        <w:tc>
          <w:tcPr>
            <w:tcW w:w="2400" w:type="dxa"/>
          </w:tcPr>
          <w:p>
            <w:pPr>
              <w:pStyle w:val="TableText"/>
              <w:keepLines/>
            </w:pPr>
            <w:r>
              <w:rPr>
                <w:sz w:val="15"/>
                <w:szCs w:val="15"/>
              </w:rPr>
              <w:t xml:space="preserve">CorporateFundamentalsView</w:t>
            </w:r>
          </w:p>
        </w:tc>
        <w:tc>
          <w:tcPr>
            <w:tcW w:w="2200" w:type="dxa"/>
          </w:tcPr>
          <w:p>
            <w:pPr>
              <w:pStyle w:val="TableText"/>
              <w:keepLines/>
            </w:pPr>
            <w:r>
              <w:rPr>
                <w:sz w:val="15"/>
                <w:szCs w:val="15"/>
              </w:rPr>
              <w:t xml:space="preserve">dated_multi_series</w:t>
            </w:r>
          </w:p>
        </w:tc>
        <w:tc>
          <w:tcPr>
            <w:tcW w:w="4400" w:type="dxa"/>
          </w:tcPr>
          <w:p>
            <w:pPr>
              <w:pStyle w:val="TableText"/>
              <w:keepLines/>
            </w:pPr>
            <w:r>
              <w:rPr>
                <w:sz w:val="15"/>
                <w:szCs w:val="15"/>
              </w:rPr>
              <w:t xml:space="preserve">Metric tabs, group-median bars and basket coverage.</w:t>
            </w:r>
          </w:p>
        </w:tc>
      </w:tr>
      <w:tr>
        <w:trPr>
          <w:cantSplit/>
        </w:trPr>
        <w:tc>
          <w:tcPr>
            <w:tcW w:w="2400" w:type="dxa"/>
          </w:tcPr>
          <w:p>
            <w:pPr>
              <w:pStyle w:val="TableText"/>
              <w:keepLines/>
            </w:pPr>
            <w:r>
              <w:rPr>
                <w:sz w:val="15"/>
                <w:szCs w:val="15"/>
              </w:rPr>
              <w:t xml:space="preserve">FiscalBridgeView</w:t>
            </w:r>
          </w:p>
        </w:tc>
        <w:tc>
          <w:tcPr>
            <w:tcW w:w="2200" w:type="dxa"/>
          </w:tcPr>
          <w:p>
            <w:pPr>
              <w:pStyle w:val="TableText"/>
              <w:keepLines/>
            </w:pPr>
            <w:r>
              <w:rPr>
                <w:sz w:val="15"/>
                <w:szCs w:val="15"/>
              </w:rPr>
              <w:t xml:space="preserve">dated_multi_series</w:t>
            </w:r>
          </w:p>
        </w:tc>
        <w:tc>
          <w:tcPr>
            <w:tcW w:w="4400" w:type="dxa"/>
          </w:tcPr>
          <w:p>
            <w:pPr>
              <w:pStyle w:val="TableText"/>
              <w:keepLines/>
            </w:pPr>
            <w:r>
              <w:rPr>
                <w:sz w:val="15"/>
                <w:szCs w:val="15"/>
              </w:rPr>
              <w:t xml:space="preserve">Allocation ratio, evidence chain and fiscal quadrant scatter.</w:t>
            </w:r>
          </w:p>
        </w:tc>
      </w:tr>
      <w:tr>
        <w:trPr>
          <w:cantSplit/>
        </w:trPr>
        <w:tc>
          <w:tcPr>
            <w:tcW w:w="2400" w:type="dxa"/>
          </w:tcPr>
          <w:p>
            <w:pPr>
              <w:pStyle w:val="TableText"/>
              <w:keepLines/>
            </w:pPr>
            <w:r>
              <w:rPr>
                <w:sz w:val="15"/>
                <w:szCs w:val="15"/>
              </w:rPr>
              <w:t xml:space="preserve">InvestmentQualityView</w:t>
            </w:r>
          </w:p>
        </w:tc>
        <w:tc>
          <w:tcPr>
            <w:tcW w:w="2200" w:type="dxa"/>
          </w:tcPr>
          <w:p>
            <w:pPr>
              <w:pStyle w:val="TableText"/>
              <w:keepLines/>
            </w:pPr>
            <w:r>
              <w:rPr>
                <w:sz w:val="15"/>
                <w:szCs w:val="15"/>
              </w:rPr>
              <w:t xml:space="preserve">dated_multi_series</w:t>
            </w:r>
          </w:p>
        </w:tc>
        <w:tc>
          <w:tcPr>
            <w:tcW w:w="4400" w:type="dxa"/>
          </w:tcPr>
          <w:p>
            <w:pPr>
              <w:pStyle w:val="TableText"/>
              <w:keepLines/>
            </w:pPr>
            <w:r>
              <w:rPr>
                <w:sz w:val="15"/>
                <w:szCs w:val="15"/>
              </w:rPr>
              <w:t xml:space="preserve">Sector/year delivery trends and latest-year delay/overrun map.</w:t>
            </w:r>
          </w:p>
        </w:tc>
      </w:tr>
      <w:tr>
        <w:trPr>
          <w:cantSplit/>
        </w:trPr>
        <w:tc>
          <w:tcPr>
            <w:tcW w:w="2400" w:type="dxa"/>
          </w:tcPr>
          <w:p>
            <w:pPr>
              <w:pStyle w:val="TableText"/>
              <w:keepLines/>
            </w:pPr>
            <w:r>
              <w:rPr>
                <w:sz w:val="15"/>
                <w:szCs w:val="15"/>
              </w:rPr>
              <w:t xml:space="preserve">CrowdingInView</w:t>
            </w:r>
          </w:p>
        </w:tc>
        <w:tc>
          <w:tcPr>
            <w:tcW w:w="2200" w:type="dxa"/>
          </w:tcPr>
          <w:p>
            <w:pPr>
              <w:pStyle w:val="TableText"/>
              <w:keepLines/>
            </w:pPr>
            <w:r>
              <w:rPr>
                <w:sz w:val="15"/>
                <w:szCs w:val="15"/>
              </w:rPr>
              <w:t xml:space="preserve">dated_multi_series</w:t>
            </w:r>
          </w:p>
        </w:tc>
        <w:tc>
          <w:tcPr>
            <w:tcW w:w="4400" w:type="dxa"/>
          </w:tcPr>
          <w:p>
            <w:pPr>
              <w:pStyle w:val="TableText"/>
              <w:keepLines/>
            </w:pPr>
            <w:r>
              <w:rPr>
                <w:sz w:val="15"/>
                <w:szCs w:val="15"/>
              </w:rPr>
              <w:t xml:space="preserve">Outcome/lag selection, sample gates, scatter and fitted line.</w:t>
            </w:r>
          </w:p>
        </w:tc>
      </w:tr>
      <w:tr>
        <w:trPr>
          <w:cantSplit/>
        </w:trPr>
        <w:tc>
          <w:tcPr>
            <w:tcW w:w="2400" w:type="dxa"/>
          </w:tcPr>
          <w:p>
            <w:pPr>
              <w:pStyle w:val="TableText"/>
              <w:keepLines/>
            </w:pPr>
            <w:r>
              <w:rPr>
                <w:sz w:val="15"/>
                <w:szCs w:val="15"/>
              </w:rPr>
              <w:t xml:space="preserve">StateCapexEvaluationView</w:t>
            </w:r>
          </w:p>
        </w:tc>
        <w:tc>
          <w:tcPr>
            <w:tcW w:w="2200" w:type="dxa"/>
          </w:tcPr>
          <w:p>
            <w:pPr>
              <w:pStyle w:val="TableText"/>
              <w:keepLines/>
            </w:pPr>
            <w:r>
              <w:rPr>
                <w:sz w:val="15"/>
                <w:szCs w:val="15"/>
              </w:rPr>
              <w:t xml:space="preserve">dated_multi_series</w:t>
            </w:r>
          </w:p>
        </w:tc>
        <w:tc>
          <w:tcPr>
            <w:tcW w:w="4400" w:type="dxa"/>
          </w:tcPr>
          <w:p>
            <w:pPr>
              <w:pStyle w:val="TableText"/>
              <w:keepLines/>
            </w:pPr>
            <w:r>
              <w:rPr>
                <w:sz w:val="15"/>
                <w:szCs w:val="15"/>
              </w:rPr>
              <w:t xml:space="preserve">State/year filtering and fixed-effects result interpretation.</w:t>
            </w:r>
          </w:p>
        </w:tc>
      </w:tr>
      <w:tr>
        <w:trPr>
          <w:cantSplit/>
        </w:trPr>
        <w:tc>
          <w:tcPr>
            <w:tcW w:w="2400" w:type="dxa"/>
          </w:tcPr>
          <w:p>
            <w:pPr>
              <w:pStyle w:val="TableText"/>
              <w:keepLines/>
            </w:pPr>
            <w:r>
              <w:rPr>
                <w:sz w:val="15"/>
                <w:szCs w:val="15"/>
              </w:rPr>
              <w:t xml:space="preserve">CapexScenarioLab</w:t>
            </w:r>
          </w:p>
        </w:tc>
        <w:tc>
          <w:tcPr>
            <w:tcW w:w="2200" w:type="dxa"/>
          </w:tcPr>
          <w:p>
            <w:pPr>
              <w:pStyle w:val="TableText"/>
              <w:keepLines/>
            </w:pPr>
            <w:r>
              <w:rPr>
                <w:sz w:val="15"/>
                <w:szCs w:val="15"/>
              </w:rPr>
              <w:t xml:space="preserve">dated_multi_series</w:t>
            </w:r>
          </w:p>
        </w:tc>
        <w:tc>
          <w:tcPr>
            <w:tcW w:w="4400" w:type="dxa"/>
          </w:tcPr>
          <w:p>
            <w:pPr>
              <w:pStyle w:val="TableText"/>
              <w:keepLines/>
            </w:pPr>
            <w:r>
              <w:rPr>
                <w:sz w:val="15"/>
                <w:szCs w:val="15"/>
              </w:rPr>
              <w:t xml:space="preserve">Dynamic baseline, Monte Carlo paths, tornado, frontier, backtest and KPIs.</w:t>
            </w:r>
          </w:p>
        </w:tc>
      </w:tr>
      <w:tr>
        <w:trPr>
          <w:cantSplit/>
        </w:trPr>
        <w:tc>
          <w:tcPr>
            <w:tcW w:w="2400" w:type="dxa"/>
          </w:tcPr>
          <w:p>
            <w:pPr>
              <w:pStyle w:val="TableText"/>
              <w:keepLines/>
            </w:pPr>
            <w:r>
              <w:rPr>
                <w:sz w:val="15"/>
                <w:szCs w:val="15"/>
              </w:rPr>
              <w:t xml:space="preserve">CapexVerdict</w:t>
            </w:r>
          </w:p>
        </w:tc>
        <w:tc>
          <w:tcPr>
            <w:tcW w:w="2200" w:type="dxa"/>
          </w:tcPr>
          <w:p>
            <w:pPr>
              <w:pStyle w:val="TableText"/>
              <w:keepLines/>
            </w:pPr>
            <w:r>
              <w:rPr>
                <w:sz w:val="15"/>
                <w:szCs w:val="15"/>
              </w:rPr>
              <w:t xml:space="preserve">capex_analysis_summary</w:t>
            </w:r>
          </w:p>
        </w:tc>
        <w:tc>
          <w:tcPr>
            <w:tcW w:w="4400" w:type="dxa"/>
          </w:tcPr>
          <w:p>
            <w:pPr>
              <w:pStyle w:val="TableText"/>
              <w:keepLines/>
            </w:pPr>
            <w:r>
              <w:rPr>
                <w:sz w:val="15"/>
                <w:szCs w:val="15"/>
              </w:rPr>
              <w:t xml:space="preserve">Directly loads and renders deterministic hypothesis statuses.</w:t>
            </w:r>
          </w:p>
        </w:tc>
      </w:tr>
      <w:tr>
        <w:trPr>
          <w:cantSplit/>
        </w:trPr>
        <w:tc>
          <w:tcPr>
            <w:tcW w:w="2400" w:type="dxa"/>
          </w:tcPr>
          <w:p>
            <w:pPr>
              <w:pStyle w:val="TableText"/>
              <w:keepLines/>
            </w:pPr>
            <w:r>
              <w:rPr>
                <w:sz w:val="15"/>
                <w:szCs w:val="15"/>
              </w:rPr>
              <w:t xml:space="preserve">SourcePanel</w:t>
            </w:r>
          </w:p>
        </w:tc>
        <w:tc>
          <w:tcPr>
            <w:tcW w:w="2200" w:type="dxa"/>
          </w:tcPr>
          <w:p>
            <w:pPr>
              <w:pStyle w:val="TableText"/>
              <w:keepLines/>
            </w:pPr>
            <w:r>
              <w:rPr>
                <w:sz w:val="15"/>
                <w:szCs w:val="15"/>
              </w:rPr>
              <w:t xml:space="preserve">Payload metadata</w:t>
            </w:r>
          </w:p>
        </w:tc>
        <w:tc>
          <w:tcPr>
            <w:tcW w:w="4400" w:type="dxa"/>
          </w:tcPr>
          <w:p>
            <w:pPr>
              <w:pStyle w:val="TableText"/>
              <w:keepLines/>
            </w:pPr>
            <w:r>
              <w:rPr>
                <w:sz w:val="15"/>
                <w:szCs w:val="15"/>
              </w:rPr>
              <w:t xml:space="preserve">Displays source and methodology provenance beside every chart.</w:t>
            </w:r>
          </w:p>
        </w:tc>
      </w:tr>
    </w:tbl>
    <w:p>
      <w:pPr>
        <w:spacing w:after="80"/>
      </w:pPr>
      <w:r>
        <w:t xml:space="preserve"/>
      </w:r>
    </w:p>
    <w:p>
      <w:pPr>
        <w:pStyle w:val="Heading2"/>
        <w:keepNext/>
      </w:pPr>
      <w:r>
        <w:t xml:space="preserve">Runtime loading</w:t>
      </w:r>
    </w:p>
    <w:p>
      <w:r>
        <w:t xml:space="preserve">useIndicatorData builds a React Query key from data_path and asset version, then loadStaticAsset fetches the browser JSON. detectSchema inspects structural discriminators. assertPayload verifies the catalogue’s declared schema, and assertAdapterMatchesSchema verifies the selected component. This is a runtime defence in addition to TypeScript and build-time AJV validation.</w:t>
      </w:r>
    </w:p>
    <w:p>
      <w:pPr>
        <w:pStyle w:val="Heading2"/>
        <w:keepNext/>
      </w:pPr>
      <w:r>
        <w:t xml:space="preserve">Stable colours and view state</w:t>
      </w:r>
    </w:p>
    <w:p>
      <w:r>
        <w:t xml:space="preserve">General line colours use the series’ position in the full registered key list, not the current visible list. A series therefore retains its colour after other lines are hidden and restored. ChartView is keyed by view ID so switching between allocation and delivery creates clean state rather than leaking visible keys across incompatible assets.</w:t>
      </w:r>
    </w:p>
    <w:p>
      <w:pPr>
        <w:pStyle w:val="Heading1"/>
        <w:keepNext/>
      </w:pPr>
      <w:r>
        <w:t xml:space="preserve">11. Scenario-lab implementation</w:t>
      </w:r>
    </w:p>
    <w:p>
      <w:r>
        <w:t xml:space="preserve">CapexScenarioLab remains a frontend calculation so analysts receive instant feedback without server state. Presets are immutable parameter objects; moving a range input marks the state Custom. useMemo recalculates the deterministic path, 1,200 fixed-seed draws, break-even multiplier, sensitivity ranking and historical one-step backtest whenever an assumption or debt baseline changes.</w:t>
      </w:r>
    </w:p>
    <w:p>
      <w:pPr>
        <w:pStyle w:val="Code"/>
        <w:keepLines/>
      </w:pPr>
      <w:r>
        <w:t xml:space="preserve">delivered = capex × execution</w:t>
      </w:r>
    </w:p>
    <w:p>
      <w:pPr>
        <w:pStyle w:val="Code"/>
        <w:keepLines/>
      </w:pPr>
      <w:r>
        <w:t xml:space="preserve">productive = delivered / (1 + overrun)</w:t>
      </w:r>
    </w:p>
    <w:p>
      <w:pPr>
        <w:pStyle w:val="Code"/>
        <w:keepLines/>
      </w:pPr>
      <w:r>
        <w:t xml:space="preserve">annualImpact = productive × (multiplier + crowdIn)</w:t>
      </w:r>
    </w:p>
    <w:p>
      <w:pPr>
        <w:pStyle w:val="Code"/>
        <w:keepLines/>
      </w:pPr>
      <w:r>
        <w:t xml:space="preserve">baselineDebtₜ = baselineDebtₜ₋₁ × (1+interest)/(1+growth) − primaryBalance</w:t>
      </w:r>
    </w:p>
    <w:p>
      <w:pPr>
        <w:pStyle w:val="Code"/>
        <w:keepLines/>
      </w:pPr>
      <w:r>
        <w:t xml:space="preserve">incrementalDebtₜ = incrementalDebtₜ₋₁ × (1+interest)/(1+growth) + delivered×borrowingShare − benefitₜ×revenueShare</w:t>
      </w:r>
    </w:p>
    <w:p>
      <w:pPr>
        <w:pStyle w:val="Code"/>
        <w:keepLines/>
      </w:pPr>
      <w:r>
        <w:t xml:space="preserve">scenarioDebtₜ = (baselineDebtₜ + incrementalDebtₜ) / (1 + cumulativeGDPₜ/100)</w:t>
      </w:r>
    </w:p>
    <w:p>
      <w:r>
        <w:t xml:space="preserve">latestSettled filters out budget and estimate statuses before selecting the starting debt observation. The component does not mutate or publish data. It renders a conditional scenario against a dynamic debt baseline. Parameter values and results disappear on page reload because no persistence is intended.</w:t>
      </w:r>
    </w:p>
    <w:p>
      <w:pPr>
        <w:keepLines/>
        <w:spacing w:before="120" w:after="160"/>
        <w:ind w:left="180"/>
        <w:pBdr>
          <w:left w:val="single" w:sz="18" w:space="10" w:color="A33D4A"/>
        </w:pBdr>
        <w:shd w:val="clear" w:color="auto" w:fill="FFF1F2"/>
      </w:pPr>
      <w:r>
        <w:rPr>
          <w:b/>
          <w:color w:val="A33D4A"/>
        </w:rPr>
        <w:t xml:space="preserve">Model versioning recommendation  </w:t>
      </w:r>
      <w:r>
        <w:t xml:space="preserve">Before the model is used in a formal published forecast, move preset/range definitions and formula-version metadata into a validated scenario-model contract, add unit tests around a shared pure calculation module, estimate correlated parameter distributions, and expose a downloadable assumption/result record.</w:t>
      </w:r>
    </w:p>
    <w:p>
      <w:pPr>
        <w:pStyle w:val="Heading1"/>
        <w:keepNext/>
      </w:pPr>
      <w:r>
        <w:t xml:space="preserve">12. Testing and verification</w:t>
      </w:r>
    </w:p>
    <w:tbl>
      <w:tblPr>
        <w:tblStyle w:val="ArchitectureTable"/>
        <w:tblW w:w="0" w:type="auto"/>
        <w:tblLayout w:type="fixed"/>
      </w:tblPr>
      <w:tblGrid>
        <w:gridCol w:w="1800"/>
        <w:gridCol w:w="4400"/>
        <w:gridCol w:w="2800"/>
      </w:tblGrid>
      <w:tr>
        <w:trPr>
          <w:tblHeader/>
          <w:cantSplit/>
        </w:trPr>
        <w:tc>
          <w:tcPr>
            <w:tcW w:w="1800" w:type="dxa"/>
            <w:shd w:val="clear" w:color="auto" w:fill="1F4E78"/>
          </w:tcPr>
          <w:p>
            <w:pPr>
              <w:pStyle w:val="TableText"/>
              <w:keepLines/>
            </w:pPr>
            <w:r>
              <w:rPr>
                <w:b/>
                <w:color w:val="FFFFFF"/>
                <w:sz w:val="14"/>
                <w:szCs w:val="14"/>
              </w:rPr>
              <w:t xml:space="preserve">Check</w:t>
            </w:r>
          </w:p>
        </w:tc>
        <w:tc>
          <w:tcPr>
            <w:tcW w:w="4400" w:type="dxa"/>
            <w:shd w:val="clear" w:color="auto" w:fill="1F4E78"/>
          </w:tcPr>
          <w:p>
            <w:pPr>
              <w:pStyle w:val="TableText"/>
              <w:keepLines/>
            </w:pPr>
            <w:r>
              <w:rPr>
                <w:b/>
                <w:color w:val="FFFFFF"/>
                <w:sz w:val="14"/>
                <w:szCs w:val="14"/>
              </w:rPr>
              <w:t xml:space="preserve">Command</w:t>
            </w:r>
          </w:p>
        </w:tc>
        <w:tc>
          <w:tcPr>
            <w:tcW w:w="2800" w:type="dxa"/>
            <w:shd w:val="clear" w:color="auto" w:fill="1F4E78"/>
          </w:tcPr>
          <w:p>
            <w:pPr>
              <w:pStyle w:val="TableText"/>
              <w:keepLines/>
            </w:pPr>
            <w:r>
              <w:rPr>
                <w:b/>
                <w:color w:val="FFFFFF"/>
                <w:sz w:val="14"/>
                <w:szCs w:val="14"/>
              </w:rPr>
              <w:t xml:space="preserve">What it protects</w:t>
            </w:r>
          </w:p>
        </w:tc>
      </w:tr>
      <w:tr>
        <w:trPr>
          <w:cantSplit/>
        </w:trPr>
        <w:tc>
          <w:tcPr>
            <w:tcW w:w="1800" w:type="dxa"/>
          </w:tcPr>
          <w:p>
            <w:pPr>
              <w:pStyle w:val="TableText"/>
              <w:keepLines/>
            </w:pPr>
            <w:r>
              <w:rPr>
                <w:sz w:val="14"/>
                <w:szCs w:val="14"/>
              </w:rPr>
              <w:t xml:space="preserve">Backend suite</w:t>
            </w:r>
          </w:p>
        </w:tc>
        <w:tc>
          <w:tcPr>
            <w:tcW w:w="4400" w:type="dxa"/>
          </w:tcPr>
          <w:p>
            <w:pPr>
              <w:pStyle w:val="TableText"/>
              <w:keepLines/>
            </w:pPr>
            <w:r>
              <w:rPr>
                <w:sz w:val="14"/>
                <w:szCs w:val="14"/>
              </w:rPr>
              <w:t xml:space="preserve">PYTHONPATH=scripts venv/bin/python -m unittest discover -s tests -p 'test_*.py'</w:t>
            </w:r>
          </w:p>
        </w:tc>
        <w:tc>
          <w:tcPr>
            <w:tcW w:w="2800" w:type="dxa"/>
          </w:tcPr>
          <w:p>
            <w:pPr>
              <w:pStyle w:val="TableText"/>
              <w:keepLines/>
            </w:pPr>
            <w:r>
              <w:rPr>
                <w:sz w:val="14"/>
                <w:szCs w:val="14"/>
              </w:rPr>
              <w:t xml:space="preserve">Tests cover CapEx transforms, registered lag windows, retained upstream parsers, schemas and the CapEx-only publication boundary.</w:t>
            </w:r>
          </w:p>
        </w:tc>
      </w:tr>
      <w:tr>
        <w:trPr>
          <w:cantSplit/>
        </w:trPr>
        <w:tc>
          <w:tcPr>
            <w:tcW w:w="1800" w:type="dxa"/>
          </w:tcPr>
          <w:p>
            <w:pPr>
              <w:pStyle w:val="TableText"/>
              <w:keepLines/>
            </w:pPr>
            <w:r>
              <w:rPr>
                <w:sz w:val="14"/>
                <w:szCs w:val="14"/>
              </w:rPr>
              <w:t xml:space="preserve">Static-data validation</w:t>
            </w:r>
          </w:p>
        </w:tc>
        <w:tc>
          <w:tcPr>
            <w:tcW w:w="4400" w:type="dxa"/>
          </w:tcPr>
          <w:p>
            <w:pPr>
              <w:pStyle w:val="TableText"/>
              <w:keepLines/>
            </w:pPr>
            <w:r>
              <w:rPr>
                <w:sz w:val="14"/>
                <w:szCs w:val="14"/>
              </w:rPr>
              <w:t xml:space="preserve">cd frontend &amp;&amp; npm run validate:data</w:t>
            </w:r>
          </w:p>
        </w:tc>
        <w:tc>
          <w:tcPr>
            <w:tcW w:w="2800" w:type="dxa"/>
          </w:tcPr>
          <w:p>
            <w:pPr>
              <w:pStyle w:val="TableText"/>
              <w:keepLines/>
            </w:pPr>
            <w:r>
              <w:rPr>
                <w:sz w:val="14"/>
                <w:szCs w:val="14"/>
              </w:rPr>
              <w:t xml:space="preserve">Catalogue schema, all referenced assets, adapter/schema compatibility, metadata coverage and duplicates.</w:t>
            </w:r>
          </w:p>
        </w:tc>
      </w:tr>
      <w:tr>
        <w:trPr>
          <w:cantSplit/>
        </w:trPr>
        <w:tc>
          <w:tcPr>
            <w:tcW w:w="1800" w:type="dxa"/>
          </w:tcPr>
          <w:p>
            <w:pPr>
              <w:pStyle w:val="TableText"/>
              <w:keepLines/>
            </w:pPr>
            <w:r>
              <w:rPr>
                <w:sz w:val="14"/>
                <w:szCs w:val="14"/>
              </w:rPr>
              <w:t xml:space="preserve">Type checking</w:t>
            </w:r>
          </w:p>
        </w:tc>
        <w:tc>
          <w:tcPr>
            <w:tcW w:w="4400" w:type="dxa"/>
          </w:tcPr>
          <w:p>
            <w:pPr>
              <w:pStyle w:val="TableText"/>
              <w:keepLines/>
            </w:pPr>
            <w:r>
              <w:rPr>
                <w:sz w:val="14"/>
                <w:szCs w:val="14"/>
              </w:rPr>
              <w:t xml:space="preserve">cd frontend &amp;&amp; npx tsc --noEmit</w:t>
            </w:r>
          </w:p>
        </w:tc>
        <w:tc>
          <w:tcPr>
            <w:tcW w:w="2800" w:type="dxa"/>
          </w:tcPr>
          <w:p>
            <w:pPr>
              <w:pStyle w:val="TableText"/>
              <w:keepLines/>
            </w:pPr>
            <w:r>
              <w:rPr>
                <w:sz w:val="14"/>
                <w:szCs w:val="14"/>
              </w:rPr>
              <w:t xml:space="preserve">TypeScript component and payload compatibility.</w:t>
            </w:r>
          </w:p>
        </w:tc>
      </w:tr>
      <w:tr>
        <w:trPr>
          <w:cantSplit/>
        </w:trPr>
        <w:tc>
          <w:tcPr>
            <w:tcW w:w="1800" w:type="dxa"/>
          </w:tcPr>
          <w:p>
            <w:pPr>
              <w:pStyle w:val="TableText"/>
              <w:keepLines/>
            </w:pPr>
            <w:r>
              <w:rPr>
                <w:sz w:val="14"/>
                <w:szCs w:val="14"/>
              </w:rPr>
              <w:t xml:space="preserve">Lint</w:t>
            </w:r>
          </w:p>
        </w:tc>
        <w:tc>
          <w:tcPr>
            <w:tcW w:w="4400" w:type="dxa"/>
          </w:tcPr>
          <w:p>
            <w:pPr>
              <w:pStyle w:val="TableText"/>
              <w:keepLines/>
            </w:pPr>
            <w:r>
              <w:rPr>
                <w:sz w:val="14"/>
                <w:szCs w:val="14"/>
              </w:rPr>
              <w:t xml:space="preserve">cd frontend &amp;&amp; npm run lint</w:t>
            </w:r>
          </w:p>
        </w:tc>
        <w:tc>
          <w:tcPr>
            <w:tcW w:w="2800" w:type="dxa"/>
          </w:tcPr>
          <w:p>
            <w:pPr>
              <w:pStyle w:val="TableText"/>
              <w:keepLines/>
            </w:pPr>
            <w:r>
              <w:rPr>
                <w:sz w:val="14"/>
                <w:szCs w:val="14"/>
              </w:rPr>
              <w:t xml:space="preserve">Frontend correctness and dead-code checks.</w:t>
            </w:r>
          </w:p>
        </w:tc>
      </w:tr>
      <w:tr>
        <w:trPr>
          <w:cantSplit/>
        </w:trPr>
        <w:tc>
          <w:tcPr>
            <w:tcW w:w="1800" w:type="dxa"/>
          </w:tcPr>
          <w:p>
            <w:pPr>
              <w:pStyle w:val="TableText"/>
              <w:keepLines/>
            </w:pPr>
            <w:r>
              <w:rPr>
                <w:sz w:val="14"/>
                <w:szCs w:val="14"/>
              </w:rPr>
              <w:t xml:space="preserve">Production build</w:t>
            </w:r>
          </w:p>
        </w:tc>
        <w:tc>
          <w:tcPr>
            <w:tcW w:w="4400" w:type="dxa"/>
          </w:tcPr>
          <w:p>
            <w:pPr>
              <w:pStyle w:val="TableText"/>
              <w:keepLines/>
            </w:pPr>
            <w:r>
              <w:rPr>
                <w:sz w:val="14"/>
                <w:szCs w:val="14"/>
              </w:rPr>
              <w:t xml:space="preserve">cd frontend &amp;&amp; npm run build</w:t>
            </w:r>
          </w:p>
        </w:tc>
        <w:tc>
          <w:tcPr>
            <w:tcW w:w="2800" w:type="dxa"/>
          </w:tcPr>
          <w:p>
            <w:pPr>
              <w:pStyle w:val="TableText"/>
              <w:keepLines/>
            </w:pPr>
            <w:r>
              <w:rPr>
                <w:sz w:val="14"/>
                <w:szCs w:val="14"/>
              </w:rPr>
              <w:t xml:space="preserve">Runs data validation and creates optimised frontend/dist.</w:t>
            </w:r>
          </w:p>
        </w:tc>
      </w:tr>
      <w:tr>
        <w:trPr>
          <w:cantSplit/>
        </w:trPr>
        <w:tc>
          <w:tcPr>
            <w:tcW w:w="1800" w:type="dxa"/>
          </w:tcPr>
          <w:p>
            <w:pPr>
              <w:pStyle w:val="TableText"/>
              <w:keepLines/>
            </w:pPr>
            <w:r>
              <w:rPr>
                <w:sz w:val="14"/>
                <w:szCs w:val="14"/>
              </w:rPr>
              <w:t xml:space="preserve">Whitespace/conflict check</w:t>
            </w:r>
          </w:p>
        </w:tc>
        <w:tc>
          <w:tcPr>
            <w:tcW w:w="4400" w:type="dxa"/>
          </w:tcPr>
          <w:p>
            <w:pPr>
              <w:pStyle w:val="TableText"/>
              <w:keepLines/>
            </w:pPr>
            <w:r>
              <w:rPr>
                <w:sz w:val="14"/>
                <w:szCs w:val="14"/>
              </w:rPr>
              <w:t xml:space="preserve">git diff --check</w:t>
            </w:r>
          </w:p>
        </w:tc>
        <w:tc>
          <w:tcPr>
            <w:tcW w:w="2800" w:type="dxa"/>
          </w:tcPr>
          <w:p>
            <w:pPr>
              <w:pStyle w:val="TableText"/>
              <w:keepLines/>
            </w:pPr>
            <w:r>
              <w:rPr>
                <w:sz w:val="14"/>
                <w:szCs w:val="14"/>
              </w:rPr>
              <w:t xml:space="preserve">Trailing whitespace and unresolved patch formatting.</w:t>
            </w:r>
          </w:p>
        </w:tc>
      </w:tr>
    </w:tbl>
    <w:p>
      <w:pPr>
        <w:spacing w:after="80"/>
      </w:pPr>
      <w:r>
        <w:t xml:space="preserve"/>
      </w:r>
    </w:p>
    <w:p>
      <w:r>
        <w:t xml:space="preserve">At generation time all 65 backend tests pass, 31 static assets and 14 catalogue sections validate, TypeScript and lint pass, and the Vite production build succeeds. The remaining notice is a bundle-size warning: the main JavaScript chunk is approximately 714 KB minified and 210 KB gzip.</w:t>
      </w:r>
    </w:p>
    <w:p>
      <w:pPr>
        <w:pStyle w:val="Heading1"/>
        <w:keepNext/>
      </w:pPr>
      <w:r>
        <w:t xml:space="preserve">13. Build and deployment runbook</w:t>
      </w:r>
    </w:p>
    <w:p>
      <w:pPr>
        <w:pStyle w:val="Heading2"/>
        <w:keepNext/>
      </w:pPr>
      <w:r>
        <w:t xml:space="preserve">Prerequisites</w:t>
      </w:r>
    </w:p>
    <w:p>
      <w:pPr>
        <w:pStyle w:val="ListParagraph"/>
        <w:keepLines/>
        <w:ind w:left="360"/>
      </w:pPr>
      <w:r>
        <w:rPr>
          <w:b/>
          <w:color w:val="D97706"/>
        </w:rPr>
        <w:t xml:space="preserve">•</w:t>
      </w:r>
      <w:r>
        <w:t xml:space="preserve">  Python environment with dependencies from requirements/requirements.txt.</w:t>
      </w:r>
    </w:p>
    <w:p>
      <w:pPr>
        <w:pStyle w:val="ListParagraph"/>
        <w:keepLines/>
        <w:ind w:left="360"/>
      </w:pPr>
      <w:r>
        <w:rPr>
          <w:b/>
          <w:color w:val="D97706"/>
        </w:rPr>
        <w:t xml:space="preserve">•</w:t>
      </w:r>
      <w:r>
        <w:t xml:space="preserve">  Node dependencies installed in frontend/.</w:t>
      </w:r>
    </w:p>
    <w:p>
      <w:pPr>
        <w:pStyle w:val="ListParagraph"/>
        <w:keepLines/>
        <w:ind w:left="360"/>
      </w:pPr>
      <w:r>
        <w:rPr>
          <w:b/>
          <w:color w:val="D97706"/>
        </w:rPr>
        <w:t xml:space="preserve">•</w:t>
      </w:r>
      <w:r>
        <w:t xml:space="preserve">  pdftotext available for the broader official-PDF extraction pipeline.</w:t>
      </w:r>
    </w:p>
    <w:p>
      <w:pPr>
        <w:pStyle w:val="ListParagraph"/>
        <w:keepLines/>
        <w:ind w:left="360"/>
      </w:pPr>
      <w:r>
        <w:rPr>
          <w:b/>
          <w:color w:val="D97706"/>
        </w:rPr>
        <w:t xml:space="preserve">•</w:t>
      </w:r>
      <w:r>
        <w:t xml:space="preserve">  Network access for live Nifty and corporate refreshes.</w:t>
      </w:r>
    </w:p>
    <w:p>
      <w:pPr>
        <w:pStyle w:val="ListParagraph"/>
        <w:keepLines/>
        <w:ind w:left="360"/>
      </w:pPr>
      <w:r>
        <w:rPr>
          <w:b/>
          <w:color w:val="D97706"/>
        </w:rPr>
        <w:t xml:space="preserve">•</w:t>
      </w:r>
      <w:r>
        <w:t xml:space="preserve">  Validated upstream government-investment, private-investment and fiscal-capacity processed bundles.</w:t>
      </w:r>
    </w:p>
    <w:p>
      <w:pPr>
        <w:pStyle w:val="Heading2"/>
        <w:keepNext/>
      </w:pPr>
      <w:r>
        <w:t xml:space="preserve">Recommended full refresh</w:t>
      </w:r>
    </w:p>
    <w:p>
      <w:pPr>
        <w:pStyle w:val="Code"/>
        <w:keepLines/>
      </w:pPr>
      <w:r>
        <w:t xml:space="preserve">PYTHONPATH=scripts venv/bin/python scripts/build_government_investment.py
PYTHONPATH=scripts venv/bin/python scripts/build_private_investment.py
PYTHONPATH=scripts venv/bin/python scripts/build_fiscal_capacity.py</w:t>
      </w:r>
    </w:p>
    <w:p>
      <w:pPr>
        <w:pStyle w:val="Code"/>
        <w:keepLines/>
      </w:pPr>
      <w:r>
        <w:t xml:space="preserve">PYTHONPATH=scripts venv/bin/python scripts/build_capex_analysis.py</w:t>
      </w:r>
    </w:p>
    <w:p>
      <w:pPr>
        <w:pStyle w:val="Code"/>
        <w:keepLines/>
      </w:pPr>
      <w:r>
        <w:t xml:space="preserve">PYTHONPATH=scripts venv/bin/python scripts/promote_processed_data.py</w:t>
      </w:r>
    </w:p>
    <w:p>
      <w:pPr>
        <w:pStyle w:val="Code"/>
        <w:keepLines/>
      </w:pPr>
      <w:r>
        <w:t xml:space="preserve">PYTHONPATH=scripts venv/bin/python scripts/sync_focused_catalogue.py</w:t>
      </w:r>
    </w:p>
    <w:p>
      <w:pPr>
        <w:pStyle w:val="Code"/>
        <w:keepLines/>
      </w:pPr>
      <w:r>
        <w:t xml:space="preserve">cd frontend &amp;&amp; npm run validate:data &amp;&amp; npx tsc --noEmit &amp;&amp; npm run lint &amp;&amp; npm run build</w:t>
      </w:r>
    </w:p>
    <w:p>
      <w:r>
        <w:t xml:space="preserve">The first command refreshes the structural dependencies in order. The CapEx build then refreshes live markets and companies and publishes all CapEx outputs. Promotion without arguments promotes every existing registered artifact. Catalogue synchronisation updates versions and availability before the frontend build.</w:t>
      </w:r>
    </w:p>
    <w:p>
      <w:pPr>
        <w:pStyle w:val="Heading2"/>
        <w:keepNext/>
      </w:pPr>
      <w:r>
        <w:t xml:space="preserve">Static deployment</w:t>
      </w:r>
    </w:p>
    <w:p>
      <w:pPr>
        <w:pStyle w:val="ListParagraph"/>
        <w:keepLines/>
        <w:ind w:left="240"/>
      </w:pPr>
      <w:r>
        <w:rPr>
          <w:b/>
          <w:color w:val="1F4E78"/>
        </w:rPr>
        <w:t xml:space="preserve">1. </w:t>
      </w:r>
      <w:r>
        <w:t xml:space="preserve">Deploy the complete frontend/dist directory to a static host.</w:t>
      </w:r>
    </w:p>
    <w:p>
      <w:pPr>
        <w:pStyle w:val="ListParagraph"/>
        <w:keepLines/>
        <w:ind w:left="240"/>
      </w:pPr>
      <w:r>
        <w:rPr>
          <w:b/>
          <w:color w:val="1F4E78"/>
        </w:rPr>
        <w:t xml:space="preserve">2. </w:t>
      </w:r>
      <w:r>
        <w:t xml:space="preserve">Configure unknown application routes such as /research/capex-transmission to fall back to index.html.</w:t>
      </w:r>
    </w:p>
    <w:p>
      <w:pPr>
        <w:pStyle w:val="ListParagraph"/>
        <w:keepLines/>
        <w:ind w:left="240"/>
      </w:pPr>
      <w:r>
        <w:rPr>
          <w:b/>
          <w:color w:val="1F4E78"/>
        </w:rPr>
        <w:t xml:space="preserve">3. </w:t>
      </w:r>
      <w:r>
        <w:t xml:space="preserve">Preserve /data paths and JSON MIME types.</w:t>
      </w:r>
    </w:p>
    <w:p>
      <w:pPr>
        <w:pStyle w:val="ListParagraph"/>
        <w:keepLines/>
        <w:ind w:left="240"/>
      </w:pPr>
      <w:r>
        <w:rPr>
          <w:b/>
          <w:color w:val="1F4E78"/>
        </w:rPr>
        <w:t xml:space="preserve">4. </w:t>
      </w:r>
      <w:r>
        <w:t xml:space="preserve">Do not deploy frontend/src or data/processed as runtime dependencies; the browser needs only compiled assets and promoted public data.</w:t>
      </w:r>
    </w:p>
    <w:p>
      <w:pPr>
        <w:pStyle w:val="ListParagraph"/>
        <w:keepLines/>
        <w:ind w:left="240"/>
      </w:pPr>
      <w:r>
        <w:rPr>
          <w:b/>
          <w:color w:val="1F4E78"/>
        </w:rPr>
        <w:t xml:space="preserve">5. </w:t>
      </w:r>
      <w:r>
        <w:t xml:space="preserve">Run a smoke test against the production URL: load the CapEx lens, switch every view, change correlation controls and move every scenario slider.</w:t>
      </w:r>
    </w:p>
    <w:p>
      <w:pPr>
        <w:keepLines/>
        <w:spacing w:before="120" w:after="160"/>
        <w:ind w:left="180"/>
        <w:pBdr>
          <w:left w:val="single" w:sz="18" w:space="10" w:color="D97706"/>
        </w:pBdr>
        <w:shd w:val="clear" w:color="auto" w:fill="FFF7E6"/>
      </w:pPr>
      <w:r>
        <w:rPr>
          <w:b/>
          <w:color w:val="D97706"/>
        </w:rPr>
        <w:t xml:space="preserve">No platform is currently encoded  </w:t>
      </w:r>
      <w:r>
        <w:t xml:space="preserve">The repository contains no Vercel, Netlify, container or Sites hosting configuration. This guide therefore documents a platform-neutral static deployment. Platform-specific cache headers, access controls and rollback must be configured by the selected host.</w:t>
      </w:r>
    </w:p>
    <w:p>
      <w:pPr>
        <w:pStyle w:val="Heading1"/>
        <w:keepNext/>
      </w:pPr>
      <w:r>
        <w:t xml:space="preserve">14. Operational failure modes</w:t>
      </w:r>
    </w:p>
    <w:tbl>
      <w:tblPr>
        <w:tblStyle w:val="ArchitectureTable"/>
        <w:tblW w:w="0" w:type="auto"/>
        <w:tblLayout w:type="fixed"/>
      </w:tblPr>
      <w:tblGrid>
        <w:gridCol w:w="2200"/>
        <w:gridCol w:w="3300"/>
        <w:gridCol w:w="3500"/>
      </w:tblGrid>
      <w:tr>
        <w:trPr>
          <w:tblHeader/>
          <w:cantSplit/>
        </w:trPr>
        <w:tc>
          <w:tcPr>
            <w:tcW w:w="2200" w:type="dxa"/>
            <w:shd w:val="clear" w:color="auto" w:fill="1F4E78"/>
          </w:tcPr>
          <w:p>
            <w:pPr>
              <w:pStyle w:val="TableText"/>
              <w:keepLines/>
            </w:pPr>
            <w:r>
              <w:rPr>
                <w:b/>
                <w:color w:val="FFFFFF"/>
                <w:sz w:val="14"/>
                <w:szCs w:val="14"/>
              </w:rPr>
              <w:t xml:space="preserve">Failure</w:t>
            </w:r>
          </w:p>
        </w:tc>
        <w:tc>
          <w:tcPr>
            <w:tcW w:w="3300" w:type="dxa"/>
            <w:shd w:val="clear" w:color="auto" w:fill="1F4E78"/>
          </w:tcPr>
          <w:p>
            <w:pPr>
              <w:pStyle w:val="TableText"/>
              <w:keepLines/>
            </w:pPr>
            <w:r>
              <w:rPr>
                <w:b/>
                <w:color w:val="FFFFFF"/>
                <w:sz w:val="14"/>
                <w:szCs w:val="14"/>
              </w:rPr>
              <w:t xml:space="preserve">Expected behaviour</w:t>
            </w:r>
          </w:p>
        </w:tc>
        <w:tc>
          <w:tcPr>
            <w:tcW w:w="3500" w:type="dxa"/>
            <w:shd w:val="clear" w:color="auto" w:fill="1F4E78"/>
          </w:tcPr>
          <w:p>
            <w:pPr>
              <w:pStyle w:val="TableText"/>
              <w:keepLines/>
            </w:pPr>
            <w:r>
              <w:rPr>
                <w:b/>
                <w:color w:val="FFFFFF"/>
                <w:sz w:val="14"/>
                <w:szCs w:val="14"/>
              </w:rPr>
              <w:t xml:space="preserve">Operator action</w:t>
            </w:r>
          </w:p>
        </w:tc>
      </w:tr>
      <w:tr>
        <w:trPr>
          <w:cantSplit/>
        </w:trPr>
        <w:tc>
          <w:tcPr>
            <w:tcW w:w="2200" w:type="dxa"/>
          </w:tcPr>
          <w:p>
            <w:pPr>
              <w:pStyle w:val="TableText"/>
              <w:keepLines/>
            </w:pPr>
            <w:r>
              <w:rPr>
                <w:sz w:val="14"/>
                <w:szCs w:val="14"/>
              </w:rPr>
              <w:t xml:space="preserve">Official Nifty endpoint changes</w:t>
            </w:r>
          </w:p>
        </w:tc>
        <w:tc>
          <w:tcPr>
            <w:tcW w:w="3300" w:type="dxa"/>
          </w:tcPr>
          <w:p>
            <w:pPr>
              <w:pStyle w:val="TableText"/>
              <w:keepLines/>
            </w:pPr>
            <w:r>
              <w:rPr>
                <w:sz w:val="14"/>
                <w:szCs w:val="14"/>
              </w:rPr>
              <w:t xml:space="preserve">Extractor raises on HTTP or unexpected response type; no processed replacement.</w:t>
            </w:r>
          </w:p>
        </w:tc>
        <w:tc>
          <w:tcPr>
            <w:tcW w:w="3500" w:type="dxa"/>
          </w:tcPr>
          <w:p>
            <w:pPr>
              <w:pStyle w:val="TableText"/>
              <w:keepLines/>
            </w:pPr>
            <w:r>
              <w:rPr>
                <w:sz w:val="14"/>
                <w:szCs w:val="14"/>
              </w:rPr>
              <w:t xml:space="preserve">Inspect landed/request contract; update extractor without weakening required-market checks.</w:t>
            </w:r>
          </w:p>
        </w:tc>
      </w:tr>
      <w:tr>
        <w:trPr>
          <w:cantSplit/>
        </w:trPr>
        <w:tc>
          <w:tcPr>
            <w:tcW w:w="2200" w:type="dxa"/>
          </w:tcPr>
          <w:p>
            <w:pPr>
              <w:pStyle w:val="TableText"/>
              <w:keepLines/>
            </w:pPr>
            <w:r>
              <w:rPr>
                <w:sz w:val="14"/>
                <w:szCs w:val="14"/>
              </w:rPr>
              <w:t xml:space="preserve">Corporate provider missing a line item</w:t>
            </w:r>
          </w:p>
        </w:tc>
        <w:tc>
          <w:tcPr>
            <w:tcW w:w="3300" w:type="dxa"/>
          </w:tcPr>
          <w:p>
            <w:pPr>
              <w:pStyle w:val="TableText"/>
              <w:keepLines/>
            </w:pPr>
            <w:r>
              <w:rPr>
                <w:sz w:val="14"/>
                <w:szCs w:val="14"/>
              </w:rPr>
              <w:t xml:space="preserve">Fallback labels are tried; absent values remain null and coverage may shrink.</w:t>
            </w:r>
          </w:p>
        </w:tc>
        <w:tc>
          <w:tcPr>
            <w:tcW w:w="3500" w:type="dxa"/>
          </w:tcPr>
          <w:p>
            <w:pPr>
              <w:pStyle w:val="TableText"/>
              <w:keepLines/>
            </w:pPr>
            <w:r>
              <w:rPr>
                <w:sz w:val="14"/>
                <w:szCs w:val="14"/>
              </w:rPr>
              <w:t xml:space="preserve">Compare against company annual reports; do not substitute unrelated metrics.</w:t>
            </w:r>
          </w:p>
        </w:tc>
      </w:tr>
      <w:tr>
        <w:trPr>
          <w:cantSplit/>
        </w:trPr>
        <w:tc>
          <w:tcPr>
            <w:tcW w:w="2200" w:type="dxa"/>
          </w:tcPr>
          <w:p>
            <w:pPr>
              <w:pStyle w:val="TableText"/>
              <w:keepLines/>
            </w:pPr>
            <w:r>
              <w:rPr>
                <w:sz w:val="14"/>
                <w:szCs w:val="14"/>
              </w:rPr>
              <w:t xml:space="preserve">Budget table definition changes</w:t>
            </w:r>
          </w:p>
        </w:tc>
        <w:tc>
          <w:tcPr>
            <w:tcW w:w="3300" w:type="dxa"/>
          </w:tcPr>
          <w:p>
            <w:pPr>
              <w:pStyle w:val="TableText"/>
              <w:keepLines/>
            </w:pPr>
            <w:r>
              <w:rPr>
                <w:sz w:val="14"/>
                <w:szCs w:val="14"/>
              </w:rPr>
              <w:t xml:space="preserve">Frozen series remains last valid; manual refresh must reconcile the capital column.</w:t>
            </w:r>
          </w:p>
        </w:tc>
        <w:tc>
          <w:tcPr>
            <w:tcW w:w="3500" w:type="dxa"/>
          </w:tcPr>
          <w:p>
            <w:pPr>
              <w:pStyle w:val="TableText"/>
              <w:keepLines/>
            </w:pPr>
            <w:r>
              <w:rPr>
                <w:sz w:val="14"/>
                <w:szCs w:val="14"/>
              </w:rPr>
              <w:t xml:space="preserve">Add a new source vintage and regression assertion.</w:t>
            </w:r>
          </w:p>
        </w:tc>
      </w:tr>
      <w:tr>
        <w:trPr>
          <w:cantSplit/>
        </w:trPr>
        <w:tc>
          <w:tcPr>
            <w:tcW w:w="2200" w:type="dxa"/>
          </w:tcPr>
          <w:p>
            <w:pPr>
              <w:pStyle w:val="TableText"/>
              <w:keepLines/>
            </w:pPr>
            <w:r>
              <w:rPr>
                <w:sz w:val="14"/>
                <w:szCs w:val="14"/>
              </w:rPr>
              <w:t xml:space="preserve">Schema validation fails</w:t>
            </w:r>
          </w:p>
        </w:tc>
        <w:tc>
          <w:tcPr>
            <w:tcW w:w="3300" w:type="dxa"/>
          </w:tcPr>
          <w:p>
            <w:pPr>
              <w:pStyle w:val="TableText"/>
              <w:keepLines/>
            </w:pPr>
            <w:r>
              <w:rPr>
                <w:sz w:val="14"/>
                <w:szCs w:val="14"/>
              </w:rPr>
              <w:t xml:space="preserve">publish_json stops before writing.</w:t>
            </w:r>
          </w:p>
        </w:tc>
        <w:tc>
          <w:tcPr>
            <w:tcW w:w="3500" w:type="dxa"/>
          </w:tcPr>
          <w:p>
            <w:pPr>
              <w:pStyle w:val="TableText"/>
              <w:keepLines/>
            </w:pPr>
            <w:r>
              <w:rPr>
                <w:sz w:val="14"/>
                <w:szCs w:val="14"/>
              </w:rPr>
              <w:t xml:space="preserve">Correct metadata, units, statuses or transform output; never hand-edit public JSON.</w:t>
            </w:r>
          </w:p>
        </w:tc>
      </w:tr>
      <w:tr>
        <w:trPr>
          <w:cantSplit/>
        </w:trPr>
        <w:tc>
          <w:tcPr>
            <w:tcW w:w="2200" w:type="dxa"/>
          </w:tcPr>
          <w:p>
            <w:pPr>
              <w:pStyle w:val="TableText"/>
              <w:keepLines/>
            </w:pPr>
            <w:r>
              <w:rPr>
                <w:sz w:val="14"/>
                <w:szCs w:val="14"/>
              </w:rPr>
              <w:t xml:space="preserve">Promotion fails</w:t>
            </w:r>
          </w:p>
        </w:tc>
        <w:tc>
          <w:tcPr>
            <w:tcW w:w="3300" w:type="dxa"/>
          </w:tcPr>
          <w:p>
            <w:pPr>
              <w:pStyle w:val="TableText"/>
              <w:keepLines/>
            </w:pPr>
            <w:r>
              <w:rPr>
                <w:sz w:val="14"/>
                <w:szCs w:val="14"/>
              </w:rPr>
              <w:t xml:space="preserve">Existing public artifact remains.</w:t>
            </w:r>
          </w:p>
        </w:tc>
        <w:tc>
          <w:tcPr>
            <w:tcW w:w="3500" w:type="dxa"/>
          </w:tcPr>
          <w:p>
            <w:pPr>
              <w:pStyle w:val="TableText"/>
              <w:keepLines/>
            </w:pPr>
            <w:r>
              <w:rPr>
                <w:sz w:val="14"/>
                <w:szCs w:val="14"/>
              </w:rPr>
              <w:t xml:space="preserve">Validate processed file against its registered route contract.</w:t>
            </w:r>
          </w:p>
        </w:tc>
      </w:tr>
      <w:tr>
        <w:trPr>
          <w:cantSplit/>
        </w:trPr>
        <w:tc>
          <w:tcPr>
            <w:tcW w:w="2200" w:type="dxa"/>
          </w:tcPr>
          <w:p>
            <w:pPr>
              <w:pStyle w:val="TableText"/>
              <w:keepLines/>
            </w:pPr>
            <w:r>
              <w:rPr>
                <w:sz w:val="14"/>
                <w:szCs w:val="14"/>
              </w:rPr>
              <w:t xml:space="preserve">Catalogue references wrong adapter</w:t>
            </w:r>
          </w:p>
        </w:tc>
        <w:tc>
          <w:tcPr>
            <w:tcW w:w="3300" w:type="dxa"/>
          </w:tcPr>
          <w:p>
            <w:pPr>
              <w:pStyle w:val="TableText"/>
              <w:keepLines/>
            </w:pPr>
            <w:r>
              <w:rPr>
                <w:sz w:val="14"/>
                <w:szCs w:val="14"/>
              </w:rPr>
              <w:t xml:space="preserve">Frontend validator and runtime guard fail.</w:t>
            </w:r>
          </w:p>
        </w:tc>
        <w:tc>
          <w:tcPr>
            <w:tcW w:w="3500" w:type="dxa"/>
          </w:tcPr>
          <w:p>
            <w:pPr>
              <w:pStyle w:val="TableText"/>
              <w:keepLines/>
            </w:pPr>
            <w:r>
              <w:rPr>
                <w:sz w:val="14"/>
                <w:szCs w:val="14"/>
              </w:rPr>
              <w:t xml:space="preserve">Update types, schema enum, validator map and MetricPanel dispatch together.</w:t>
            </w:r>
          </w:p>
        </w:tc>
      </w:tr>
      <w:tr>
        <w:trPr>
          <w:cantSplit/>
        </w:trPr>
        <w:tc>
          <w:tcPr>
            <w:tcW w:w="2200" w:type="dxa"/>
          </w:tcPr>
          <w:p>
            <w:pPr>
              <w:pStyle w:val="TableText"/>
              <w:keepLines/>
            </w:pPr>
            <w:r>
              <w:rPr>
                <w:sz w:val="14"/>
                <w:szCs w:val="14"/>
              </w:rPr>
              <w:t xml:space="preserve">Browser cache serves older data</w:t>
            </w:r>
          </w:p>
        </w:tc>
        <w:tc>
          <w:tcPr>
            <w:tcW w:w="3300" w:type="dxa"/>
          </w:tcPr>
          <w:p>
            <w:pPr>
              <w:pStyle w:val="TableText"/>
              <w:keepLines/>
            </w:pPr>
            <w:r>
              <w:rPr>
                <w:sz w:val="14"/>
                <w:szCs w:val="14"/>
              </w:rPr>
              <w:t xml:space="preserve">Asset version normally changes with catalogue generation.</w:t>
            </w:r>
          </w:p>
        </w:tc>
        <w:tc>
          <w:tcPr>
            <w:tcW w:w="3500" w:type="dxa"/>
          </w:tcPr>
          <w:p>
            <w:pPr>
              <w:pStyle w:val="TableText"/>
              <w:keepLines/>
            </w:pPr>
            <w:r>
              <w:rPr>
                <w:sz w:val="14"/>
                <w:szCs w:val="14"/>
              </w:rPr>
              <w:t xml:space="preserve">Verify catalogue version and host cache headers; invalidate static cache if required.</w:t>
            </w:r>
          </w:p>
        </w:tc>
      </w:tr>
      <w:tr>
        <w:trPr>
          <w:cantSplit/>
        </w:trPr>
        <w:tc>
          <w:tcPr>
            <w:tcW w:w="2200" w:type="dxa"/>
          </w:tcPr>
          <w:p>
            <w:pPr>
              <w:pStyle w:val="TableText"/>
              <w:keepLines/>
            </w:pPr>
            <w:r>
              <w:rPr>
                <w:sz w:val="14"/>
                <w:szCs w:val="14"/>
              </w:rPr>
              <w:t xml:space="preserve">Scenario result looks implausible</w:t>
            </w:r>
          </w:p>
        </w:tc>
        <w:tc>
          <w:tcPr>
            <w:tcW w:w="3300" w:type="dxa"/>
          </w:tcPr>
          <w:p>
            <w:pPr>
              <w:pStyle w:val="TableText"/>
              <w:keepLines/>
            </w:pPr>
            <w:r>
              <w:rPr>
                <w:sz w:val="14"/>
                <w:szCs w:val="14"/>
              </w:rPr>
              <w:t xml:space="preserve">No backend failure occurs because inputs are user assumptions.</w:t>
            </w:r>
          </w:p>
        </w:tc>
        <w:tc>
          <w:tcPr>
            <w:tcW w:w="3500" w:type="dxa"/>
          </w:tcPr>
          <w:p>
            <w:pPr>
              <w:pStyle w:val="TableText"/>
              <w:keepLines/>
            </w:pPr>
            <w:r>
              <w:rPr>
                <w:sz w:val="14"/>
                <w:szCs w:val="14"/>
              </w:rPr>
              <w:t xml:space="preserve">Review every assumption, especially multiplier, lag, financing and nominal growth; treat as a scenario.</w:t>
            </w:r>
          </w:p>
        </w:tc>
      </w:tr>
    </w:tbl>
    <w:p>
      <w:pPr>
        <w:spacing w:after="80"/>
      </w:pPr>
      <w:r>
        <w:t xml:space="preserve"/>
      </w:r>
    </w:p>
    <w:p>
      <w:pPr>
        <w:pStyle w:val="Heading1"/>
        <w:keepNext/>
      </w:pPr>
      <w:r>
        <w:t xml:space="preserve">15. Technical debt and recommended next work</w:t>
      </w:r>
    </w:p>
    <w:tbl>
      <w:tblPr>
        <w:tblStyle w:val="ArchitectureTable"/>
        <w:tblW w:w="0" w:type="auto"/>
        <w:tblLayout w:type="fixed"/>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Recommendation</w:t>
            </w:r>
          </w:p>
        </w:tc>
        <w:tc>
          <w:tcPr>
            <w:tcW w:w="6000" w:type="dxa"/>
            <w:shd w:val="clear" w:color="auto" w:fill="1F4E78"/>
          </w:tcPr>
          <w:p>
            <w:pPr>
              <w:pStyle w:val="TableText"/>
              <w:keepLines/>
            </w:pPr>
            <w:r>
              <w:rPr>
                <w:b/>
                <w:color w:val="FFFFFF"/>
                <w:sz w:val="18"/>
                <w:szCs w:val="18"/>
              </w:rPr>
              <w:t xml:space="preserve">Implementation direction</w:t>
            </w:r>
          </w:p>
        </w:tc>
      </w:tr>
      <w:tr>
        <w:trPr>
          <w:cantSplit/>
        </w:trPr>
        <w:tc>
          <w:tcPr>
            <w:tcW w:w="3000" w:type="dxa"/>
          </w:tcPr>
          <w:p>
            <w:pPr>
              <w:pStyle w:val="TableText"/>
              <w:keepLines/>
            </w:pPr>
            <w:r>
              <w:rPr>
                <w:sz w:val="18"/>
                <w:szCs w:val="18"/>
              </w:rPr>
              <w:t xml:space="preserve">Automate frozen source extraction</w:t>
            </w:r>
          </w:p>
        </w:tc>
        <w:tc>
          <w:tcPr>
            <w:tcW w:w="6000" w:type="dxa"/>
          </w:tcPr>
          <w:p>
            <w:pPr>
              <w:pStyle w:val="TableText"/>
              <w:keepLines/>
            </w:pPr>
            <w:r>
              <w:rPr>
                <w:sz w:val="18"/>
                <w:szCs w:val="18"/>
              </w:rPr>
              <w:t xml:space="preserve">Create Statement 3, MoRTH, Railways and IIP extractors with dated raw landing and table-identity checks.</w:t>
            </w:r>
          </w:p>
        </w:tc>
      </w:tr>
      <w:tr>
        <w:trPr>
          <w:cantSplit/>
        </w:trPr>
        <w:tc>
          <w:tcPr>
            <w:tcW w:w="3000" w:type="dxa"/>
          </w:tcPr>
          <w:p>
            <w:pPr>
              <w:pStyle w:val="TableText"/>
              <w:keepLines/>
            </w:pPr>
            <w:r>
              <w:rPr>
                <w:sz w:val="18"/>
                <w:szCs w:val="18"/>
              </w:rPr>
              <w:t xml:space="preserve">Version the scenario model</w:t>
            </w:r>
          </w:p>
        </w:tc>
        <w:tc>
          <w:tcPr>
            <w:tcW w:w="6000" w:type="dxa"/>
          </w:tcPr>
          <w:p>
            <w:pPr>
              <w:pStyle w:val="TableText"/>
              <w:keepLines/>
            </w:pPr>
            <w:r>
              <w:rPr>
                <w:sz w:val="18"/>
                <w:szCs w:val="18"/>
              </w:rPr>
              <w:t xml:space="preserve">Move the implemented parameters, uncertainty ranges and formulas into a schema-valid model definition and a pure calculation module shared by tests and UI.</w:t>
            </w:r>
          </w:p>
        </w:tc>
      </w:tr>
      <w:tr>
        <w:trPr>
          <w:cantSplit/>
        </w:trPr>
        <w:tc>
          <w:tcPr>
            <w:tcW w:w="3000" w:type="dxa"/>
          </w:tcPr>
          <w:p>
            <w:pPr>
              <w:pStyle w:val="TableText"/>
              <w:keepLines/>
            </w:pPr>
            <w:r>
              <w:rPr>
                <w:sz w:val="18"/>
                <w:szCs w:val="18"/>
              </w:rPr>
              <w:t xml:space="preserve">Test frontend interactions</w:t>
            </w:r>
          </w:p>
        </w:tc>
        <w:tc>
          <w:tcPr>
            <w:tcW w:w="6000" w:type="dxa"/>
          </w:tcPr>
          <w:p>
            <w:pPr>
              <w:pStyle w:val="TableText"/>
              <w:keepLines/>
            </w:pPr>
            <w:r>
              <w:rPr>
                <w:sz w:val="18"/>
                <w:szCs w:val="18"/>
              </w:rPr>
              <w:t xml:space="preserve">Add component tests for direction switching, series colour stability, unit separation and preset/custom model transitions.</w:t>
            </w:r>
          </w:p>
        </w:tc>
      </w:tr>
      <w:tr>
        <w:trPr>
          <w:cantSplit/>
        </w:trPr>
        <w:tc>
          <w:tcPr>
            <w:tcW w:w="3000" w:type="dxa"/>
          </w:tcPr>
          <w:p>
            <w:pPr>
              <w:pStyle w:val="TableText"/>
              <w:keepLines/>
            </w:pPr>
            <w:r>
              <w:rPr>
                <w:sz w:val="18"/>
                <w:szCs w:val="18"/>
              </w:rPr>
              <w:t xml:space="preserve">Catalogue the summary</w:t>
            </w:r>
          </w:p>
        </w:tc>
        <w:tc>
          <w:tcPr>
            <w:tcW w:w="6000" w:type="dxa"/>
          </w:tcPr>
          <w:p>
            <w:pPr>
              <w:pStyle w:val="TableText"/>
              <w:keepLines/>
            </w:pPr>
            <w:r>
              <w:rPr>
                <w:sz w:val="18"/>
                <w:szCs w:val="18"/>
              </w:rPr>
              <w:t xml:space="preserve">Register analysis-summary as an explicit asset and load it through the static client instead of a direct fetch.</w:t>
            </w:r>
          </w:p>
        </w:tc>
      </w:tr>
      <w:tr>
        <w:trPr>
          <w:cantSplit/>
        </w:trPr>
        <w:tc>
          <w:tcPr>
            <w:tcW w:w="3000" w:type="dxa"/>
          </w:tcPr>
          <w:p>
            <w:pPr>
              <w:pStyle w:val="TableText"/>
              <w:keepLines/>
            </w:pPr>
            <w:r>
              <w:rPr>
                <w:sz w:val="18"/>
                <w:szCs w:val="18"/>
              </w:rPr>
              <w:t xml:space="preserve">Code-split specialised views</w:t>
            </w:r>
          </w:p>
        </w:tc>
        <w:tc>
          <w:tcPr>
            <w:tcW w:w="6000" w:type="dxa"/>
          </w:tcPr>
          <w:p>
            <w:pPr>
              <w:pStyle w:val="TableText"/>
              <w:keepLines/>
            </w:pPr>
            <w:r>
              <w:rPr>
                <w:sz w:val="18"/>
                <w:szCs w:val="18"/>
              </w:rPr>
              <w:t xml:space="preserve">Lazy-load correlation, corporate, fiscal and scenario components to address the Vite bundle warning.</w:t>
            </w:r>
          </w:p>
        </w:tc>
      </w:tr>
      <w:tr>
        <w:trPr>
          <w:cantSplit/>
        </w:trPr>
        <w:tc>
          <w:tcPr>
            <w:tcW w:w="3000" w:type="dxa"/>
          </w:tcPr>
          <w:p>
            <w:pPr>
              <w:pStyle w:val="TableText"/>
              <w:keepLines/>
            </w:pPr>
            <w:r>
              <w:rPr>
                <w:sz w:val="18"/>
                <w:szCs w:val="18"/>
              </w:rPr>
              <w:t xml:space="preserve">Add deployment configuration</w:t>
            </w:r>
          </w:p>
        </w:tc>
        <w:tc>
          <w:tcPr>
            <w:tcW w:w="6000" w:type="dxa"/>
          </w:tcPr>
          <w:p>
            <w:pPr>
              <w:pStyle w:val="TableText"/>
              <w:keepLines/>
            </w:pPr>
            <w:r>
              <w:rPr>
                <w:sz w:val="18"/>
                <w:szCs w:val="18"/>
              </w:rPr>
              <w:t xml:space="preserve">Choose a static host, encode SPA fallback/cache policy and add production smoke checks.</w:t>
            </w:r>
          </w:p>
        </w:tc>
      </w:tr>
      <w:tr>
        <w:trPr>
          <w:cantSplit/>
        </w:trPr>
        <w:tc>
          <w:tcPr>
            <w:tcW w:w="3000" w:type="dxa"/>
          </w:tcPr>
          <w:p>
            <w:pPr>
              <w:pStyle w:val="TableText"/>
              <w:keepLines/>
            </w:pPr>
            <w:r>
              <w:rPr>
                <w:sz w:val="18"/>
                <w:szCs w:val="18"/>
              </w:rPr>
              <w:t xml:space="preserve">Improve provenance granularity</w:t>
            </w:r>
          </w:p>
        </w:tc>
        <w:tc>
          <w:tcPr>
            <w:tcW w:w="6000" w:type="dxa"/>
          </w:tcPr>
          <w:p>
            <w:pPr>
              <w:pStyle w:val="TableText"/>
              <w:keepLines/>
            </w:pPr>
            <w:r>
              <w:rPr>
                <w:sz w:val="18"/>
                <w:szCs w:val="18"/>
              </w:rPr>
              <w:t xml:space="preserve">Attach raw snapshot/checksum references to new frozen-series metadata and, where useful, individual observations.</w:t>
            </w:r>
          </w:p>
        </w:tc>
      </w:tr>
      <w:tr>
        <w:trPr>
          <w:cantSplit/>
        </w:trPr>
        <w:tc>
          <w:tcPr>
            <w:tcW w:w="3000" w:type="dxa"/>
          </w:tcPr>
          <w:p>
            <w:pPr>
              <w:pStyle w:val="TableText"/>
              <w:keepLines/>
            </w:pPr>
            <w:r>
              <w:rPr>
                <w:sz w:val="18"/>
                <w:szCs w:val="18"/>
              </w:rPr>
              <w:t xml:space="preserve">Extend statistical governance</w:t>
            </w:r>
          </w:p>
        </w:tc>
        <w:tc>
          <w:tcPr>
            <w:tcW w:w="6000" w:type="dxa"/>
          </w:tcPr>
          <w:p>
            <w:pPr>
              <w:pStyle w:val="TableText"/>
              <w:keepLines/>
            </w:pPr>
            <w:r>
              <w:rPr>
                <w:sz w:val="18"/>
                <w:szCs w:val="18"/>
              </w:rPr>
              <w:t xml:space="preserve">Pre-register any inferential extension; avoid choosing lags or exclusions after viewing coefficients.</w:t>
            </w:r>
          </w:p>
        </w:tc>
      </w:tr>
    </w:tbl>
    <w:p>
      <w:pPr>
        <w:spacing w:after="80"/>
      </w:pPr>
      <w:r>
        <w:t xml:space="preserve"/>
      </w:r>
    </w:p>
    <w:p>
      <w:pPr>
        <w:pStyle w:val="Heading1"/>
        <w:keepNext/>
      </w:pPr>
      <w:r>
        <w:t xml:space="preserve">16. File-level implementation index</w:t>
      </w:r>
    </w:p>
    <w:tbl>
      <w:tblPr>
        <w:tblStyle w:val="ArchitectureTable"/>
        <w:tblW w:w="0" w:type="auto"/>
        <w:tblLayout w:type="fixed"/>
      </w:tblPr>
      <w:tblGrid>
        <w:gridCol w:w="3900"/>
        <w:gridCol w:w="5100"/>
      </w:tblGrid>
      <w:tr>
        <w:trPr>
          <w:tblHeader/>
          <w:cantSplit/>
        </w:trPr>
        <w:tc>
          <w:tcPr>
            <w:tcW w:w="3900" w:type="dxa"/>
            <w:shd w:val="clear" w:color="auto" w:fill="1F4E78"/>
          </w:tcPr>
          <w:p>
            <w:pPr>
              <w:pStyle w:val="TableText"/>
              <w:keepLines/>
            </w:pPr>
            <w:r>
              <w:rPr>
                <w:b/>
                <w:color w:val="FFFFFF"/>
                <w:sz w:val="14"/>
                <w:szCs w:val="14"/>
              </w:rPr>
              <w:t xml:space="preserve">File</w:t>
            </w:r>
          </w:p>
        </w:tc>
        <w:tc>
          <w:tcPr>
            <w:tcW w:w="5100" w:type="dxa"/>
            <w:shd w:val="clear" w:color="auto" w:fill="1F4E78"/>
          </w:tcPr>
          <w:p>
            <w:pPr>
              <w:pStyle w:val="TableText"/>
              <w:keepLines/>
            </w:pPr>
            <w:r>
              <w:rPr>
                <w:b/>
                <w:color w:val="FFFFFF"/>
                <w:sz w:val="14"/>
                <w:szCs w:val="14"/>
              </w:rPr>
              <w:t xml:space="preserve">Reason to inspect it</w:t>
            </w:r>
          </w:p>
        </w:tc>
      </w:tr>
      <w:tr>
        <w:trPr>
          <w:cantSplit/>
        </w:trPr>
        <w:tc>
          <w:tcPr>
            <w:tcW w:w="3900" w:type="dxa"/>
          </w:tcPr>
          <w:p>
            <w:pPr>
              <w:pStyle w:val="TableText"/>
              <w:keepLines/>
            </w:pPr>
            <w:r>
              <w:rPr>
                <w:sz w:val="14"/>
                <w:szCs w:val="14"/>
              </w:rPr>
              <w:t xml:space="preserve">scripts/config/capex_analysis.py</w:t>
            </w:r>
          </w:p>
        </w:tc>
        <w:tc>
          <w:tcPr>
            <w:tcW w:w="5100" w:type="dxa"/>
          </w:tcPr>
          <w:p>
            <w:pPr>
              <w:pStyle w:val="TableText"/>
              <w:keepLines/>
            </w:pPr>
            <w:r>
              <w:rPr>
                <w:sz w:val="14"/>
                <w:szCs w:val="14"/>
              </w:rPr>
              <w:t xml:space="preserve">Frozen research entities, roles, lags and output paths.</w:t>
            </w:r>
          </w:p>
        </w:tc>
      </w:tr>
      <w:tr>
        <w:trPr>
          <w:cantSplit/>
        </w:trPr>
        <w:tc>
          <w:tcPr>
            <w:tcW w:w="3900" w:type="dxa"/>
          </w:tcPr>
          <w:p>
            <w:pPr>
              <w:pStyle w:val="TableText"/>
              <w:keepLines/>
            </w:pPr>
            <w:r>
              <w:rPr>
                <w:sz w:val="14"/>
                <w:szCs w:val="14"/>
              </w:rPr>
              <w:t xml:space="preserve">scripts/build_capex_analysis.py</w:t>
            </w:r>
          </w:p>
        </w:tc>
        <w:tc>
          <w:tcPr>
            <w:tcW w:w="5100" w:type="dxa"/>
          </w:tcPr>
          <w:p>
            <w:pPr>
              <w:pStyle w:val="TableText"/>
              <w:keepLines/>
            </w:pPr>
            <w:r>
              <w:rPr>
                <w:sz w:val="14"/>
                <w:szCs w:val="14"/>
              </w:rPr>
              <w:t xml:space="preserve">Complete orchestration and schema routing.</w:t>
            </w:r>
          </w:p>
        </w:tc>
      </w:tr>
      <w:tr>
        <w:trPr>
          <w:cantSplit/>
        </w:trPr>
        <w:tc>
          <w:tcPr>
            <w:tcW w:w="3900" w:type="dxa"/>
          </w:tcPr>
          <w:p>
            <w:pPr>
              <w:pStyle w:val="TableText"/>
              <w:keepLines/>
            </w:pPr>
            <w:r>
              <w:rPr>
                <w:sz w:val="14"/>
                <w:szCs w:val="14"/>
              </w:rPr>
              <w:t xml:space="preserve">scripts/build_capex_delivery.py</w:t>
            </w:r>
          </w:p>
        </w:tc>
        <w:tc>
          <w:tcPr>
            <w:tcW w:w="5100" w:type="dxa"/>
          </w:tcPr>
          <w:p>
            <w:pPr>
              <w:pStyle w:val="TableText"/>
              <w:keepLines/>
            </w:pPr>
            <w:r>
              <w:rPr>
                <w:sz w:val="14"/>
                <w:szCs w:val="14"/>
              </w:rPr>
              <w:t xml:space="preserve">Allocation, delivery and IIP values, source metadata and payloads.</w:t>
            </w:r>
          </w:p>
        </w:tc>
      </w:tr>
      <w:tr>
        <w:trPr>
          <w:cantSplit/>
        </w:trPr>
        <w:tc>
          <w:tcPr>
            <w:tcW w:w="3900" w:type="dxa"/>
          </w:tcPr>
          <w:p>
            <w:pPr>
              <w:pStyle w:val="TableText"/>
              <w:keepLines/>
            </w:pPr>
            <w:r>
              <w:rPr>
                <w:sz w:val="14"/>
                <w:szCs w:val="14"/>
              </w:rPr>
              <w:t xml:space="preserve">scripts/build_capex_depth.py</w:t>
            </w:r>
          </w:p>
        </w:tc>
        <w:tc>
          <w:tcPr>
            <w:tcW w:w="5100" w:type="dxa"/>
          </w:tcPr>
          <w:p>
            <w:pPr>
              <w:pStyle w:val="TableText"/>
              <w:keepLines/>
            </w:pPr>
            <w:r>
              <w:rPr>
                <w:sz w:val="14"/>
                <w:szCs w:val="14"/>
              </w:rPr>
              <w:t xml:space="preserve">Official project-quality/state acquisition and publication.</w:t>
            </w:r>
          </w:p>
        </w:tc>
      </w:tr>
      <w:tr>
        <w:trPr>
          <w:cantSplit/>
        </w:trPr>
        <w:tc>
          <w:tcPr>
            <w:tcW w:w="3900" w:type="dxa"/>
          </w:tcPr>
          <w:p>
            <w:pPr>
              <w:pStyle w:val="TableText"/>
              <w:keepLines/>
            </w:pPr>
            <w:r>
              <w:rPr>
                <w:sz w:val="14"/>
                <w:szCs w:val="14"/>
              </w:rPr>
              <w:t xml:space="preserve">scripts/transforms/capex_analysis.py</w:t>
            </w:r>
          </w:p>
        </w:tc>
        <w:tc>
          <w:tcPr>
            <w:tcW w:w="5100" w:type="dxa"/>
          </w:tcPr>
          <w:p>
            <w:pPr>
              <w:pStyle w:val="TableText"/>
              <w:keepLines/>
            </w:pPr>
            <w:r>
              <w:rPr>
                <w:sz w:val="14"/>
                <w:szCs w:val="14"/>
              </w:rPr>
              <w:t xml:space="preserve">Market, correlation, fiscal-summary and alignment logic.</w:t>
            </w:r>
          </w:p>
        </w:tc>
      </w:tr>
      <w:tr>
        <w:trPr>
          <w:cantSplit/>
        </w:trPr>
        <w:tc>
          <w:tcPr>
            <w:tcW w:w="3900" w:type="dxa"/>
          </w:tcPr>
          <w:p>
            <w:pPr>
              <w:pStyle w:val="TableText"/>
              <w:keepLines/>
            </w:pPr>
            <w:r>
              <w:rPr>
                <w:sz w:val="14"/>
                <w:szCs w:val="14"/>
              </w:rPr>
              <w:t xml:space="preserve">scripts/transforms/capex_depth.py</w:t>
            </w:r>
          </w:p>
        </w:tc>
        <w:tc>
          <w:tcPr>
            <w:tcW w:w="5100" w:type="dxa"/>
          </w:tcPr>
          <w:p>
            <w:pPr>
              <w:pStyle w:val="TableText"/>
              <w:keepLines/>
            </w:pPr>
            <w:r>
              <w:rPr>
                <w:sz w:val="14"/>
                <w:szCs w:val="14"/>
              </w:rPr>
              <w:t xml:space="preserve">Project-quality parsing, state fixed effects and crowding-in gates.</w:t>
            </w:r>
          </w:p>
        </w:tc>
      </w:tr>
      <w:tr>
        <w:trPr>
          <w:cantSplit/>
        </w:trPr>
        <w:tc>
          <w:tcPr>
            <w:tcW w:w="3900" w:type="dxa"/>
          </w:tcPr>
          <w:p>
            <w:pPr>
              <w:pStyle w:val="TableText"/>
              <w:keepLines/>
            </w:pPr>
            <w:r>
              <w:rPr>
                <w:sz w:val="14"/>
                <w:szCs w:val="14"/>
              </w:rPr>
              <w:t xml:space="preserve">scripts/transforms/corporate_fundamentals.py</w:t>
            </w:r>
          </w:p>
        </w:tc>
        <w:tc>
          <w:tcPr>
            <w:tcW w:w="5100" w:type="dxa"/>
          </w:tcPr>
          <w:p>
            <w:pPr>
              <w:pStyle w:val="TableText"/>
              <w:keepLines/>
            </w:pPr>
            <w:r>
              <w:rPr>
                <w:sz w:val="14"/>
                <w:szCs w:val="14"/>
              </w:rPr>
              <w:t xml:space="preserve">Company growth and group medians.</w:t>
            </w:r>
          </w:p>
        </w:tc>
      </w:tr>
      <w:tr>
        <w:trPr>
          <w:cantSplit/>
        </w:trPr>
        <w:tc>
          <w:tcPr>
            <w:tcW w:w="3900" w:type="dxa"/>
          </w:tcPr>
          <w:p>
            <w:pPr>
              <w:pStyle w:val="TableText"/>
              <w:keepLines/>
            </w:pPr>
            <w:r>
              <w:rPr>
                <w:sz w:val="14"/>
                <w:szCs w:val="14"/>
              </w:rPr>
              <w:t xml:space="preserve">scripts/promote_processed_data.py</w:t>
            </w:r>
          </w:p>
        </w:tc>
        <w:tc>
          <w:tcPr>
            <w:tcW w:w="5100" w:type="dxa"/>
          </w:tcPr>
          <w:p>
            <w:pPr>
              <w:pStyle w:val="TableText"/>
              <w:keepLines/>
            </w:pPr>
            <w:r>
              <w:rPr>
                <w:sz w:val="14"/>
                <w:szCs w:val="14"/>
              </w:rPr>
              <w:t xml:space="preserve">Promotion registry.</w:t>
            </w:r>
          </w:p>
        </w:tc>
      </w:tr>
      <w:tr>
        <w:trPr>
          <w:cantSplit/>
        </w:trPr>
        <w:tc>
          <w:tcPr>
            <w:tcW w:w="3900" w:type="dxa"/>
          </w:tcPr>
          <w:p>
            <w:pPr>
              <w:pStyle w:val="TableText"/>
              <w:keepLines/>
            </w:pPr>
            <w:r>
              <w:rPr>
                <w:sz w:val="14"/>
                <w:szCs w:val="14"/>
              </w:rPr>
              <w:t xml:space="preserve">scripts/sync_focused_catalogue.py</w:t>
            </w:r>
          </w:p>
        </w:tc>
        <w:tc>
          <w:tcPr>
            <w:tcW w:w="5100" w:type="dxa"/>
          </w:tcPr>
          <w:p>
            <w:pPr>
              <w:pStyle w:val="TableText"/>
              <w:keepLines/>
            </w:pPr>
            <w:r>
              <w:rPr>
                <w:sz w:val="14"/>
                <w:szCs w:val="14"/>
              </w:rPr>
              <w:t xml:space="preserve">Full narrative order and presentation configuration.</w:t>
            </w:r>
          </w:p>
        </w:tc>
      </w:tr>
      <w:tr>
        <w:trPr>
          <w:cantSplit/>
        </w:trPr>
        <w:tc>
          <w:tcPr>
            <w:tcW w:w="3900" w:type="dxa"/>
          </w:tcPr>
          <w:p>
            <w:pPr>
              <w:pStyle w:val="TableText"/>
              <w:keepLines/>
            </w:pPr>
            <w:r>
              <w:rPr>
                <w:sz w:val="14"/>
                <w:szCs w:val="14"/>
              </w:rPr>
              <w:t xml:space="preserve">schemas/dated_multi_series.schema.json</w:t>
            </w:r>
          </w:p>
        </w:tc>
        <w:tc>
          <w:tcPr>
            <w:tcW w:w="5100" w:type="dxa"/>
          </w:tcPr>
          <w:p>
            <w:pPr>
              <w:pStyle w:val="TableText"/>
              <w:keepLines/>
            </w:pPr>
            <w:r>
              <w:rPr>
                <w:sz w:val="14"/>
                <w:szCs w:val="14"/>
              </w:rPr>
              <w:t xml:space="preserve">Primary chart-data contract.</w:t>
            </w:r>
          </w:p>
        </w:tc>
      </w:tr>
      <w:tr>
        <w:trPr>
          <w:cantSplit/>
        </w:trPr>
        <w:tc>
          <w:tcPr>
            <w:tcW w:w="3900" w:type="dxa"/>
          </w:tcPr>
          <w:p>
            <w:pPr>
              <w:pStyle w:val="TableText"/>
              <w:keepLines/>
            </w:pPr>
            <w:r>
              <w:rPr>
                <w:sz w:val="14"/>
                <w:szCs w:val="14"/>
              </w:rPr>
              <w:t xml:space="preserve">schemas/market_performance.schema.json</w:t>
            </w:r>
          </w:p>
        </w:tc>
        <w:tc>
          <w:tcPr>
            <w:tcW w:w="5100" w:type="dxa"/>
          </w:tcPr>
          <w:p>
            <w:pPr>
              <w:pStyle w:val="TableText"/>
              <w:keepLines/>
            </w:pPr>
            <w:r>
              <w:rPr>
                <w:sz w:val="14"/>
                <w:szCs w:val="14"/>
              </w:rPr>
              <w:t xml:space="preserve">Market-data contract.</w:t>
            </w:r>
          </w:p>
        </w:tc>
      </w:tr>
      <w:tr>
        <w:trPr>
          <w:cantSplit/>
        </w:trPr>
        <w:tc>
          <w:tcPr>
            <w:tcW w:w="3900" w:type="dxa"/>
          </w:tcPr>
          <w:p>
            <w:pPr>
              <w:pStyle w:val="TableText"/>
              <w:keepLines/>
            </w:pPr>
            <w:r>
              <w:rPr>
                <w:sz w:val="14"/>
                <w:szCs w:val="14"/>
              </w:rPr>
              <w:t xml:space="preserve">schemas/capex_analysis_summary.schema.json</w:t>
            </w:r>
          </w:p>
        </w:tc>
        <w:tc>
          <w:tcPr>
            <w:tcW w:w="5100" w:type="dxa"/>
          </w:tcPr>
          <w:p>
            <w:pPr>
              <w:pStyle w:val="TableText"/>
              <w:keepLines/>
            </w:pPr>
            <w:r>
              <w:rPr>
                <w:sz w:val="14"/>
                <w:szCs w:val="14"/>
              </w:rPr>
              <w:t xml:space="preserve">Verdict contract.</w:t>
            </w:r>
          </w:p>
        </w:tc>
      </w:tr>
      <w:tr>
        <w:trPr>
          <w:cantSplit/>
        </w:trPr>
        <w:tc>
          <w:tcPr>
            <w:tcW w:w="3900" w:type="dxa"/>
          </w:tcPr>
          <w:p>
            <w:pPr>
              <w:pStyle w:val="TableText"/>
              <w:keepLines/>
            </w:pPr>
            <w:r>
              <w:rPr>
                <w:sz w:val="14"/>
                <w:szCs w:val="14"/>
              </w:rPr>
              <w:t xml:space="preserve">frontend/src/components/CapexCorrelationView.tsx</w:t>
            </w:r>
          </w:p>
        </w:tc>
        <w:tc>
          <w:tcPr>
            <w:tcW w:w="5100" w:type="dxa"/>
          </w:tcPr>
          <w:p>
            <w:pPr>
              <w:pStyle w:val="TableText"/>
              <w:keepLines/>
            </w:pPr>
            <w:r>
              <w:rPr>
                <w:sz w:val="14"/>
                <w:szCs w:val="14"/>
              </w:rPr>
              <w:t xml:space="preserve">Lead/lag explorer and fitted-line UI.</w:t>
            </w:r>
          </w:p>
        </w:tc>
      </w:tr>
      <w:tr>
        <w:trPr>
          <w:cantSplit/>
        </w:trPr>
        <w:tc>
          <w:tcPr>
            <w:tcW w:w="3900" w:type="dxa"/>
          </w:tcPr>
          <w:p>
            <w:pPr>
              <w:pStyle w:val="TableText"/>
              <w:keepLines/>
            </w:pPr>
            <w:r>
              <w:rPr>
                <w:sz w:val="14"/>
                <w:szCs w:val="14"/>
              </w:rPr>
              <w:t xml:space="preserve">frontend/src/components/CorporateFundamentalsView.tsx</w:t>
            </w:r>
          </w:p>
        </w:tc>
        <w:tc>
          <w:tcPr>
            <w:tcW w:w="5100" w:type="dxa"/>
          </w:tcPr>
          <w:p>
            <w:pPr>
              <w:pStyle w:val="TableText"/>
              <w:keepLines/>
            </w:pPr>
            <w:r>
              <w:rPr>
                <w:sz w:val="14"/>
                <w:szCs w:val="14"/>
              </w:rPr>
              <w:t xml:space="preserve">Corporate case-study UI.</w:t>
            </w:r>
          </w:p>
        </w:tc>
      </w:tr>
      <w:tr>
        <w:trPr>
          <w:cantSplit/>
        </w:trPr>
        <w:tc>
          <w:tcPr>
            <w:tcW w:w="3900" w:type="dxa"/>
          </w:tcPr>
          <w:p>
            <w:pPr>
              <w:pStyle w:val="TableText"/>
              <w:keepLines/>
            </w:pPr>
            <w:r>
              <w:rPr>
                <w:sz w:val="14"/>
                <w:szCs w:val="14"/>
              </w:rPr>
              <w:t xml:space="preserve">frontend/src/components/FiscalBridgeView.tsx</w:t>
            </w:r>
          </w:p>
        </w:tc>
        <w:tc>
          <w:tcPr>
            <w:tcW w:w="5100" w:type="dxa"/>
          </w:tcPr>
          <w:p>
            <w:pPr>
              <w:pStyle w:val="TableText"/>
              <w:keepLines/>
            </w:pPr>
            <w:r>
              <w:rPr>
                <w:sz w:val="14"/>
                <w:szCs w:val="14"/>
              </w:rPr>
              <w:t xml:space="preserve">Fiscal quadrant UI.</w:t>
            </w:r>
          </w:p>
        </w:tc>
      </w:tr>
      <w:tr>
        <w:trPr>
          <w:cantSplit/>
        </w:trPr>
        <w:tc>
          <w:tcPr>
            <w:tcW w:w="3900" w:type="dxa"/>
          </w:tcPr>
          <w:p>
            <w:pPr>
              <w:pStyle w:val="TableText"/>
              <w:keepLines/>
            </w:pPr>
            <w:r>
              <w:rPr>
                <w:sz w:val="14"/>
                <w:szCs w:val="14"/>
              </w:rPr>
              <w:t xml:space="preserve">frontend/src/components/InvestmentQualityView.tsx</w:t>
            </w:r>
          </w:p>
        </w:tc>
        <w:tc>
          <w:tcPr>
            <w:tcW w:w="5100" w:type="dxa"/>
          </w:tcPr>
          <w:p>
            <w:pPr>
              <w:pStyle w:val="TableText"/>
              <w:keepLines/>
            </w:pPr>
            <w:r>
              <w:rPr>
                <w:sz w:val="14"/>
                <w:szCs w:val="14"/>
              </w:rPr>
              <w:t xml:space="preserve">Sector delivery-quality explorer.</w:t>
            </w:r>
          </w:p>
        </w:tc>
      </w:tr>
      <w:tr>
        <w:trPr>
          <w:cantSplit/>
        </w:trPr>
        <w:tc>
          <w:tcPr>
            <w:tcW w:w="3900" w:type="dxa"/>
          </w:tcPr>
          <w:p>
            <w:pPr>
              <w:pStyle w:val="TableText"/>
              <w:keepLines/>
            </w:pPr>
            <w:r>
              <w:rPr>
                <w:sz w:val="14"/>
                <w:szCs w:val="14"/>
              </w:rPr>
              <w:t xml:space="preserve">frontend/src/components/CrowdingInView.tsx</w:t>
            </w:r>
          </w:p>
        </w:tc>
        <w:tc>
          <w:tcPr>
            <w:tcW w:w="5100" w:type="dxa"/>
          </w:tcPr>
          <w:p>
            <w:pPr>
              <w:pStyle w:val="TableText"/>
              <w:keepLines/>
            </w:pPr>
            <w:r>
              <w:rPr>
                <w:sz w:val="14"/>
                <w:szCs w:val="14"/>
              </w:rPr>
              <w:t xml:space="preserve">Distributed-lag evidence ladder.</w:t>
            </w:r>
          </w:p>
        </w:tc>
      </w:tr>
      <w:tr>
        <w:trPr>
          <w:cantSplit/>
        </w:trPr>
        <w:tc>
          <w:tcPr>
            <w:tcW w:w="3900" w:type="dxa"/>
          </w:tcPr>
          <w:p>
            <w:pPr>
              <w:pStyle w:val="TableText"/>
              <w:keepLines/>
            </w:pPr>
            <w:r>
              <w:rPr>
                <w:sz w:val="14"/>
                <w:szCs w:val="14"/>
              </w:rPr>
              <w:t xml:space="preserve">frontend/src/components/StateCapexEvaluationView.tsx</w:t>
            </w:r>
          </w:p>
        </w:tc>
        <w:tc>
          <w:tcPr>
            <w:tcW w:w="5100" w:type="dxa"/>
          </w:tcPr>
          <w:p>
            <w:pPr>
              <w:pStyle w:val="TableText"/>
              <w:keepLines/>
            </w:pPr>
            <w:r>
              <w:rPr>
                <w:sz w:val="14"/>
                <w:szCs w:val="14"/>
              </w:rPr>
              <w:t xml:space="preserve">State panel explorer.</w:t>
            </w:r>
          </w:p>
        </w:tc>
      </w:tr>
      <w:tr>
        <w:trPr>
          <w:cantSplit/>
        </w:trPr>
        <w:tc>
          <w:tcPr>
            <w:tcW w:w="3900" w:type="dxa"/>
          </w:tcPr>
          <w:p>
            <w:pPr>
              <w:pStyle w:val="TableText"/>
              <w:keepLines/>
            </w:pPr>
            <w:r>
              <w:rPr>
                <w:sz w:val="14"/>
                <w:szCs w:val="14"/>
              </w:rPr>
              <w:t xml:space="preserve">frontend/src/components/CapexScenarioLab.tsx</w:t>
            </w:r>
          </w:p>
        </w:tc>
        <w:tc>
          <w:tcPr>
            <w:tcW w:w="5100" w:type="dxa"/>
          </w:tcPr>
          <w:p>
            <w:pPr>
              <w:pStyle w:val="TableText"/>
              <w:keepLines/>
            </w:pPr>
            <w:r>
              <w:rPr>
                <w:sz w:val="14"/>
                <w:szCs w:val="14"/>
              </w:rPr>
              <w:t xml:space="preserve">Interactive five-year model.</w:t>
            </w:r>
          </w:p>
        </w:tc>
      </w:tr>
      <w:tr>
        <w:trPr>
          <w:cantSplit/>
        </w:trPr>
        <w:tc>
          <w:tcPr>
            <w:tcW w:w="3900" w:type="dxa"/>
          </w:tcPr>
          <w:p>
            <w:pPr>
              <w:pStyle w:val="TableText"/>
              <w:keepLines/>
            </w:pPr>
            <w:r>
              <w:rPr>
                <w:sz w:val="14"/>
                <w:szCs w:val="14"/>
              </w:rPr>
              <w:t xml:space="preserve">frontend/src/components/MetricPanel.tsx</w:t>
            </w:r>
          </w:p>
        </w:tc>
        <w:tc>
          <w:tcPr>
            <w:tcW w:w="5100" w:type="dxa"/>
          </w:tcPr>
          <w:p>
            <w:pPr>
              <w:pStyle w:val="TableText"/>
              <w:keepLines/>
            </w:pPr>
            <w:r>
              <w:rPr>
                <w:sz w:val="14"/>
                <w:szCs w:val="14"/>
              </w:rPr>
              <w:t xml:space="preserve">Specialised component dispatch.</w:t>
            </w:r>
          </w:p>
        </w:tc>
      </w:tr>
      <w:tr>
        <w:trPr>
          <w:cantSplit/>
        </w:trPr>
        <w:tc>
          <w:tcPr>
            <w:tcW w:w="3900" w:type="dxa"/>
          </w:tcPr>
          <w:p>
            <w:pPr>
              <w:pStyle w:val="TableText"/>
              <w:keepLines/>
            </w:pPr>
            <w:r>
              <w:rPr>
                <w:sz w:val="14"/>
                <w:szCs w:val="14"/>
              </w:rPr>
              <w:t xml:space="preserve">frontend/src/data/runtimeGuards.ts</w:t>
            </w:r>
          </w:p>
        </w:tc>
        <w:tc>
          <w:tcPr>
            <w:tcW w:w="5100" w:type="dxa"/>
          </w:tcPr>
          <w:p>
            <w:pPr>
              <w:pStyle w:val="TableText"/>
              <w:keepLines/>
            </w:pPr>
            <w:r>
              <w:rPr>
                <w:sz w:val="14"/>
                <w:szCs w:val="14"/>
              </w:rPr>
              <w:t xml:space="preserve">Runtime schema and adapter checks.</w:t>
            </w:r>
          </w:p>
        </w:tc>
      </w:tr>
      <w:tr>
        <w:trPr>
          <w:cantSplit/>
        </w:trPr>
        <w:tc>
          <w:tcPr>
            <w:tcW w:w="3900" w:type="dxa"/>
          </w:tcPr>
          <w:p>
            <w:pPr>
              <w:pStyle w:val="TableText"/>
              <w:keepLines/>
            </w:pPr>
            <w:r>
              <w:rPr>
                <w:sz w:val="14"/>
                <w:szCs w:val="14"/>
              </w:rPr>
              <w:t xml:space="preserve">frontend/scripts/validate-public-data.mjs</w:t>
            </w:r>
          </w:p>
        </w:tc>
        <w:tc>
          <w:tcPr>
            <w:tcW w:w="5100" w:type="dxa"/>
          </w:tcPr>
          <w:p>
            <w:pPr>
              <w:pStyle w:val="TableText"/>
              <w:keepLines/>
            </w:pPr>
            <w:r>
              <w:rPr>
                <w:sz w:val="14"/>
                <w:szCs w:val="14"/>
              </w:rPr>
              <w:t xml:space="preserve">Build-time catalogue and asset validation.</w:t>
            </w:r>
          </w:p>
        </w:tc>
      </w:tr>
      <w:tr>
        <w:trPr>
          <w:cantSplit/>
        </w:trPr>
        <w:tc>
          <w:tcPr>
            <w:tcW w:w="3900" w:type="dxa"/>
          </w:tcPr>
          <w:p>
            <w:pPr>
              <w:pStyle w:val="TableText"/>
              <w:keepLines/>
            </w:pPr>
            <w:r>
              <w:rPr>
                <w:sz w:val="14"/>
                <w:szCs w:val="14"/>
              </w:rPr>
              <w:t xml:space="preserve">tests/test_capex_analysis.py</w:t>
            </w:r>
          </w:p>
        </w:tc>
        <w:tc>
          <w:tcPr>
            <w:tcW w:w="5100" w:type="dxa"/>
          </w:tcPr>
          <w:p>
            <w:pPr>
              <w:pStyle w:val="TableText"/>
              <w:keepLines/>
            </w:pPr>
            <w:r>
              <w:rPr>
                <w:sz w:val="14"/>
                <w:szCs w:val="14"/>
              </w:rPr>
              <w:t xml:space="preserve">Market, timing, summary and company regression tests.</w:t>
            </w:r>
          </w:p>
        </w:tc>
      </w:tr>
      <w:tr>
        <w:trPr>
          <w:cantSplit/>
        </w:trPr>
        <w:tc>
          <w:tcPr>
            <w:tcW w:w="3900" w:type="dxa"/>
          </w:tcPr>
          <w:p>
            <w:pPr>
              <w:pStyle w:val="TableText"/>
              <w:keepLines/>
            </w:pPr>
            <w:r>
              <w:rPr>
                <w:sz w:val="14"/>
                <w:szCs w:val="14"/>
              </w:rPr>
              <w:t xml:space="preserve">tests/test_capex_delivery.py</w:t>
            </w:r>
          </w:p>
        </w:tc>
        <w:tc>
          <w:tcPr>
            <w:tcW w:w="5100" w:type="dxa"/>
          </w:tcPr>
          <w:p>
            <w:pPr>
              <w:pStyle w:val="TableText"/>
              <w:keepLines/>
            </w:pPr>
            <w:r>
              <w:rPr>
                <w:sz w:val="14"/>
                <w:szCs w:val="14"/>
              </w:rPr>
              <w:t xml:space="preserve">Unit separation, exact source observations and output registration.</w:t>
            </w:r>
          </w:p>
        </w:tc>
      </w:tr>
      <w:tr>
        <w:trPr>
          <w:cantSplit/>
        </w:trPr>
        <w:tc>
          <w:tcPr>
            <w:tcW w:w="3900" w:type="dxa"/>
          </w:tcPr>
          <w:p>
            <w:pPr>
              <w:pStyle w:val="TableText"/>
              <w:keepLines/>
            </w:pPr>
            <w:r>
              <w:rPr>
                <w:sz w:val="14"/>
                <w:szCs w:val="14"/>
              </w:rPr>
              <w:t xml:space="preserve">tests/test_capex_depth.py</w:t>
            </w:r>
          </w:p>
        </w:tc>
        <w:tc>
          <w:tcPr>
            <w:tcW w:w="5100" w:type="dxa"/>
          </w:tcPr>
          <w:p>
            <w:pPr>
              <w:pStyle w:val="TableText"/>
              <w:keepLines/>
            </w:pPr>
            <w:r>
              <w:rPr>
                <w:sz w:val="14"/>
                <w:szCs w:val="14"/>
              </w:rPr>
              <w:t xml:space="preserve">Quality/state/crowding-in contracts, evidence gates and promotion routes.</w:t>
            </w:r>
          </w:p>
        </w:tc>
      </w:tr>
    </w:tbl>
    <w:p>
      <w:pPr>
        <w:spacing w:after="80"/>
      </w:pPr>
      <w:r>
        <w:t xml:space="preserve"/>
      </w:r>
    </w:p>
    <w:p>
      <w:pPr>
        <w:jc w:val="center"/>
        <w:spacing w:before="360"/>
      </w:pPr>
      <w:r>
        <w:rPr>
          <w:i/>
          <w:color w:val="64748B"/>
        </w:rPr>
        <w:t xml:space="preserve">End of technical guide.</w:t>
      </w:r>
    </w:p>
    <w:sectPr>
      <w:headerReference w:type="default" r:id="rId3"/>
      <w:footerReference w:type="default" r:id="rId4"/>
      <w:pgSz w:w="11906" w:h="16838"/>
      <w:pgMar w:top="1134" w:right="900" w:bottom="1134" w:left="900" w:header="560" w:footer="560"/>
    </w:sectPr>
  </w:body>
</w:document>
</file>

<file path=word/fontTable.xml><?xml version="1.0" encoding="utf-8"?>
<w:fonts xmlns:w="http://schemas.openxmlformats.org/wordprocessingml/2006/main">
  <w:font w:name="Aptos"/>
  <w:font w:name="Aptos Display"/>
  <w:font w:name="Cascadia Mono"/>
</w:fonts>
</file>

<file path=word/footer1.xml><?xml version="1.0" encoding="utf-8"?>
<w:ftr xmlns:w="http://schemas.openxmlformats.org/wordprocessingml/2006/main">
  <w:p>
    <w:pPr>
      <w:jc w:val="center"/>
    </w:pPr>
    <w:r>
      <w:rPr>
        <w:color w:val="64748B"/>
        <w:sz w:val="17"/>
      </w:rPr>
      <w:t>India public CapEx transmission  •  </w:t>
    </w:r>
    <w:fldSimple w:instr="PAGE">
      <w:r>
        <w:rPr>
          <w:color w:val="64748B"/>
          <w:sz w:val="17"/>
        </w:rPr>
        <w:t>1</w:t>
      </w:r>
    </w:fldSimple>
  </w:p>
</w:ftr>
</file>

<file path=word/header1.xml><?xml version="1.0" encoding="utf-8"?>
<w:hdr xmlns:w="http://schemas.openxmlformats.org/wordprocessingml/2006/main">
  <w:p>
    <w:pPr>
      <w:jc w:val="right"/>
      <w:pBdr>
        <w:bottom w:val="single" w:sz="4" w:space="5" w:color="CBD5E1"/>
      </w:pBdr>
    </w:pPr>
    <w:r>
      <w:rPr>
        <w:color w:val="64748B"/>
        <w:sz w:val="17"/>
      </w:rPr>
      <w:t>CapEx transmission  |  Technical implementation guide</w:t>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ptos" w:hAnsi="Aptos"/>
        <w:sz w:val="21"/>
      </w:rPr>
    </w:rPrDefault>
    <w:pPrDefault>
      <w:pPr>
        <w:spacing w:after="140"/>
      </w:pPr>
    </w:pPrDefault>
  </w:docDefaults>
  <w:style w:type="character" w:default="1" w:styleId="DefaultParagraphFont">
    <w:name w:val="Default Paragraph Font"/>
  </w:style>
  <w:style w:type="table" w:default="1" w:styleId="TableNormal">
    <w:name w:val="Normal Table"/>
  </w:style>
  <w:style w:type="paragraph" w:default="1" w:styleId="Normal">
    <w:name w:val="Normal"/>
  </w:style>
  <w:style w:type="paragraph" w:styleId="Title">
    <w:name w:val="Title"/>
    <w:basedOn w:val="Normal"/>
    <w:rPr>
      <w:b/>
      <w:color w:val="17324D"/>
      <w:sz w:val="58"/>
    </w:rPr>
  </w:style>
  <w:style w:type="paragraph" w:styleId="Subtitle">
    <w:name w:val="Subtitle"/>
    <w:basedOn w:val="Normal"/>
    <w:rPr>
      <w:color w:val="64748B"/>
      <w:sz w:val="28"/>
    </w:rPr>
  </w:style>
  <w:style w:type="paragraph" w:styleId="Heading1">
    <w:name w:val="heading 1"/>
    <w:basedOn w:val="Normal"/>
    <w:pPr>
      <w:outlineLvl w:val="0"/>
    </w:pPr>
    <w:rPr>
      <w:b/>
      <w:color w:val="17324D"/>
      <w:sz w:val="38"/>
    </w:rPr>
  </w:style>
  <w:style w:type="paragraph" w:styleId="Heading2">
    <w:name w:val="heading 2"/>
    <w:basedOn w:val="Normal"/>
    <w:pPr>
      <w:outlineLvl w:val="1"/>
    </w:pPr>
    <w:rPr>
      <w:b/>
      <w:color w:val="1F4E78"/>
      <w:sz w:val="29"/>
    </w:rPr>
  </w:style>
  <w:style w:type="paragraph" w:styleId="Heading3">
    <w:name w:val="heading 3"/>
    <w:basedOn w:val="Normal"/>
    <w:pPr>
      <w:outlineLvl w:val="2"/>
    </w:pPr>
    <w:rPr>
      <w:b/>
      <w:color w:val="2E7D6B"/>
      <w:sz w:val="23"/>
    </w:rPr>
  </w:style>
  <w:style w:type="paragraph" w:styleId="ListParagraph">
    <w:name w:val="List Paragraph"/>
    <w:basedOn w:val="Normal"/>
  </w:style>
  <w:style w:type="paragraph" w:styleId="Code">
    <w:name w:val="Code"/>
    <w:basedOn w:val="Normal"/>
    <w:pPr>
      <w:shd w:val="clear" w:fill="F1F5F9"/>
    </w:pPr>
    <w:rPr>
      <w:rFonts w:ascii="Cascadia Mono" w:hAnsi="Cascadia Mono"/>
      <w:sz w:val="18"/>
    </w:rPr>
  </w:style>
  <w:style w:type="paragraph" w:styleId="TableText">
    <w:name w:val="Table Text"/>
    <w:basedOn w:val="Normal"/>
  </w:style>
  <w:style w:type="character" w:styleId="Hyperlink">
    <w:name w:val="Hyperlink"/>
    <w:rPr>
      <w:color w:val="0563C1"/>
      <w:u w:val="single"/>
    </w:rPr>
  </w:style>
  <w:style w:type="table" w:styleId="ArchitectureTable">
    <w:name w:val="Architecture Table"/>
    <w:basedOn w:val="TableNormal"/>
    <w:tblPr>
      <w:tblBorders>
        <w:top w:val="single" w:sz="4" w:color="CBD5E1"/>
        <w:left w:val="single" w:sz="4" w:color="CBD5E1"/>
        <w:bottom w:val="single" w:sz="4" w:color="CBD5E1"/>
        <w:right w:val="single" w:sz="4" w:color="CBD5E1"/>
        <w:insideH w:val="single" w:sz="4" w:color="CBD5E1"/>
        <w:insideV w:val="single" w:sz="4" w:color="CBD5E1"/>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header" Target="header1.xml"/>
<Relationship Id="rId4" Type="http://schemas.openxmlformats.org/officeDocument/2006/relationships/footer" Target="footer1.xml"/>
<Relationship Id="rId5" Type="http://schemas.openxmlformats.org/officeDocument/2006/relationships/fontTable" Target="fontTable.xml"/>

</Relationships>
</file>

<file path=docProps/app.xml><?xml version="1.0" encoding="utf-8"?>
<Properties xmlns="http://schemas.openxmlformats.org/officeDocument/2006/extended-properties">
  <Application>2026DB documentation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India’s Public CapEx Transmission: Technical Guide</dc:title>
  <dc:subject>India public capital-expenditure transmission research</dc:subject>
  <dc:creator>2026DB project</dc:creator>
  <cp:lastModifiedBy>Codex</cp:lastModifiedBy>
  <dcterms:created xsi:type="dcterms:W3CDTF">2026-08-03T13:35:33.155000+00:00</dcterms:created>
  <dcterms:modified xsi:type="dcterms:W3CDTF">2026-08-03T13:35:33.155000+00:00</dcterms:modified>
  <cp:keywords>India; public capital expenditure; fiscal policy; investment; Nifty; debt sustainability; methodology</cp:keywords>
</cp:coreProperties>
</file>