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left"/>
      </w:pPr>
      <w:r>
        <w:rPr>
          <w:rFonts w:ascii="Arial" w:hAnsi="Arial"/>
          <w:b/>
          <w:color w:val="183153"/>
          <w:sz w:val="50"/>
        </w:rPr>
        <w:t>JSON Output Contracts</w:t>
      </w:r>
    </w:p>
    <w:p>
      <w:pPr>
        <w:spacing w:after="280"/>
      </w:pPr>
      <w:r>
        <w:rPr>
          <w:rFonts w:ascii="Arial" w:hAnsi="Arial"/>
          <w:color w:val="4B5563"/>
          <w:sz w:val="21"/>
        </w:rPr>
        <w:t>Three deliberately small schemas for annual comparisons, dated line charts and market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2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/>
                <w:b/>
                <w:color w:val="183153"/>
                <w:sz w:val="19"/>
              </w:rPr>
              <w:t xml:space="preserve">Compatibility: </w:t>
            </w:r>
            <w:r>
              <w:rPr>
                <w:rFonts w:ascii="Arial" w:hAnsi="Arial"/>
                <w:color w:val="1F2937"/>
                <w:sz w:val="19"/>
              </w:rPr>
              <w:t>The annual schema retains the existing {metadata, india, peers} shape, while adding unit, frequency, methodology and derived-data flags. The other schemas cover non-annual and market-specific outputs without distorting the annual model.</w:t>
            </w:r>
          </w:p>
        </w:tc>
      </w:tr>
    </w:tbl>
    <w:p>
      <w:pPr>
        <w:spacing w:after="40"/>
      </w:pPr>
    </w:p>
    <w:p>
      <w:pPr>
        <w:pStyle w:val="Heading1"/>
      </w:pPr>
      <w:r>
        <w:t>1. Schema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18315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2578"/>
            <w:shd w:fill="18315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Use when</w:t>
            </w:r>
          </w:p>
        </w:tc>
        <w:tc>
          <w:tcPr>
            <w:tcW w:type="dxa" w:w="2578"/>
            <w:shd w:fill="18315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Top-level shape</w:t>
            </w:r>
          </w:p>
        </w:tc>
        <w:tc>
          <w:tcPr>
            <w:tcW w:type="dxa" w:w="2578"/>
            <w:shd w:fill="18315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annual_country_series.schema.json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Annual, country-comparable indicators with India as the primary entity.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metadata + india[] + peers{}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LFPR, working-age share, youth unemployment, FDI, export mix, debt.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dated_multi_series.schema.json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A line chart has multiple measures or a frequency finer than annual.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metadata + series{key: {label, entity, unit, values[]}}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P/E vs average, CPI, reserves, GDP growth, twin deficits, UPI, flows.</w:t>
            </w:r>
          </w:p>
        </w:tc>
      </w:tr>
      <w:tr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1F2937"/>
                <w:sz w:val="17"/>
              </w:rPr>
              <w:t>market_performance.schema.json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Price histories and scalar risk/return statistics must travel together.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metadata + markets{key: {summary, series}} + correlations[]</w:t>
            </w:r>
          </w:p>
        </w:tc>
        <w:tc>
          <w:tcPr>
            <w:tcW w:type="dxa" w:w="25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color w:val="1F2937"/>
                <w:sz w:val="17"/>
              </w:rPr>
              <w:t>Nifty/Sensex/global benchmark comparison.</w:t>
            </w:r>
          </w:p>
        </w:tc>
      </w:tr>
    </w:tbl>
    <w:p>
      <w:pPr>
        <w:pStyle w:val="Heading1"/>
      </w:pPr>
      <w:r>
        <w:t>2. Annual country-comparison contract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Preserves integer year values so the existing WBI frontend can continue to use the same parsing model.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Every requested year remains present; missing values are represented as null rather than omitted.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Metadata records unit, methodology and whether the series is derived.</w:t>
      </w:r>
    </w:p>
    <w:p>
      <w:pPr>
        <w:pStyle w:val="NoSpacing"/>
      </w:pPr>
      <w:r>
        <w:rPr>
          <w:rFonts w:ascii="Liberation Mono" w:hAnsi="Liberation Mono"/>
          <w:color w:val="1F2937"/>
          <w:sz w:val="15"/>
        </w:rPr>
        <w:t>{</w:t>
        <w:br/>
        <w:t xml:space="preserve">  "metadata": {</w:t>
        <w:br/>
        <w:t xml:space="preserve">    "generated_at": "2026-07-16T10:00:00Z",</w:t>
        <w:br/>
        <w:t xml:space="preserve">    "source": "World Bank Indicators API",</w:t>
        <w:br/>
        <w:t xml:space="preserve">    "country": "IND",</w:t>
        <w:br/>
        <w:t xml:space="preserve">    "peers": [</w:t>
        <w:br/>
        <w:t xml:space="preserve">      "CHN"</w:t>
        <w:br/>
        <w:t xml:space="preserve">    ],</w:t>
        <w:br/>
        <w:t xml:space="preserve">    "start_year": 2025,</w:t>
        <w:br/>
        <w:t xml:space="preserve">    "end_year": 2025,</w:t>
        <w:br/>
        <w:t xml:space="preserve">    "indicator_code": "SL.TLF.CACT.ZS",</w:t>
        <w:br/>
        <w:t xml:space="preserve">    "label": "Labour Force Participation Rate",</w:t>
        <w:br/>
        <w:t xml:space="preserve">    "unit": "percent",</w:t>
        <w:br/>
        <w:t xml:space="preserve">    "frequency": "annual",</w:t>
        <w:br/>
        <w:t xml:space="preserve">    "is_derived": false</w:t>
        <w:br/>
        <w:t xml:space="preserve">  },</w:t>
        <w:br/>
        <w:t xml:space="preserve">  "india": [</w:t>
        <w:br/>
        <w:t xml:space="preserve">    {</w:t>
        <w:br/>
        <w:t xml:space="preserve">      "year": 2025,</w:t>
        <w:br/>
        <w:t xml:space="preserve">      "value": 52.4</w:t>
        <w:br/>
        <w:t xml:space="preserve">    }</w:t>
        <w:br/>
        <w:t xml:space="preserve">  ],</w:t>
        <w:br/>
        <w:t xml:space="preserve">  "peers": {</w:t>
        <w:br/>
        <w:t xml:space="preserve">    "CHN": [</w:t>
        <w:br/>
        <w:t xml:space="preserve">      {</w:t>
        <w:br/>
        <w:t xml:space="preserve">        "year": 2025,</w:t>
        <w:br/>
        <w:t xml:space="preserve">        "value": 68.2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3. Dated multi-series contract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Uses ISO dates for all observations, including quarter-end and fiscal-year-end values; period_label preserves labels such as FY2025-26.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Stable series keys control frontend ordering and avoid using display labels as identifiers.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Observation status distinguishes actual, provisional, revised, estimate and budget data.</w:t>
      </w:r>
    </w:p>
    <w:p>
      <w:pPr>
        <w:pStyle w:val="NoSpacing"/>
      </w:pPr>
      <w:r>
        <w:rPr>
          <w:rFonts w:ascii="Liberation Mono" w:hAnsi="Liberation Mono"/>
          <w:color w:val="1F2937"/>
          <w:sz w:val="15"/>
        </w:rPr>
        <w:t>{</w:t>
        <w:br/>
        <w:t xml:space="preserve">  "metadata": {</w:t>
        <w:br/>
        <w:t xml:space="preserve">    "generated_at": "2026-07-16T10:00:00Z",</w:t>
        <w:br/>
        <w:t xml:space="preserve">    "source": [</w:t>
        <w:br/>
        <w:t xml:space="preserve">      {</w:t>
        <w:br/>
        <w:t xml:space="preserve">        "name": "Nifty Indices"</w:t>
        <w:br/>
        <w:t xml:space="preserve">      },</w:t>
        <w:br/>
        <w:t xml:space="preserve">      {</w:t>
        <w:br/>
        <w:t xml:space="preserve">        "name": "Yahoo Finance via yfinance"</w:t>
        <w:br/>
        <w:t xml:space="preserve">      }</w:t>
        <w:br/>
        <w:t xml:space="preserve">    ],</w:t>
        <w:br/>
        <w:t xml:space="preserve">    "frequency": "monthly",</w:t>
        <w:br/>
        <w:t xml:space="preserve">    "start_date": "2025-01-31",</w:t>
        <w:br/>
        <w:t xml:space="preserve">    "end_date": "2026-06-30",</w:t>
        <w:br/>
        <w:t xml:space="preserve">    "indicator_code": "NIFTY50_VALUATION",</w:t>
        <w:br/>
        <w:t xml:space="preserve">    "label": "Nifty 50 P/E and implied earnings",</w:t>
        <w:br/>
        <w:t xml:space="preserve">    "default_unit": "ratio",</w:t>
        <w:br/>
        <w:t xml:space="preserve">    "series_order": [</w:t>
        <w:br/>
        <w:t xml:space="preserve">      "pe_ratio",</w:t>
        <w:br/>
        <w:t xml:space="preserve">      "pe_10y_average",</w:t>
        <w:br/>
        <w:t xml:space="preserve">      "implied_eps_yoy_pct"</w:t>
        <w:br/>
        <w:t xml:space="preserve">    ],</w:t>
        <w:br/>
        <w:t xml:space="preserve">    "is_derived": true</w:t>
        <w:br/>
        <w:t xml:space="preserve">  },</w:t>
        <w:br/>
        <w:t xml:space="preserve">  "series": {</w:t>
        <w:br/>
        <w:t xml:space="preserve">    "pe_ratio": {</w:t>
        <w:br/>
        <w:t xml:space="preserve">      "label": "P/E ratio",</w:t>
        <w:br/>
        <w:t xml:space="preserve">      "entity": "NIFTY_50",</w:t>
        <w:br/>
        <w:t xml:space="preserve">      "unit": "ratio",</w:t>
        <w:br/>
        <w:t xml:space="preserve">      "values": [</w:t>
        <w:br/>
        <w:t xml:space="preserve">        {</w:t>
        <w:br/>
        <w:t xml:space="preserve">          "date": "2026-06-30",</w:t>
        <w:br/>
        <w:t xml:space="preserve">          "value": 22.4,</w:t>
        <w:br/>
        <w:t xml:space="preserve">          "status": "actual"</w:t>
        <w:br/>
        <w:t xml:space="preserve">        }</w:t>
        <w:br/>
        <w:t xml:space="preserve">      ]</w:t>
        <w:br/>
        <w:t xml:space="preserve">    },</w:t>
        <w:br/>
        <w:t xml:space="preserve">    "pe_10y_average": {</w:t>
        <w:br/>
        <w:t xml:space="preserve">      "label": "10-year average P/E",</w:t>
        <w:br/>
        <w:t xml:space="preserve">      "entity": "NIFTY_50",</w:t>
        <w:br/>
        <w:t xml:space="preserve">      "unit": "ratio",</w:t>
        <w:br/>
        <w:t xml:space="preserve">      "values": [</w:t>
        <w:br/>
        <w:t xml:space="preserve">        {</w:t>
        <w:br/>
        <w:t xml:space="preserve">          "date": "2026-06-30",</w:t>
        <w:br/>
        <w:t xml:space="preserve">          "value": 21.1,</w:t>
        <w:br/>
        <w:t xml:space="preserve">          "status": "actual"</w:t>
        <w:br/>
        <w:t xml:space="preserve">        }</w:t>
        <w:br/>
        <w:t xml:space="preserve">      ]</w:t>
        <w:br/>
        <w:t xml:space="preserve">    },</w:t>
        <w:br/>
        <w:t xml:space="preserve">    "implied_eps_yoy_pct": {</w:t>
        <w:br/>
        <w:t xml:space="preserve">      "label": "Implied EPS growth",</w:t>
        <w:br/>
        <w:t xml:space="preserve">      "entity": "NIFTY_50",</w:t>
        <w:br/>
        <w:t xml:space="preserve">      "unit": "percent",</w:t>
        <w:br/>
        <w:t xml:space="preserve">      "values": [</w:t>
        <w:br/>
        <w:t xml:space="preserve">        {</w:t>
        <w:br/>
        <w:t xml:space="preserve">          "date": "2026-06-30",</w:t>
        <w:br/>
        <w:t xml:space="preserve">          "value": 8.7,</w:t>
        <w:br/>
        <w:t xml:space="preserve">          "status": "actual"</w:t>
        <w:br/>
        <w:t xml:space="preserve">        }</w:t>
        <w:br/>
        <w:t xml:space="preserve">      ]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4. Market-performance contract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Keeps line-chart series and summary statistics together, so the frontend can render both without an additional join.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Prices and normalised values are separate; cross-market comparison should usually chart normalised values.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Null is permitted where a rolling statistic is not yet defined or a series is empty after cleaning.</w:t>
      </w:r>
    </w:p>
    <w:p>
      <w:pPr>
        <w:pStyle w:val="NoSpacing"/>
      </w:pPr>
      <w:r>
        <w:rPr>
          <w:rFonts w:ascii="Liberation Mono" w:hAnsi="Liberation Mono"/>
          <w:color w:val="1F2937"/>
          <w:sz w:val="15"/>
        </w:rPr>
        <w:t>{</w:t>
        <w:br/>
        <w:t xml:space="preserve">  "metadata": {</w:t>
        <w:br/>
        <w:t xml:space="preserve">    "generated_at": "2026-07-16T10:00:00Z",</w:t>
        <w:br/>
        <w:t xml:space="preserve">    "source": "Yahoo Finance via yfinance",</w:t>
        <w:br/>
        <w:t xml:space="preserve">    "start_date": "2025-01-01",</w:t>
        <w:br/>
        <w:t xml:space="preserve">    "end_date": "2026-06-30",</w:t>
        <w:br/>
        <w:t xml:space="preserve">    "base_value": 100,</w:t>
        <w:br/>
        <w:t xml:space="preserve">    "risk_free_rate": 0.04,</w:t>
        <w:br/>
        <w:t xml:space="preserve">    "interval": "1d"</w:t>
        <w:br/>
        <w:t xml:space="preserve">  },</w:t>
        <w:br/>
        <w:t xml:space="preserve">  "markets": {</w:t>
        <w:br/>
        <w:t xml:space="preserve">    "NIFTY_50": {</w:t>
        <w:br/>
        <w:t xml:space="preserve">      "label": "Nifty 50",</w:t>
        <w:br/>
        <w:t xml:space="preserve">      "ticker": "^NSEI",</w:t>
        <w:br/>
        <w:t xml:space="preserve">      "currency": "INR",</w:t>
        <w:br/>
        <w:t xml:space="preserve">      "summary": {</w:t>
        <w:br/>
        <w:t xml:space="preserve">        "total_return": 0.12,</w:t>
        <w:br/>
        <w:t xml:space="preserve">        "cagr": 0.08,</w:t>
        <w:br/>
        <w:t xml:space="preserve">        "annualized_volatility": 0.15,</w:t>
        <w:br/>
        <w:t xml:space="preserve">        "sharpe_ratio": 0.42,</w:t>
        <w:br/>
        <w:t xml:space="preserve">        "max_drawdown": -0.11</w:t>
        <w:br/>
        <w:t xml:space="preserve">      },</w:t>
        <w:br/>
        <w:t xml:space="preserve">      "series": [</w:t>
        <w:br/>
        <w:t xml:space="preserve">        {</w:t>
        <w:br/>
        <w:t xml:space="preserve">          "date": "2026-06-30",</w:t>
        <w:br/>
        <w:t xml:space="preserve">          "price": 25500.0,</w:t>
        <w:br/>
        <w:t xml:space="preserve">          "normalized_value": 112.0,</w:t>
        <w:br/>
        <w:t xml:space="preserve">          "return": 0.002,</w:t>
        <w:br/>
        <w:t xml:space="preserve">          "drawdown": -0.01,</w:t>
        <w:br/>
        <w:t xml:space="preserve">          "rolling_volatility": 0.14</w:t>
        <w:br/>
        <w:t xml:space="preserve">        }</w:t>
        <w:br/>
        <w:t xml:space="preserve">      ]</w:t>
        <w:br/>
        <w:t xml:space="preserve">    }</w:t>
        <w:br/>
        <w:t xml:space="preserve">  },</w:t>
        <w:br/>
        <w:t xml:space="preserve">  "correlations": []</w:t>
        <w:br/>
        <w:t>}</w:t>
      </w:r>
    </w:p>
    <w:p>
      <w:pPr>
        <w:pStyle w:val="Heading1"/>
      </w:pPr>
      <w:r>
        <w:t>5. Validation rules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Validate every exported file against its JSON Schema before replacing the production artifact.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Reject duplicate entity/date pairs unless the source explicitly supplies revisions; retain revision status in metadata or observations.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Store percentages as percentage points (for example, 7.5 means 7.5%), and document this once in the frontend contract.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Do not silently interpolate official macro data. Forward-filling should be limited to explicitly approved presentation cases such as matching a monthly valuation series to trading dates.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Export atomically: write to a temporary file, validate, then rename over the previous production file.</w:t>
      </w:r>
    </w:p>
    <w:p>
      <w:pPr>
        <w:pStyle w:val="Heading1"/>
      </w:pPr>
      <w:r>
        <w:t>6. Delivered schema files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annual_country_series.schema.json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dated_multi_series.schema.json</w:t>
      </w:r>
    </w:p>
    <w:p>
      <w:pPr>
        <w:pStyle w:val="ListBullet"/>
        <w:spacing w:after="40"/>
      </w:pPr>
      <w:r>
        <w:rPr>
          <w:rFonts w:ascii="Arial" w:hAnsi="Arial"/>
          <w:color w:val="1F2937"/>
          <w:sz w:val="19"/>
        </w:rPr>
        <w:t>market_performance.schema.json</w:t>
      </w:r>
    </w:p>
    <w:p>
      <w:r>
        <w:t>The full machine-readable Draft 2020-12 schemas are delivered alongside this document.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India Growth Indicators Architecture Pack  |  16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1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15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