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pacing w:after="240"/>
      </w:pPr>
      <w:r>
        <w:rPr>
          <w:b/>
          <w:color w:val="D97706"/>
          <w:sz w:val="18"/>
          <w:szCs w:val="18"/>
        </w:rPr>
        <w:t xml:space="preserve">2026DB RESEARCH PROGRAMME</w:t>
      </w:r>
    </w:p>
    <w:p>
      <w:pPr>
        <w:pStyle w:val="Title"/>
        <w:keepNext/>
      </w:pPr>
      <w:r>
        <w:t xml:space="preserve">India’s Public CapEx Transmission</w:t>
      </w:r>
    </w:p>
    <w:p>
      <w:pPr>
        <w:pStyle w:val="Subtitle"/>
      </w:pPr>
      <w:r>
        <w:t xml:space="preserve">Technical guide to sources, ETL, contracts, frontend integration, verification and deployment</w:t>
      </w:r>
    </w:p>
    <w:p>
      <w:pPr>
        <w:spacing w:after="320"/>
      </w:pPr>
      <w:r>
        <w:t xml:space="preserve"/>
      </w:r>
    </w:p>
    <w:p>
      <w:pPr>
        <w:keepLines/>
        <w:spacing w:before="120" w:after="160"/>
        <w:ind w:left="180"/>
        <w:pBdr>
          <w:left w:val="single" w:sz="18" w:space="10" w:color="1F4E78"/>
        </w:pBdr>
        <w:shd w:val="clear" w:color="auto" w:fill="EAF2F8"/>
      </w:pPr>
      <w:r>
        <w:rPr>
          <w:b/>
          <w:color w:val="1F4E78"/>
        </w:rPr>
        <w:t xml:space="preserve">Purpose  </w:t>
      </w:r>
      <w:r>
        <w:t xml:space="preserve">This document is for data engineers, software engineers, maintainers and technical reviewers. It maps each research stage to source acquisition, transformation code, output contracts, public paths, frontend adapters and operational checks.</w:t>
      </w:r>
    </w:p>
    <w:tbl>
      <w:tblPr>
        <w:tblStyle w:val="ArchitectureTable"/>
        <w:tblW w:w="0" w:type="auto"/>
        <w:tblLayout w:type="fixed"/>
      </w:tblPr>
      <w:tblGrid>
        <w:gridCol w:w="2600"/>
        <w:gridCol w:w="6400"/>
      </w:tblGrid>
      <w:tr>
        <w:trPr>
          <w:tblHeader/>
          <w:cantSplit/>
        </w:trPr>
        <w:tc>
          <w:tcPr>
            <w:tcW w:w="2600" w:type="dxa"/>
            <w:shd w:val="clear" w:color="auto" w:fill="1F4E78"/>
          </w:tcPr>
          <w:p>
            <w:pPr>
              <w:pStyle w:val="TableText"/>
              <w:keepLines/>
            </w:pPr>
            <w:r>
              <w:rPr>
                <w:b/>
                <w:color w:val="FFFFFF"/>
                <w:sz w:val="18"/>
                <w:szCs w:val="18"/>
              </w:rPr>
              <w:t xml:space="preserve">Document control</w:t>
            </w:r>
          </w:p>
        </w:tc>
        <w:tc>
          <w:tcPr>
            <w:tcW w:w="6400" w:type="dxa"/>
            <w:shd w:val="clear" w:color="auto" w:fill="1F4E78"/>
          </w:tcPr>
          <w:p>
            <w:pPr>
              <w:pStyle w:val="TableText"/>
              <w:keepLines/>
            </w:pPr>
            <w:r>
              <w:rPr>
                <w:b/>
                <w:color w:val="FFFFFF"/>
                <w:sz w:val="18"/>
                <w:szCs w:val="18"/>
              </w:rPr>
              <w:t xml:space="preserve">Value</w:t>
            </w:r>
          </w:p>
        </w:tc>
      </w:tr>
      <w:tr>
        <w:trPr>
          <w:cantSplit/>
        </w:trPr>
        <w:tc>
          <w:tcPr>
            <w:tcW w:w="2600" w:type="dxa"/>
          </w:tcPr>
          <w:p>
            <w:pPr>
              <w:pStyle w:val="TableText"/>
              <w:keepLines/>
            </w:pPr>
            <w:r>
              <w:rPr>
                <w:sz w:val="18"/>
                <w:szCs w:val="18"/>
              </w:rPr>
              <w:t xml:space="preserve">Generated</w:t>
            </w:r>
          </w:p>
        </w:tc>
        <w:tc>
          <w:tcPr>
            <w:tcW w:w="6400" w:type="dxa"/>
          </w:tcPr>
          <w:p>
            <w:pPr>
              <w:pStyle w:val="TableText"/>
              <w:keepLines/>
            </w:pPr>
            <w:r>
              <w:rPr>
                <w:sz w:val="18"/>
                <w:szCs w:val="18"/>
              </w:rPr>
              <w:t xml:space="preserve">06 August 2026, 13:19 UTC</w:t>
            </w:r>
          </w:p>
        </w:tc>
      </w:tr>
      <w:tr>
        <w:trPr>
          <w:cantSplit/>
        </w:trPr>
        <w:tc>
          <w:tcPr>
            <w:tcW w:w="2600" w:type="dxa"/>
          </w:tcPr>
          <w:p>
            <w:pPr>
              <w:pStyle w:val="TableText"/>
              <w:keepLines/>
            </w:pPr>
            <w:r>
              <w:rPr>
                <w:sz w:val="18"/>
                <w:szCs w:val="18"/>
              </w:rPr>
              <w:t xml:space="preserve">Repository revision</w:t>
            </w:r>
          </w:p>
        </w:tc>
        <w:tc>
          <w:tcPr>
            <w:tcW w:w="6400" w:type="dxa"/>
          </w:tcPr>
          <w:p>
            <w:pPr>
              <w:pStyle w:val="TableText"/>
              <w:keepLines/>
            </w:pPr>
            <w:r>
              <w:rPr>
                <w:sz w:val="18"/>
                <w:szCs w:val="18"/>
              </w:rPr>
              <w:t xml:space="preserve">467bc7e</w:t>
            </w:r>
          </w:p>
        </w:tc>
      </w:tr>
      <w:tr>
        <w:trPr>
          <w:cantSplit/>
        </w:trPr>
        <w:tc>
          <w:tcPr>
            <w:tcW w:w="2600" w:type="dxa"/>
          </w:tcPr>
          <w:p>
            <w:pPr>
              <w:pStyle w:val="TableText"/>
              <w:keepLines/>
            </w:pPr>
            <w:r>
              <w:rPr>
                <w:sz w:val="18"/>
                <w:szCs w:val="18"/>
              </w:rPr>
              <w:t xml:space="preserve">Research lens</w:t>
            </w:r>
          </w:p>
        </w:tc>
        <w:tc>
          <w:tcPr>
            <w:tcW w:w="6400" w:type="dxa"/>
          </w:tcPr>
          <w:p>
            <w:pPr>
              <w:pStyle w:val="TableText"/>
              <w:keepLines/>
            </w:pPr>
            <w:r>
              <w:rPr>
                <w:sz w:val="18"/>
                <w:szCs w:val="18"/>
              </w:rPr>
              <w:t xml:space="preserve">India’s public CapEx transmission</w:t>
            </w:r>
          </w:p>
        </w:tc>
      </w:tr>
      <w:tr>
        <w:trPr>
          <w:cantSplit/>
        </w:trPr>
        <w:tc>
          <w:tcPr>
            <w:tcW w:w="2600" w:type="dxa"/>
          </w:tcPr>
          <w:p>
            <w:pPr>
              <w:pStyle w:val="TableText"/>
              <w:keepLines/>
            </w:pPr>
            <w:r>
              <w:rPr>
                <w:sz w:val="18"/>
                <w:szCs w:val="18"/>
              </w:rPr>
              <w:t xml:space="preserve">Status</w:t>
            </w:r>
          </w:p>
        </w:tc>
        <w:tc>
          <w:tcPr>
            <w:tcW w:w="6400" w:type="dxa"/>
          </w:tcPr>
          <w:p>
            <w:pPr>
              <w:pStyle w:val="TableText"/>
              <w:keepLines/>
            </w:pPr>
            <w:r>
              <w:rPr>
                <w:sz w:val="18"/>
                <w:szCs w:val="18"/>
              </w:rPr>
              <w:t xml:space="preserve">Methodology and implementation documentation</w:t>
            </w:r>
          </w:p>
        </w:tc>
      </w:tr>
      <w:tr>
        <w:trPr>
          <w:cantSplit/>
        </w:trPr>
        <w:tc>
          <w:tcPr>
            <w:tcW w:w="2600" w:type="dxa"/>
          </w:tcPr>
          <w:p>
            <w:pPr>
              <w:pStyle w:val="TableText"/>
              <w:keepLines/>
            </w:pPr>
            <w:r>
              <w:rPr>
                <w:sz w:val="18"/>
                <w:szCs w:val="18"/>
              </w:rPr>
              <w:t xml:space="preserve">Primary question</w:t>
            </w:r>
          </w:p>
        </w:tc>
        <w:tc>
          <w:tcPr>
            <w:tcW w:w="6400" w:type="dxa"/>
          </w:tcPr>
          <w:p>
            <w:pPr>
              <w:pStyle w:val="TableText"/>
              <w:keepLines/>
            </w:pPr>
            <w:r>
              <w:rPr>
                <w:sz w:val="18"/>
                <w:szCs w:val="18"/>
              </w:rPr>
              <w:t xml:space="preserve">Did India’s public CapEx push transmit into sectoral and real economic growth strongly enough to justify its fiscal cost?</w:t>
            </w:r>
          </w:p>
        </w:tc>
      </w:tr>
    </w:tbl>
    <w:p>
      <w:pPr>
        <w:spacing w:after="80"/>
      </w:pPr>
      <w:r>
        <w:t xml:space="preserve"/>
      </w:r>
    </w:p>
    <w:p>
      <w:r>
        <w:br w:type="page"/>
      </w:r>
    </w:p>
    <w:p>
      <w:pPr>
        <w:pStyle w:val="Heading1"/>
        <w:keepNext/>
      </w:pPr>
      <w:r>
        <w:t xml:space="preserve">Contents</w:t>
      </w:r>
    </w:p>
    <w:p>
      <w:r>
        <w:t xml:space="preserve">This field updates automatically when the document is opened in Microsoft Word. If it does not, select the field and choose Update Field.</w:t>
      </w:r>
    </w:p>
    <w:p>
      <w:fldSimple w:instr="TOC \o &quot;1-3&quot; \h \z \u">
        <w:r>
          <w:rPr>
            <w:color w:val="64748B"/>
          </w:rPr>
          <w:t>Update this field to generate the table of contents.</w:t>
        </w:r>
      </w:fldSimple>
    </w:p>
    <w:p>
      <w:r>
        <w:br w:type="page"/>
      </w:r>
    </w:p>
    <w:p>
      <w:pPr>
        <w:pStyle w:val="Heading1"/>
        <w:keepNext/>
      </w:pPr>
      <w:r>
        <w:t xml:space="preserve">1. System overview</w:t>
      </w:r>
    </w:p>
    <w:p>
      <w:r>
        <w:t xml:space="preserve">The CapEx research lens is a static, reproducible analytical product. Python jobs acquire or consume source data, preserve immutable raw evidence, transform observations without I/O, validate the complete artifact set and publish processed plus browser-facing JSON. The generated catalogue maps stable asset IDs to schemas and presentation components. React Query loads static JSON at runtime; runtime guards and component-schema mappings prevent an artifact from reaching an incompatible visualisation.</w:t>
      </w:r>
    </w:p>
    <w:p>
      <w:pPr>
        <w:pStyle w:val="Code"/>
        <w:keepLines/>
      </w:pPr>
      <w:r>
        <w:t xml:space="preserve">Official source or data/raw replay → typed source models → typed calculated metrics → final payload builders → complete-set validation → per-file atomic processed/public JSON → catalogue → runtime guard → specialised React component</w:t>
      </w:r>
    </w:p>
    <w:p>
      <w:pPr>
        <w:keepLines/>
        <w:spacing w:before="120" w:after="160"/>
        <w:ind w:left="180"/>
        <w:pBdr>
          <w:left w:val="single" w:sz="18" w:space="10" w:color="1F4E78"/>
        </w:pBdr>
        <w:shd w:val="clear" w:color="auto" w:fill="EAF2F8"/>
      </w:pPr>
      <w:r>
        <w:rPr>
          <w:b/>
          <w:color w:val="1F4E78"/>
        </w:rPr>
        <w:t xml:space="preserve">Deployment model  </w:t>
      </w:r>
      <w:r>
        <w:t xml:space="preserve">There is no application API and no deployment-platform configuration in the repository. The deployable unit is frontend/dist, produced by Vite. Any static host can serve it if deep routes fall back to index.html and /data assets are served with the build.</w:t>
      </w:r>
    </w:p>
    <w:p>
      <w:pPr>
        <w:pStyle w:val="Heading1"/>
        <w:keepNext/>
      </w:pPr>
      <w:r>
        <w:t xml:space="preserve">2. Repository responsibility map</w:t>
      </w:r>
    </w:p>
    <w:tbl>
      <w:tblPr>
        <w:tblStyle w:val="ArchitectureTable"/>
        <w:tblW w:w="0" w:type="auto"/>
        <w:tblLayout w:type="fixed"/>
      </w:tblPr>
      <w:tblGrid>
        <w:gridCol w:w="2500"/>
        <w:gridCol w:w="4300"/>
        <w:gridCol w:w="2200"/>
      </w:tblGrid>
      <w:tr>
        <w:trPr>
          <w:tblHeader/>
          <w:cantSplit/>
        </w:trPr>
        <w:tc>
          <w:tcPr>
            <w:tcW w:w="2500" w:type="dxa"/>
            <w:shd w:val="clear" w:color="auto" w:fill="1F4E78"/>
          </w:tcPr>
          <w:p>
            <w:pPr>
              <w:pStyle w:val="TableText"/>
              <w:keepLines/>
            </w:pPr>
            <w:r>
              <w:rPr>
                <w:b/>
                <w:color w:val="FFFFFF"/>
                <w:sz w:val="15"/>
                <w:szCs w:val="15"/>
              </w:rPr>
              <w:t xml:space="preserve">Location</w:t>
            </w:r>
          </w:p>
        </w:tc>
        <w:tc>
          <w:tcPr>
            <w:tcW w:w="4300" w:type="dxa"/>
            <w:shd w:val="clear" w:color="auto" w:fill="1F4E78"/>
          </w:tcPr>
          <w:p>
            <w:pPr>
              <w:pStyle w:val="TableText"/>
              <w:keepLines/>
            </w:pPr>
            <w:r>
              <w:rPr>
                <w:b/>
                <w:color w:val="FFFFFF"/>
                <w:sz w:val="15"/>
                <w:szCs w:val="15"/>
              </w:rPr>
              <w:t xml:space="preserve">CapEx responsibility</w:t>
            </w:r>
          </w:p>
        </w:tc>
        <w:tc>
          <w:tcPr>
            <w:tcW w:w="2200" w:type="dxa"/>
            <w:shd w:val="clear" w:color="auto" w:fill="1F4E78"/>
          </w:tcPr>
          <w:p>
            <w:pPr>
              <w:pStyle w:val="TableText"/>
              <w:keepLines/>
            </w:pPr>
            <w:r>
              <w:rPr>
                <w:b/>
                <w:color w:val="FFFFFF"/>
                <w:sz w:val="15"/>
                <w:szCs w:val="15"/>
              </w:rPr>
              <w:t xml:space="preserve">Important invariant</w:t>
            </w:r>
          </w:p>
        </w:tc>
      </w:tr>
      <w:tr>
        <w:trPr>
          <w:cantSplit/>
        </w:trPr>
        <w:tc>
          <w:tcPr>
            <w:tcW w:w="2500" w:type="dxa"/>
          </w:tcPr>
          <w:p>
            <w:pPr>
              <w:pStyle w:val="TableText"/>
              <w:keepLines/>
            </w:pPr>
            <w:r>
              <w:rPr>
                <w:sz w:val="15"/>
                <w:szCs w:val="15"/>
              </w:rPr>
              <w:t xml:space="preserve">scripts/config/capex_analysis.py</w:t>
            </w:r>
          </w:p>
        </w:tc>
        <w:tc>
          <w:tcPr>
            <w:tcW w:w="4300" w:type="dxa"/>
          </w:tcPr>
          <w:p>
            <w:pPr>
              <w:pStyle w:val="TableText"/>
              <w:keepLines/>
            </w:pPr>
            <w:r>
              <w:rPr>
                <w:sz w:val="15"/>
                <w:szCs w:val="15"/>
              </w:rPr>
              <w:t xml:space="preserve">Frozen market definitions, benchmark/control roles, corporate basket, lags and output paths.</w:t>
            </w:r>
          </w:p>
        </w:tc>
        <w:tc>
          <w:tcPr>
            <w:tcW w:w="2200" w:type="dxa"/>
          </w:tcPr>
          <w:p>
            <w:pPr>
              <w:pStyle w:val="TableText"/>
              <w:keepLines/>
            </w:pPr>
            <w:r>
              <w:rPr>
                <w:sz w:val="15"/>
                <w:szCs w:val="15"/>
              </w:rPr>
              <w:t xml:space="preserve">Machine keys and research scope are declared before transforms.</w:t>
            </w:r>
          </w:p>
        </w:tc>
      </w:tr>
      <w:tr>
        <w:trPr>
          <w:cantSplit/>
        </w:trPr>
        <w:tc>
          <w:tcPr>
            <w:tcW w:w="2500" w:type="dxa"/>
          </w:tcPr>
          <w:p>
            <w:pPr>
              <w:pStyle w:val="TableText"/>
              <w:keepLines/>
            </w:pPr>
            <w:r>
              <w:rPr>
                <w:sz w:val="15"/>
                <w:szCs w:val="15"/>
              </w:rPr>
              <w:t xml:space="preserve">scripts/build_capex_pipeline.py</w:t>
            </w:r>
          </w:p>
        </w:tc>
        <w:tc>
          <w:tcPr>
            <w:tcW w:w="4300" w:type="dxa"/>
          </w:tcPr>
          <w:p>
            <w:pPr>
              <w:pStyle w:val="TableText"/>
              <w:keepLines/>
            </w:pPr>
            <w:r>
              <w:rPr>
                <w:sz w:val="15"/>
                <w:szCs w:val="15"/>
              </w:rPr>
              <w:t xml:space="preserve">Sole full and targeted ETL executable.</w:t>
            </w:r>
          </w:p>
        </w:tc>
        <w:tc>
          <w:tcPr>
            <w:tcW w:w="2200" w:type="dxa"/>
          </w:tcPr>
          <w:p>
            <w:pPr>
              <w:pStyle w:val="TableText"/>
              <w:keepLines/>
            </w:pPr>
            <w:r>
              <w:rPr>
                <w:sz w:val="15"/>
                <w:szCs w:val="15"/>
              </w:rPr>
              <w:t xml:space="preserve">Every payload validates before target selection and the first processed or public write.</w:t>
            </w:r>
          </w:p>
        </w:tc>
      </w:tr>
      <w:tr>
        <w:trPr>
          <w:cantSplit/>
        </w:trPr>
        <w:tc>
          <w:tcPr>
            <w:tcW w:w="2500" w:type="dxa"/>
          </w:tcPr>
          <w:p>
            <w:pPr>
              <w:pStyle w:val="TableText"/>
              <w:keepLines/>
            </w:pPr>
            <w:r>
              <w:rPr>
                <w:sz w:val="15"/>
                <w:szCs w:val="15"/>
              </w:rPr>
              <w:t xml:space="preserve">scripts/extractors/capex_sources.py</w:t>
            </w:r>
          </w:p>
        </w:tc>
        <w:tc>
          <w:tcPr>
            <w:tcW w:w="4300" w:type="dxa"/>
          </w:tcPr>
          <w:p>
            <w:pPr>
              <w:pStyle w:val="TableText"/>
              <w:keepLines/>
            </w:pPr>
            <w:r>
              <w:rPr>
                <w:sz w:val="15"/>
                <w:szCs w:val="15"/>
              </w:rPr>
              <w:t xml:space="preserve">Live acquisition and immutable-landed-source replay.</w:t>
            </w:r>
          </w:p>
        </w:tc>
        <w:tc>
          <w:tcPr>
            <w:tcW w:w="2200" w:type="dxa"/>
          </w:tcPr>
          <w:p>
            <w:pPr>
              <w:pStyle w:val="TableText"/>
              <w:keepLines/>
            </w:pPr>
            <w:r>
              <w:rPr>
                <w:sz w:val="15"/>
                <w:szCs w:val="15"/>
              </w:rPr>
              <w:t xml:space="preserve">Extraction returns typed source containers; raw evidence is independent of publication.</w:t>
            </w:r>
          </w:p>
        </w:tc>
      </w:tr>
      <w:tr>
        <w:trPr>
          <w:cantSplit/>
        </w:trPr>
        <w:tc>
          <w:tcPr>
            <w:tcW w:w="2500" w:type="dxa"/>
          </w:tcPr>
          <w:p>
            <w:pPr>
              <w:pStyle w:val="TableText"/>
              <w:keepLines/>
            </w:pPr>
            <w:r>
              <w:rPr>
                <w:sz w:val="15"/>
                <w:szCs w:val="15"/>
              </w:rPr>
              <w:t xml:space="preserve">scripts/extractors/delivery_reference.py</w:t>
            </w:r>
          </w:p>
        </w:tc>
        <w:tc>
          <w:tcPr>
            <w:tcW w:w="4300" w:type="dxa"/>
          </w:tcPr>
          <w:p>
            <w:pPr>
              <w:pStyle w:val="TableText"/>
              <w:keepLines/>
            </w:pPr>
            <w:r>
              <w:rPr>
                <w:sz w:val="15"/>
                <w:szCs w:val="15"/>
              </w:rPr>
              <w:t xml:space="preserve">Validation and typed extraction of transcribed allocation, delivery and IIP observations.</w:t>
            </w:r>
          </w:p>
        </w:tc>
        <w:tc>
          <w:tcPr>
            <w:tcW w:w="2200" w:type="dxa"/>
          </w:tcPr>
          <w:p>
            <w:pPr>
              <w:pStyle w:val="TableText"/>
              <w:keepLines/>
            </w:pPr>
            <w:r>
              <w:rPr>
                <w:sz w:val="15"/>
                <w:szCs w:val="15"/>
              </w:rPr>
              <w:t xml:space="preserve">Reference observations cross the same extraction boundary as downloaded sources.</w:t>
            </w:r>
          </w:p>
        </w:tc>
      </w:tr>
      <w:tr>
        <w:trPr>
          <w:cantSplit/>
        </w:trPr>
        <w:tc>
          <w:tcPr>
            <w:tcW w:w="2500" w:type="dxa"/>
          </w:tcPr>
          <w:p>
            <w:pPr>
              <w:pStyle w:val="TableText"/>
              <w:keepLines/>
            </w:pPr>
            <w:r>
              <w:rPr>
                <w:sz w:val="15"/>
                <w:szCs w:val="15"/>
              </w:rPr>
              <w:t xml:space="preserve">sources/capex_delivery_reference.json</w:t>
            </w:r>
          </w:p>
        </w:tc>
        <w:tc>
          <w:tcPr>
            <w:tcW w:w="4300" w:type="dxa"/>
          </w:tcPr>
          <w:p>
            <w:pPr>
              <w:pStyle w:val="TableText"/>
              <w:keepLines/>
            </w:pPr>
            <w:r>
              <w:rPr>
                <w:sz w:val="15"/>
                <w:szCs w:val="15"/>
              </w:rPr>
              <w:t xml:space="preserve">Version-controlled transcription of official annual tables awaiting automated document parsers.</w:t>
            </w:r>
          </w:p>
        </w:tc>
        <w:tc>
          <w:tcPr>
            <w:tcW w:w="2200" w:type="dxa"/>
          </w:tcPr>
          <w:p>
            <w:pPr>
              <w:pStyle w:val="TableText"/>
              <w:keepLines/>
            </w:pPr>
            <w:r>
              <w:rPr>
                <w:sz w:val="15"/>
                <w:szCs w:val="15"/>
              </w:rPr>
              <w:t xml:space="preserve">Data is source input, never executable builder code.</w:t>
            </w:r>
          </w:p>
        </w:tc>
      </w:tr>
      <w:tr>
        <w:trPr>
          <w:cantSplit/>
        </w:trPr>
        <w:tc>
          <w:tcPr>
            <w:tcW w:w="2500" w:type="dxa"/>
          </w:tcPr>
          <w:p>
            <w:pPr>
              <w:pStyle w:val="TableText"/>
              <w:keepLines/>
            </w:pPr>
            <w:r>
              <w:rPr>
                <w:sz w:val="15"/>
                <w:szCs w:val="15"/>
              </w:rPr>
              <w:t xml:space="preserve">scripts/models/capex_sources.py</w:t>
            </w:r>
          </w:p>
        </w:tc>
        <w:tc>
          <w:tcPr>
            <w:tcW w:w="4300" w:type="dxa"/>
          </w:tcPr>
          <w:p>
            <w:pPr>
              <w:pStyle w:val="TableText"/>
              <w:keepLines/>
            </w:pPr>
            <w:r>
              <w:rPr>
                <w:sz w:val="15"/>
                <w:szCs w:val="15"/>
              </w:rPr>
              <w:t xml:space="preserve">Provider-response and cross-layer source containers.</w:t>
            </w:r>
          </w:p>
        </w:tc>
        <w:tc>
          <w:tcPr>
            <w:tcW w:w="2200" w:type="dxa"/>
          </w:tcPr>
          <w:p>
            <w:pPr>
              <w:pStyle w:val="TableText"/>
              <w:keepLines/>
            </w:pPr>
            <w:r>
              <w:rPr>
                <w:sz w:val="15"/>
                <w:szCs w:val="15"/>
              </w:rPr>
              <w:t xml:space="preserve">Transforms depend on shared models, never extractor implementations.</w:t>
            </w:r>
          </w:p>
        </w:tc>
      </w:tr>
      <w:tr>
        <w:trPr>
          <w:cantSplit/>
        </w:trPr>
        <w:tc>
          <w:tcPr>
            <w:tcW w:w="2500" w:type="dxa"/>
          </w:tcPr>
          <w:p>
            <w:pPr>
              <w:pStyle w:val="TableText"/>
              <w:keepLines/>
            </w:pPr>
            <w:r>
              <w:rPr>
                <w:sz w:val="15"/>
                <w:szCs w:val="15"/>
              </w:rPr>
              <w:t xml:space="preserve">scripts/models/capex_metrics.py</w:t>
            </w:r>
          </w:p>
        </w:tc>
        <w:tc>
          <w:tcPr>
            <w:tcW w:w="4300" w:type="dxa"/>
          </w:tcPr>
          <w:p>
            <w:pPr>
              <w:pStyle w:val="TableText"/>
              <w:keepLines/>
            </w:pPr>
            <w:r>
              <w:rPr>
                <w:sz w:val="15"/>
                <w:szCs w:val="15"/>
              </w:rPr>
              <w:t xml:space="preserve">GovernmentMetrics, PrivateMetrics and FiscalMetrics contracts.</w:t>
            </w:r>
          </w:p>
        </w:tc>
        <w:tc>
          <w:tcPr>
            <w:tcW w:w="2200" w:type="dxa"/>
          </w:tcPr>
          <w:p>
            <w:pPr>
              <w:pStyle w:val="TableText"/>
              <w:keepLines/>
            </w:pPr>
            <w:r>
              <w:rPr>
                <w:sz w:val="15"/>
                <w:szCs w:val="15"/>
              </w:rPr>
              <w:t xml:space="preserve">Intermediate calculations carry CanonicalRecord tuples and provenance, never JSON-shaped payload dictionaries.</w:t>
            </w:r>
          </w:p>
        </w:tc>
      </w:tr>
      <w:tr>
        <w:trPr>
          <w:cantSplit/>
        </w:trPr>
        <w:tc>
          <w:tcPr>
            <w:tcW w:w="2500" w:type="dxa"/>
          </w:tcPr>
          <w:p>
            <w:pPr>
              <w:pStyle w:val="TableText"/>
              <w:keepLines/>
            </w:pPr>
            <w:r>
              <w:rPr>
                <w:sz w:val="15"/>
                <w:szCs w:val="15"/>
              </w:rPr>
              <w:t xml:space="preserve">scripts/transforms/capex_metrics.py</w:t>
            </w:r>
          </w:p>
        </w:tc>
        <w:tc>
          <w:tcPr>
            <w:tcW w:w="4300" w:type="dxa"/>
          </w:tcPr>
          <w:p>
            <w:pPr>
              <w:pStyle w:val="TableText"/>
              <w:keepLines/>
            </w:pPr>
            <w:r>
              <w:rPr>
                <w:sz w:val="15"/>
                <w:szCs w:val="15"/>
              </w:rPr>
              <w:t xml:space="preserve">Explicit construction and validation of typed structural metrics.</w:t>
            </w:r>
          </w:p>
        </w:tc>
        <w:tc>
          <w:tcPr>
            <w:tcW w:w="2200" w:type="dxa"/>
          </w:tcPr>
          <w:p>
            <w:pPr>
              <w:pStyle w:val="TableText"/>
              <w:keepLines/>
            </w:pPr>
            <w:r>
              <w:rPr>
                <w:sz w:val="15"/>
                <w:szCs w:val="15"/>
              </w:rPr>
              <w:t xml:space="preserve">Government metrics feed private metrics directly as records; no intermediate JSON is constructed.</w:t>
            </w:r>
          </w:p>
        </w:tc>
      </w:tr>
      <w:tr>
        <w:trPr>
          <w:cantSplit/>
        </w:trPr>
        <w:tc>
          <w:tcPr>
            <w:tcW w:w="2500" w:type="dxa"/>
          </w:tcPr>
          <w:p>
            <w:pPr>
              <w:pStyle w:val="TableText"/>
              <w:keepLines/>
            </w:pPr>
            <w:r>
              <w:rPr>
                <w:sz w:val="15"/>
                <w:szCs w:val="15"/>
              </w:rPr>
              <w:t xml:space="preserve">scripts/builders/capex_artifacts.py</w:t>
            </w:r>
          </w:p>
        </w:tc>
        <w:tc>
          <w:tcPr>
            <w:tcW w:w="4300" w:type="dxa"/>
          </w:tcPr>
          <w:p>
            <w:pPr>
              <w:pStyle w:val="TableText"/>
              <w:keepLines/>
            </w:pPr>
            <w:r>
              <w:rPr>
                <w:sz w:val="15"/>
                <w:szCs w:val="15"/>
              </w:rPr>
              <w:t xml:space="preserve">Pure dependency ordering and complete artifact assembly.</w:t>
            </w:r>
          </w:p>
        </w:tc>
        <w:tc>
          <w:tcPr>
            <w:tcW w:w="2200" w:type="dxa"/>
          </w:tcPr>
          <w:p>
            <w:pPr>
              <w:pStyle w:val="TableText"/>
              <w:keepLines/>
            </w:pPr>
            <w:r>
              <w:rPr>
                <w:sz w:val="15"/>
                <w:szCs w:val="15"/>
              </w:rPr>
              <w:t xml:space="preserve">No network, processed-file reads or publication side effects.</w:t>
            </w:r>
          </w:p>
        </w:tc>
      </w:tr>
      <w:tr>
        <w:trPr>
          <w:cantSplit/>
        </w:trPr>
        <w:tc>
          <w:tcPr>
            <w:tcW w:w="2500" w:type="dxa"/>
          </w:tcPr>
          <w:p>
            <w:pPr>
              <w:pStyle w:val="TableText"/>
              <w:keepLines/>
            </w:pPr>
            <w:r>
              <w:rPr>
                <w:sz w:val="15"/>
                <w:szCs w:val="15"/>
              </w:rPr>
              <w:t xml:space="preserve">scripts/extractors/nifty_indices.py</w:t>
            </w:r>
          </w:p>
        </w:tc>
        <w:tc>
          <w:tcPr>
            <w:tcW w:w="4300" w:type="dxa"/>
          </w:tcPr>
          <w:p>
            <w:pPr>
              <w:pStyle w:val="TableText"/>
              <w:keepLines/>
            </w:pPr>
            <w:r>
              <w:rPr>
                <w:sz w:val="15"/>
                <w:szCs w:val="15"/>
              </w:rPr>
              <w:t xml:space="preserve">Official Nifty TRI sessions, annual request windows and immutable JSON landing.</w:t>
            </w:r>
          </w:p>
        </w:tc>
        <w:tc>
          <w:tcPr>
            <w:tcW w:w="2200" w:type="dxa"/>
          </w:tcPr>
          <w:p>
            <w:pPr>
              <w:pStyle w:val="TableText"/>
              <w:keepLines/>
            </w:pPr>
            <w:r>
              <w:rPr>
                <w:sz w:val="15"/>
                <w:szCs w:val="15"/>
              </w:rPr>
              <w:t xml:space="preserve">Every market must return observations; one common sample is enforced later.</w:t>
            </w:r>
          </w:p>
        </w:tc>
      </w:tr>
      <w:tr>
        <w:trPr>
          <w:cantSplit/>
        </w:trPr>
        <w:tc>
          <w:tcPr>
            <w:tcW w:w="2500" w:type="dxa"/>
          </w:tcPr>
          <w:p>
            <w:pPr>
              <w:pStyle w:val="TableText"/>
              <w:keepLines/>
            </w:pPr>
            <w:r>
              <w:rPr>
                <w:sz w:val="15"/>
                <w:szCs w:val="15"/>
              </w:rPr>
              <w:t xml:space="preserve">scripts/extractors/corporate_fundamentals.py</w:t>
            </w:r>
          </w:p>
        </w:tc>
        <w:tc>
          <w:tcPr>
            <w:tcW w:w="4300" w:type="dxa"/>
          </w:tcPr>
          <w:p>
            <w:pPr>
              <w:pStyle w:val="TableText"/>
              <w:keepLines/>
            </w:pPr>
            <w:r>
              <w:rPr>
                <w:sz w:val="15"/>
                <w:szCs w:val="15"/>
              </w:rPr>
              <w:t xml:space="preserve">Company statement extraction and raw landing.</w:t>
            </w:r>
          </w:p>
        </w:tc>
        <w:tc>
          <w:tcPr>
            <w:tcW w:w="2200" w:type="dxa"/>
          </w:tcPr>
          <w:p>
            <w:pPr>
              <w:pStyle w:val="TableText"/>
              <w:keepLines/>
            </w:pPr>
            <w:r>
              <w:rPr>
                <w:sz w:val="15"/>
                <w:szCs w:val="15"/>
              </w:rPr>
              <w:t xml:space="preserve">The basket is frozen; provider field fallbacks are explicit.</w:t>
            </w:r>
          </w:p>
        </w:tc>
      </w:tr>
      <w:tr>
        <w:trPr>
          <w:cantSplit/>
        </w:trPr>
        <w:tc>
          <w:tcPr>
            <w:tcW w:w="2500" w:type="dxa"/>
          </w:tcPr>
          <w:p>
            <w:pPr>
              <w:pStyle w:val="TableText"/>
              <w:keepLines/>
            </w:pPr>
            <w:r>
              <w:rPr>
                <w:sz w:val="15"/>
                <w:szCs w:val="15"/>
              </w:rPr>
              <w:t xml:space="preserve">scripts/builders/fiscal_outputs.py</w:t>
            </w:r>
          </w:p>
        </w:tc>
        <w:tc>
          <w:tcPr>
            <w:tcW w:w="4300" w:type="dxa"/>
          </w:tcPr>
          <w:p>
            <w:pPr>
              <w:pStyle w:val="TableText"/>
              <w:keepLines/>
            </w:pPr>
            <w:r>
              <w:rPr>
                <w:sz w:val="15"/>
                <w:szCs w:val="15"/>
              </w:rPr>
              <w:t xml:space="preserve">Final execution and fiscal-sustainability payloads.</w:t>
            </w:r>
          </w:p>
        </w:tc>
        <w:tc>
          <w:tcPr>
            <w:tcW w:w="2200" w:type="dxa"/>
          </w:tcPr>
          <w:p>
            <w:pPr>
              <w:pStyle w:val="TableText"/>
              <w:keepLines/>
            </w:pPr>
            <w:r>
              <w:rPr>
                <w:sz w:val="15"/>
                <w:szCs w:val="15"/>
              </w:rPr>
              <w:t xml:space="preserve">Each public function constructs exactly one registered output.</w:t>
            </w:r>
          </w:p>
        </w:tc>
      </w:tr>
      <w:tr>
        <w:trPr>
          <w:cantSplit/>
        </w:trPr>
        <w:tc>
          <w:tcPr>
            <w:tcW w:w="2500" w:type="dxa"/>
          </w:tcPr>
          <w:p>
            <w:pPr>
              <w:pStyle w:val="TableText"/>
              <w:keepLines/>
            </w:pPr>
            <w:r>
              <w:rPr>
                <w:sz w:val="15"/>
                <w:szCs w:val="15"/>
              </w:rPr>
              <w:t xml:space="preserve">scripts/builders/market_outputs.py</w:t>
            </w:r>
          </w:p>
        </w:tc>
        <w:tc>
          <w:tcPr>
            <w:tcW w:w="4300" w:type="dxa"/>
          </w:tcPr>
          <w:p>
            <w:pPr>
              <w:pStyle w:val="TableText"/>
              <w:keepLines/>
            </w:pPr>
            <w:r>
              <w:rPr>
                <w:sz w:val="15"/>
                <w:szCs w:val="15"/>
              </w:rPr>
              <w:t xml:space="preserve">Final sector-performance and correlation payloads.</w:t>
            </w:r>
          </w:p>
        </w:tc>
        <w:tc>
          <w:tcPr>
            <w:tcW w:w="2200" w:type="dxa"/>
          </w:tcPr>
          <w:p>
            <w:pPr>
              <w:pStyle w:val="TableText"/>
              <w:keepLines/>
            </w:pPr>
            <w:r>
              <w:rPr>
                <w:sz w:val="15"/>
                <w:szCs w:val="15"/>
              </w:rPr>
              <w:t xml:space="preserve">Correlation support estimates are returned in a typed result for the summary builder.</w:t>
            </w:r>
          </w:p>
        </w:tc>
      </w:tr>
      <w:tr>
        <w:trPr>
          <w:cantSplit/>
        </w:trPr>
        <w:tc>
          <w:tcPr>
            <w:tcW w:w="2500" w:type="dxa"/>
          </w:tcPr>
          <w:p>
            <w:pPr>
              <w:pStyle w:val="TableText"/>
              <w:keepLines/>
            </w:pPr>
            <w:r>
              <w:rPr>
                <w:sz w:val="15"/>
                <w:szCs w:val="15"/>
              </w:rPr>
              <w:t xml:space="preserve">scripts/builders/real_economy_outputs.py</w:t>
            </w:r>
          </w:p>
        </w:tc>
        <w:tc>
          <w:tcPr>
            <w:tcW w:w="4300" w:type="dxa"/>
          </w:tcPr>
          <w:p>
            <w:pPr>
              <w:pStyle w:val="TableText"/>
              <w:keepLines/>
            </w:pPr>
            <w:r>
              <w:rPr>
                <w:sz w:val="15"/>
                <w:szCs w:val="15"/>
              </w:rPr>
              <w:t xml:space="preserve">Final allocation, delivery, production, private-response and corporate payloads.</w:t>
            </w:r>
          </w:p>
        </w:tc>
        <w:tc>
          <w:tcPr>
            <w:tcW w:w="2200" w:type="dxa"/>
          </w:tcPr>
          <w:p>
            <w:pPr>
              <w:pStyle w:val="TableText"/>
              <w:keepLines/>
            </w:pPr>
            <w:r>
              <w:rPr>
                <w:sz w:val="15"/>
                <w:szCs w:val="15"/>
              </w:rPr>
              <w:t xml:space="preserve">Each public function constructs exactly one registered output.</w:t>
            </w:r>
          </w:p>
        </w:tc>
      </w:tr>
      <w:tr>
        <w:trPr>
          <w:cantSplit/>
        </w:trPr>
        <w:tc>
          <w:tcPr>
            <w:tcW w:w="2500" w:type="dxa"/>
          </w:tcPr>
          <w:p>
            <w:pPr>
              <w:pStyle w:val="TableText"/>
              <w:keepLines/>
            </w:pPr>
            <w:r>
              <w:rPr>
                <w:sz w:val="15"/>
                <w:szCs w:val="15"/>
              </w:rPr>
              <w:t xml:space="preserve">scripts/builders/evaluation_outputs.py</w:t>
            </w:r>
          </w:p>
        </w:tc>
        <w:tc>
          <w:tcPr>
            <w:tcW w:w="4300" w:type="dxa"/>
          </w:tcPr>
          <w:p>
            <w:pPr>
              <w:pStyle w:val="TableText"/>
              <w:keepLines/>
            </w:pPr>
            <w:r>
              <w:rPr>
                <w:sz w:val="15"/>
                <w:szCs w:val="15"/>
              </w:rPr>
              <w:t xml:space="preserve">Final quality, state, crowding-in and summary payloads.</w:t>
            </w:r>
          </w:p>
        </w:tc>
        <w:tc>
          <w:tcPr>
            <w:tcW w:w="2200" w:type="dxa"/>
          </w:tcPr>
          <w:p>
            <w:pPr>
              <w:pStyle w:val="TableText"/>
              <w:keepLines/>
            </w:pPr>
            <w:r>
              <w:rPr>
                <w:sz w:val="15"/>
                <w:szCs w:val="15"/>
              </w:rPr>
              <w:t xml:space="preserve">Each public function constructs exactly one registered output.</w:t>
            </w:r>
          </w:p>
        </w:tc>
      </w:tr>
      <w:tr>
        <w:trPr>
          <w:cantSplit/>
        </w:trPr>
        <w:tc>
          <w:tcPr>
            <w:tcW w:w="2500" w:type="dxa"/>
          </w:tcPr>
          <w:p>
            <w:pPr>
              <w:pStyle w:val="TableText"/>
              <w:keepLines/>
            </w:pPr>
            <w:r>
              <w:rPr>
                <w:sz w:val="15"/>
                <w:szCs w:val="15"/>
              </w:rPr>
              <w:t xml:space="preserve">scripts/transforms/capex_depth.py</w:t>
            </w:r>
          </w:p>
        </w:tc>
        <w:tc>
          <w:tcPr>
            <w:tcW w:w="4300" w:type="dxa"/>
          </w:tcPr>
          <w:p>
            <w:pPr>
              <w:pStyle w:val="TableText"/>
              <w:keepLines/>
            </w:pPr>
            <w:r>
              <w:rPr>
                <w:sz w:val="15"/>
                <w:szCs w:val="15"/>
              </w:rPr>
              <w:t xml:space="preserve">Project blocks, state panel, fixed effects and crowding-in gates.</w:t>
            </w:r>
          </w:p>
        </w:tc>
        <w:tc>
          <w:tcPr>
            <w:tcW w:w="2200" w:type="dxa"/>
          </w:tcPr>
          <w:p>
            <w:pPr>
              <w:pStyle w:val="TableText"/>
              <w:keepLines/>
            </w:pPr>
            <w:r>
              <w:rPr>
                <w:sz w:val="15"/>
                <w:szCs w:val="15"/>
              </w:rPr>
              <w:t xml:space="preserve">Causal language is prohibited; sample eligibility is explicit.</w:t>
            </w:r>
          </w:p>
        </w:tc>
      </w:tr>
      <w:tr>
        <w:trPr>
          <w:cantSplit/>
        </w:trPr>
        <w:tc>
          <w:tcPr>
            <w:tcW w:w="2500" w:type="dxa"/>
          </w:tcPr>
          <w:p>
            <w:pPr>
              <w:pStyle w:val="TableText"/>
              <w:keepLines/>
            </w:pPr>
            <w:r>
              <w:rPr>
                <w:sz w:val="15"/>
                <w:szCs w:val="15"/>
              </w:rPr>
              <w:t xml:space="preserve">scripts/transforms/capex_analysis.py</w:t>
            </w:r>
          </w:p>
        </w:tc>
        <w:tc>
          <w:tcPr>
            <w:tcW w:w="4300" w:type="dxa"/>
          </w:tcPr>
          <w:p>
            <w:pPr>
              <w:pStyle w:val="TableText"/>
              <w:keepLines/>
            </w:pPr>
            <w:r>
              <w:rPr>
                <w:sz w:val="15"/>
                <w:szCs w:val="15"/>
              </w:rPr>
              <w:t xml:space="preserve">Market wealth, lead/lag alignment, correlations and deterministic hypotheses.</w:t>
            </w:r>
          </w:p>
        </w:tc>
        <w:tc>
          <w:tcPr>
            <w:tcW w:w="2200" w:type="dxa"/>
          </w:tcPr>
          <w:p>
            <w:pPr>
              <w:pStyle w:val="TableText"/>
              <w:keepLines/>
            </w:pPr>
            <w:r>
              <w:rPr>
                <w:sz w:val="15"/>
                <w:szCs w:val="15"/>
              </w:rPr>
              <w:t xml:space="preserve">No causal claim; fixed windows; missing pairs are not imputed.</w:t>
            </w:r>
          </w:p>
        </w:tc>
      </w:tr>
      <w:tr>
        <w:trPr>
          <w:cantSplit/>
        </w:trPr>
        <w:tc>
          <w:tcPr>
            <w:tcW w:w="2500" w:type="dxa"/>
          </w:tcPr>
          <w:p>
            <w:pPr>
              <w:pStyle w:val="TableText"/>
              <w:keepLines/>
            </w:pPr>
            <w:r>
              <w:rPr>
                <w:sz w:val="15"/>
                <w:szCs w:val="15"/>
              </w:rPr>
              <w:t xml:space="preserve">scripts/transforms/corporate_fundamentals.py</w:t>
            </w:r>
          </w:p>
        </w:tc>
        <w:tc>
          <w:tcPr>
            <w:tcW w:w="4300" w:type="dxa"/>
          </w:tcPr>
          <w:p>
            <w:pPr>
              <w:pStyle w:val="TableText"/>
              <w:keepLines/>
            </w:pPr>
            <w:r>
              <w:rPr>
                <w:sz w:val="15"/>
                <w:szCs w:val="15"/>
              </w:rPr>
              <w:t xml:space="preserve">Within-company growth and group medians.</w:t>
            </w:r>
          </w:p>
        </w:tc>
        <w:tc>
          <w:tcPr>
            <w:tcW w:w="2200" w:type="dxa"/>
          </w:tcPr>
          <w:p>
            <w:pPr>
              <w:pStyle w:val="TableText"/>
              <w:keepLines/>
            </w:pPr>
            <w:r>
              <w:rPr>
                <w:sz w:val="15"/>
                <w:szCs w:val="15"/>
              </w:rPr>
              <w:t xml:space="preserve">Aggregate after company-level growth.</w:t>
            </w:r>
          </w:p>
        </w:tc>
      </w:tr>
      <w:tr>
        <w:trPr>
          <w:cantSplit/>
        </w:trPr>
        <w:tc>
          <w:tcPr>
            <w:tcW w:w="2500" w:type="dxa"/>
          </w:tcPr>
          <w:p>
            <w:pPr>
              <w:pStyle w:val="TableText"/>
              <w:keepLines/>
            </w:pPr>
            <w:r>
              <w:rPr>
                <w:sz w:val="15"/>
                <w:szCs w:val="15"/>
              </w:rPr>
              <w:t xml:space="preserve">scripts/validators/</w:t>
            </w:r>
          </w:p>
        </w:tc>
        <w:tc>
          <w:tcPr>
            <w:tcW w:w="4300" w:type="dxa"/>
          </w:tcPr>
          <w:p>
            <w:pPr>
              <w:pStyle w:val="TableText"/>
              <w:keepLines/>
            </w:pPr>
            <w:r>
              <w:rPr>
                <w:sz w:val="15"/>
                <w:szCs w:val="15"/>
              </w:rPr>
              <w:t xml:space="preserve">Draft 2020-12 schema validation and semantic evidence checks.</w:t>
            </w:r>
          </w:p>
        </w:tc>
        <w:tc>
          <w:tcPr>
            <w:tcW w:w="2200" w:type="dxa"/>
          </w:tcPr>
          <w:p>
            <w:pPr>
              <w:pStyle w:val="TableText"/>
              <w:keepLines/>
            </w:pPr>
            <w:r>
              <w:rPr>
                <w:sz w:val="15"/>
                <w:szCs w:val="15"/>
              </w:rPr>
              <w:t xml:space="preserve">Reject a candidate before replacement.</w:t>
            </w:r>
          </w:p>
        </w:tc>
      </w:tr>
      <w:tr>
        <w:trPr>
          <w:cantSplit/>
        </w:trPr>
        <w:tc>
          <w:tcPr>
            <w:tcW w:w="2500" w:type="dxa"/>
          </w:tcPr>
          <w:p>
            <w:pPr>
              <w:pStyle w:val="TableText"/>
              <w:keepLines/>
            </w:pPr>
            <w:r>
              <w:rPr>
                <w:sz w:val="15"/>
                <w:szCs w:val="15"/>
              </w:rPr>
              <w:t xml:space="preserve">scripts/exporters/json_export.py</w:t>
            </w:r>
          </w:p>
        </w:tc>
        <w:tc>
          <w:tcPr>
            <w:tcW w:w="4300" w:type="dxa"/>
          </w:tcPr>
          <w:p>
            <w:pPr>
              <w:pStyle w:val="TableText"/>
              <w:keepLines/>
            </w:pPr>
            <w:r>
              <w:rPr>
                <w:sz w:val="15"/>
                <w:szCs w:val="15"/>
              </w:rPr>
              <w:t xml:space="preserve">Strict JSON and per-file atomic filesystem replacement.</w:t>
            </w:r>
          </w:p>
        </w:tc>
        <w:tc>
          <w:tcPr>
            <w:tcW w:w="2200" w:type="dxa"/>
          </w:tcPr>
          <w:p>
            <w:pPr>
              <w:pStyle w:val="TableText"/>
              <w:keepLines/>
            </w:pPr>
            <w:r>
              <w:rPr>
                <w:sz w:val="15"/>
                <w:szCs w:val="15"/>
              </w:rPr>
              <w:t xml:space="preserve">No NaN or partially written JSON file reaches either output directory.</w:t>
            </w:r>
          </w:p>
        </w:tc>
      </w:tr>
      <w:tr>
        <w:trPr>
          <w:cantSplit/>
        </w:trPr>
        <w:tc>
          <w:tcPr>
            <w:tcW w:w="2500" w:type="dxa"/>
          </w:tcPr>
          <w:p>
            <w:pPr>
              <w:pStyle w:val="TableText"/>
              <w:keepLines/>
            </w:pPr>
            <w:r>
              <w:rPr>
                <w:sz w:val="15"/>
                <w:szCs w:val="15"/>
              </w:rPr>
              <w:t xml:space="preserve">scripts/sync_focused_catalogue.py</w:t>
            </w:r>
          </w:p>
        </w:tc>
        <w:tc>
          <w:tcPr>
            <w:tcW w:w="4300" w:type="dxa"/>
          </w:tcPr>
          <w:p>
            <w:pPr>
              <w:pStyle w:val="TableText"/>
              <w:keepLines/>
            </w:pPr>
            <w:r>
              <w:rPr>
                <w:sz w:val="15"/>
                <w:szCs w:val="15"/>
              </w:rPr>
              <w:t xml:space="preserve">Asset definitions, stage order, views and adapter names.</w:t>
            </w:r>
          </w:p>
        </w:tc>
        <w:tc>
          <w:tcPr>
            <w:tcW w:w="2200" w:type="dxa"/>
          </w:tcPr>
          <w:p>
            <w:pPr>
              <w:pStyle w:val="TableText"/>
              <w:keepLines/>
            </w:pPr>
            <w:r>
              <w:rPr>
                <w:sz w:val="15"/>
                <w:szCs w:val="15"/>
              </w:rPr>
              <w:t xml:space="preserve">Catalogue is the presentation contract.</w:t>
            </w:r>
          </w:p>
        </w:tc>
      </w:tr>
      <w:tr>
        <w:trPr>
          <w:cantSplit/>
        </w:trPr>
        <w:tc>
          <w:tcPr>
            <w:tcW w:w="2500" w:type="dxa"/>
          </w:tcPr>
          <w:p>
            <w:pPr>
              <w:pStyle w:val="TableText"/>
              <w:keepLines/>
            </w:pPr>
            <w:r>
              <w:rPr>
                <w:sz w:val="15"/>
                <w:szCs w:val="15"/>
              </w:rPr>
              <w:t xml:space="preserve">frontend/src/data/</w:t>
            </w:r>
          </w:p>
        </w:tc>
        <w:tc>
          <w:tcPr>
            <w:tcW w:w="4300" w:type="dxa"/>
          </w:tcPr>
          <w:p>
            <w:pPr>
              <w:pStyle w:val="TableText"/>
              <w:keepLines/>
            </w:pPr>
            <w:r>
              <w:rPr>
                <w:sz w:val="15"/>
                <w:szCs w:val="15"/>
              </w:rPr>
              <w:t xml:space="preserve">TypeScript payload types, static client and runtime guards.</w:t>
            </w:r>
          </w:p>
        </w:tc>
        <w:tc>
          <w:tcPr>
            <w:tcW w:w="2200" w:type="dxa"/>
          </w:tcPr>
          <w:p>
            <w:pPr>
              <w:pStyle w:val="TableText"/>
              <w:keepLines/>
            </w:pPr>
            <w:r>
              <w:rPr>
                <w:sz w:val="15"/>
                <w:szCs w:val="15"/>
              </w:rPr>
              <w:t xml:space="preserve">Declared schema must match detected payload and component.</w:t>
            </w:r>
          </w:p>
        </w:tc>
      </w:tr>
      <w:tr>
        <w:trPr>
          <w:cantSplit/>
        </w:trPr>
        <w:tc>
          <w:tcPr>
            <w:tcW w:w="2500" w:type="dxa"/>
          </w:tcPr>
          <w:p>
            <w:pPr>
              <w:pStyle w:val="TableText"/>
              <w:keepLines/>
            </w:pPr>
            <w:r>
              <w:rPr>
                <w:sz w:val="15"/>
                <w:szCs w:val="15"/>
              </w:rPr>
              <w:t xml:space="preserve">frontend/src/components/</w:t>
            </w:r>
          </w:p>
        </w:tc>
        <w:tc>
          <w:tcPr>
            <w:tcW w:w="4300" w:type="dxa"/>
          </w:tcPr>
          <w:p>
            <w:pPr>
              <w:pStyle w:val="TableText"/>
              <w:keepLines/>
            </w:pPr>
            <w:r>
              <w:rPr>
                <w:sz w:val="15"/>
                <w:szCs w:val="15"/>
              </w:rPr>
              <w:t xml:space="preserve">General and specialised CapEx visualisations.</w:t>
            </w:r>
          </w:p>
        </w:tc>
        <w:tc>
          <w:tcPr>
            <w:tcW w:w="2200" w:type="dxa"/>
          </w:tcPr>
          <w:p>
            <w:pPr>
              <w:pStyle w:val="TableText"/>
              <w:keepLines/>
            </w:pPr>
            <w:r>
              <w:rPr>
                <w:sz w:val="15"/>
                <w:szCs w:val="15"/>
              </w:rPr>
              <w:t xml:space="preserve">Research statistics are not recomputed except interactive scenario arithmetic and chart-only fitted lines.</w:t>
            </w:r>
          </w:p>
        </w:tc>
      </w:tr>
      <w:tr>
        <w:trPr>
          <w:cantSplit/>
        </w:trPr>
        <w:tc>
          <w:tcPr>
            <w:tcW w:w="2500" w:type="dxa"/>
          </w:tcPr>
          <w:p>
            <w:pPr>
              <w:pStyle w:val="TableText"/>
              <w:keepLines/>
            </w:pPr>
            <w:r>
              <w:rPr>
                <w:sz w:val="15"/>
                <w:szCs w:val="15"/>
              </w:rPr>
              <w:t xml:space="preserve">frontend/public/data/</w:t>
            </w:r>
          </w:p>
        </w:tc>
        <w:tc>
          <w:tcPr>
            <w:tcW w:w="4300" w:type="dxa"/>
          </w:tcPr>
          <w:p>
            <w:pPr>
              <w:pStyle w:val="TableText"/>
              <w:keepLines/>
            </w:pPr>
            <w:r>
              <w:rPr>
                <w:sz w:val="15"/>
                <w:szCs w:val="15"/>
              </w:rPr>
              <w:t xml:space="preserve">Browser-facing artifacts and schemas.</w:t>
            </w:r>
          </w:p>
        </w:tc>
        <w:tc>
          <w:tcPr>
            <w:tcW w:w="2200" w:type="dxa"/>
          </w:tcPr>
          <w:p>
            <w:pPr>
              <w:pStyle w:val="TableText"/>
              <w:keepLines/>
            </w:pPr>
            <w:r>
              <w:rPr>
                <w:sz w:val="15"/>
                <w:szCs w:val="15"/>
              </w:rPr>
              <w:t xml:space="preserve">Published copies match validated processed artifacts.</w:t>
            </w:r>
          </w:p>
        </w:tc>
      </w:tr>
      <w:tr>
        <w:trPr>
          <w:cantSplit/>
        </w:trPr>
        <w:tc>
          <w:tcPr>
            <w:tcW w:w="2500" w:type="dxa"/>
          </w:tcPr>
          <w:p>
            <w:pPr>
              <w:pStyle w:val="TableText"/>
              <w:keepLines/>
            </w:pPr>
            <w:r>
              <w:rPr>
                <w:sz w:val="15"/>
                <w:szCs w:val="15"/>
              </w:rPr>
              <w:t xml:space="preserve">tests/</w:t>
            </w:r>
          </w:p>
        </w:tc>
        <w:tc>
          <w:tcPr>
            <w:tcW w:w="4300" w:type="dxa"/>
          </w:tcPr>
          <w:p>
            <w:pPr>
              <w:pStyle w:val="TableText"/>
              <w:keepLines/>
            </w:pPr>
            <w:r>
              <w:rPr>
                <w:sz w:val="15"/>
                <w:szCs w:val="15"/>
              </w:rPr>
              <w:t xml:space="preserve">CapEx transforms, source parser contracts and publication-boundary tests.</w:t>
            </w:r>
          </w:p>
        </w:tc>
        <w:tc>
          <w:tcPr>
            <w:tcW w:w="2200" w:type="dxa"/>
          </w:tcPr>
          <w:p>
            <w:pPr>
              <w:pStyle w:val="TableText"/>
              <w:keepLines/>
            </w:pPr>
            <w:r>
              <w:rPr>
                <w:sz w:val="15"/>
                <w:szCs w:val="15"/>
              </w:rPr>
              <w:t xml:space="preserve">Regression tests protect registered windows, source semantics and CapEx-only public routing.</w:t>
            </w:r>
          </w:p>
        </w:tc>
      </w:tr>
    </w:tbl>
    <w:p>
      <w:pPr>
        <w:spacing w:after="80"/>
      </w:pPr>
      <w:r>
        <w:t xml:space="preserve"/>
      </w:r>
    </w:p>
    <w:p>
      <w:pPr>
        <w:pStyle w:val="Heading1"/>
        <w:keepNext/>
      </w:pPr>
      <w:r>
        <w:t xml:space="preserve">3. Source inventory and acquisition</w:t>
      </w:r>
    </w:p>
    <w:tbl>
      <w:tblPr>
        <w:tblStyle w:val="ArchitectureTable"/>
        <w:tblW w:w="0" w:type="auto"/>
        <w:tblLayout w:type="fixed"/>
      </w:tblPr>
      <w:tblGrid>
        <w:gridCol w:w="2200"/>
        <w:gridCol w:w="2600"/>
        <w:gridCol w:w="2700"/>
        <w:gridCol w:w="1700"/>
      </w:tblGrid>
      <w:tr>
        <w:trPr>
          <w:tblHeader/>
          <w:cantSplit/>
        </w:trPr>
        <w:tc>
          <w:tcPr>
            <w:tcW w:w="2200" w:type="dxa"/>
            <w:shd w:val="clear" w:color="auto" w:fill="1F4E78"/>
          </w:tcPr>
          <w:p>
            <w:pPr>
              <w:pStyle w:val="TableText"/>
              <w:keepLines/>
            </w:pPr>
            <w:r>
              <w:rPr>
                <w:b/>
                <w:color w:val="FFFFFF"/>
                <w:sz w:val="14"/>
                <w:szCs w:val="14"/>
              </w:rPr>
              <w:t xml:space="preserve">Source</w:t>
            </w:r>
          </w:p>
        </w:tc>
        <w:tc>
          <w:tcPr>
            <w:tcW w:w="2600" w:type="dxa"/>
            <w:shd w:val="clear" w:color="auto" w:fill="1F4E78"/>
          </w:tcPr>
          <w:p>
            <w:pPr>
              <w:pStyle w:val="TableText"/>
              <w:keepLines/>
            </w:pPr>
            <w:r>
              <w:rPr>
                <w:b/>
                <w:color w:val="FFFFFF"/>
                <w:sz w:val="14"/>
                <w:szCs w:val="14"/>
              </w:rPr>
              <w:t xml:space="preserve">Data used</w:t>
            </w:r>
          </w:p>
        </w:tc>
        <w:tc>
          <w:tcPr>
            <w:tcW w:w="2700" w:type="dxa"/>
            <w:shd w:val="clear" w:color="auto" w:fill="1F4E78"/>
          </w:tcPr>
          <w:p>
            <w:pPr>
              <w:pStyle w:val="TableText"/>
              <w:keepLines/>
            </w:pPr>
            <w:r>
              <w:rPr>
                <w:b/>
                <w:color w:val="FFFFFF"/>
                <w:sz w:val="14"/>
                <w:szCs w:val="14"/>
              </w:rPr>
              <w:t xml:space="preserve">Acquisition path</w:t>
            </w:r>
          </w:p>
        </w:tc>
        <w:tc>
          <w:tcPr>
            <w:tcW w:w="1700" w:type="dxa"/>
            <w:shd w:val="clear" w:color="auto" w:fill="1F4E78"/>
          </w:tcPr>
          <w:p>
            <w:pPr>
              <w:pStyle w:val="TableText"/>
              <w:keepLines/>
            </w:pPr>
            <w:r>
              <w:rPr>
                <w:b/>
                <w:color w:val="FFFFFF"/>
                <w:sz w:val="14"/>
                <w:szCs w:val="14"/>
              </w:rPr>
              <w:t xml:space="preserve">Raw/provenance behaviour</w:t>
            </w:r>
          </w:p>
        </w:tc>
      </w:tr>
      <w:tr>
        <w:trPr>
          <w:cantSplit/>
        </w:trPr>
        <w:tc>
          <w:tcPr>
            <w:tcW w:w="2200" w:type="dxa"/>
          </w:tcPr>
          <w:p>
            <w:pPr>
              <w:pStyle w:val="TableText"/>
              <w:keepLines/>
            </w:pPr>
            <w:r>
              <w:rPr>
                <w:sz w:val="14"/>
                <w:szCs w:val="14"/>
              </w:rPr>
              <w:t xml:space="preserve">Union Budget — Budget at a Glance</w:t>
            </w:r>
          </w:p>
        </w:tc>
        <w:tc>
          <w:tcPr>
            <w:tcW w:w="2600" w:type="dxa"/>
          </w:tcPr>
          <w:p>
            <w:pPr>
              <w:pStyle w:val="TableText"/>
              <w:keepLines/>
            </w:pPr>
            <w:r>
              <w:rPr>
                <w:sz w:val="14"/>
                <w:szCs w:val="14"/>
              </w:rPr>
              <w:t xml:space="preserve">Central CapEx actual, BE, RE, total expenditure and execution inputs.</w:t>
            </w:r>
          </w:p>
        </w:tc>
        <w:tc>
          <w:tcPr>
            <w:tcW w:w="2700" w:type="dxa"/>
          </w:tcPr>
          <w:p>
            <w:pPr>
              <w:pStyle w:val="TableText"/>
              <w:keepLines/>
            </w:pPr>
            <w:r>
              <w:rPr>
                <w:sz w:val="14"/>
                <w:szCs w:val="14"/>
              </w:rPr>
              <w:t xml:space="preserve">capex_sources acquires and parses every edition from 2018 onward.</w:t>
            </w:r>
          </w:p>
        </w:tc>
        <w:tc>
          <w:tcPr>
            <w:tcW w:w="1700" w:type="dxa"/>
          </w:tcPr>
          <w:p>
            <w:pPr>
              <w:pStyle w:val="TableText"/>
              <w:keepLines/>
            </w:pPr>
            <w:r>
              <w:rPr>
                <w:sz w:val="14"/>
                <w:szCs w:val="14"/>
              </w:rPr>
              <w:t xml:space="preserve">PDFs are checksum-landed directly under data/raw/union-budget/.</w:t>
            </w:r>
          </w:p>
        </w:tc>
      </w:tr>
      <w:tr>
        <w:trPr>
          <w:cantSplit/>
        </w:trPr>
        <w:tc>
          <w:tcPr>
            <w:tcW w:w="2200" w:type="dxa"/>
          </w:tcPr>
          <w:p>
            <w:pPr>
              <w:pStyle w:val="TableText"/>
              <w:keepLines/>
            </w:pPr>
            <w:r>
              <w:rPr>
                <w:sz w:val="14"/>
                <w:szCs w:val="14"/>
              </w:rPr>
              <w:t xml:space="preserve">Union Budget — Expenditure Profile Statement 3</w:t>
            </w:r>
          </w:p>
        </w:tc>
        <w:tc>
          <w:tcPr>
            <w:tcW w:w="2600" w:type="dxa"/>
          </w:tcPr>
          <w:p>
            <w:pPr>
              <w:pStyle w:val="TableText"/>
              <w:keepLines/>
            </w:pPr>
            <w:r>
              <w:rPr>
                <w:sz w:val="14"/>
                <w:szCs w:val="14"/>
              </w:rPr>
              <w:t xml:space="preserve">Roads and Railways central-budget capital BE.</w:t>
            </w:r>
          </w:p>
        </w:tc>
        <w:tc>
          <w:tcPr>
            <w:tcW w:w="2700" w:type="dxa"/>
          </w:tcPr>
          <w:p>
            <w:pPr>
              <w:pStyle w:val="TableText"/>
              <w:keepLines/>
            </w:pPr>
            <w:r>
              <w:rPr>
                <w:sz w:val="14"/>
                <w:szCs w:val="14"/>
              </w:rPr>
              <w:t xml:space="preserve">delivery_reference extracts a version-controlled transcription of four reconciled statement vintages.</w:t>
            </w:r>
          </w:p>
        </w:tc>
        <w:tc>
          <w:tcPr>
            <w:tcW w:w="1700" w:type="dxa"/>
          </w:tcPr>
          <w:p>
            <w:pPr>
              <w:pStyle w:val="TableText"/>
              <w:keepLines/>
            </w:pPr>
            <w:r>
              <w:rPr>
                <w:sz w:val="14"/>
                <w:szCs w:val="14"/>
              </w:rPr>
              <w:t xml:space="preserve">Source URLs, retrieval times and observations live in sources/capex_delivery_reference.json.</w:t>
            </w:r>
          </w:p>
        </w:tc>
      </w:tr>
      <w:tr>
        <w:trPr>
          <w:cantSplit/>
        </w:trPr>
        <w:tc>
          <w:tcPr>
            <w:tcW w:w="2200" w:type="dxa"/>
          </w:tcPr>
          <w:p>
            <w:pPr>
              <w:pStyle w:val="TableText"/>
              <w:keepLines/>
            </w:pPr>
            <w:r>
              <w:rPr>
                <w:sz w:val="14"/>
                <w:szCs w:val="14"/>
              </w:rPr>
              <w:t xml:space="preserve">MoRTH Annual Report</w:t>
            </w:r>
          </w:p>
        </w:tc>
        <w:tc>
          <w:tcPr>
            <w:tcW w:w="2600" w:type="dxa"/>
          </w:tcPr>
          <w:p>
            <w:pPr>
              <w:pStyle w:val="TableText"/>
              <w:keepLines/>
            </w:pPr>
            <w:r>
              <w:rPr>
                <w:sz w:val="14"/>
                <w:szCs w:val="14"/>
              </w:rPr>
              <w:t xml:space="preserve">National-highway kilometres constructed.</w:t>
            </w:r>
          </w:p>
        </w:tc>
        <w:tc>
          <w:tcPr>
            <w:tcW w:w="2700" w:type="dxa"/>
          </w:tcPr>
          <w:p>
            <w:pPr>
              <w:pStyle w:val="TableText"/>
              <w:keepLines/>
            </w:pPr>
            <w:r>
              <w:rPr>
                <w:sz w:val="14"/>
                <w:szCs w:val="14"/>
              </w:rPr>
              <w:t xml:space="preserve">delivery_reference extracts the transcribed official fiscal-year series.</w:t>
            </w:r>
          </w:p>
        </w:tc>
        <w:tc>
          <w:tcPr>
            <w:tcW w:w="1700" w:type="dxa"/>
          </w:tcPr>
          <w:p>
            <w:pPr>
              <w:pStyle w:val="TableText"/>
              <w:keepLines/>
            </w:pPr>
            <w:r>
              <w:rPr>
                <w:sz w:val="14"/>
                <w:szCs w:val="14"/>
              </w:rPr>
              <w:t xml:space="preserve">Metadata and observations live in the tracked reference source.</w:t>
            </w:r>
          </w:p>
        </w:tc>
      </w:tr>
      <w:tr>
        <w:trPr>
          <w:cantSplit/>
        </w:trPr>
        <w:tc>
          <w:tcPr>
            <w:tcW w:w="2200" w:type="dxa"/>
          </w:tcPr>
          <w:p>
            <w:pPr>
              <w:pStyle w:val="TableText"/>
              <w:keepLines/>
            </w:pPr>
            <w:r>
              <w:rPr>
                <w:sz w:val="14"/>
                <w:szCs w:val="14"/>
              </w:rPr>
              <w:t xml:space="preserve">Indian Railways Annual Report</w:t>
            </w:r>
          </w:p>
        </w:tc>
        <w:tc>
          <w:tcPr>
            <w:tcW w:w="2600" w:type="dxa"/>
          </w:tcPr>
          <w:p>
            <w:pPr>
              <w:pStyle w:val="TableText"/>
              <w:keepLines/>
            </w:pPr>
            <w:r>
              <w:rPr>
                <w:sz w:val="14"/>
                <w:szCs w:val="14"/>
              </w:rPr>
              <w:t xml:space="preserve">Route kilometres electrified.</w:t>
            </w:r>
          </w:p>
        </w:tc>
        <w:tc>
          <w:tcPr>
            <w:tcW w:w="2700" w:type="dxa"/>
          </w:tcPr>
          <w:p>
            <w:pPr>
              <w:pStyle w:val="TableText"/>
              <w:keepLines/>
            </w:pPr>
            <w:r>
              <w:rPr>
                <w:sz w:val="14"/>
                <w:szCs w:val="14"/>
              </w:rPr>
              <w:t xml:space="preserve">delivery_reference extracts the transcribed official fiscal-year series.</w:t>
            </w:r>
          </w:p>
        </w:tc>
        <w:tc>
          <w:tcPr>
            <w:tcW w:w="1700" w:type="dxa"/>
          </w:tcPr>
          <w:p>
            <w:pPr>
              <w:pStyle w:val="TableText"/>
              <w:keepLines/>
            </w:pPr>
            <w:r>
              <w:rPr>
                <w:sz w:val="14"/>
                <w:szCs w:val="14"/>
              </w:rPr>
              <w:t xml:space="preserve">Metadata and observations live in the tracked reference source.</w:t>
            </w:r>
          </w:p>
        </w:tc>
      </w:tr>
      <w:tr>
        <w:trPr>
          <w:cantSplit/>
        </w:trPr>
        <w:tc>
          <w:tcPr>
            <w:tcW w:w="2200" w:type="dxa"/>
          </w:tcPr>
          <w:p>
            <w:pPr>
              <w:pStyle w:val="TableText"/>
              <w:keepLines/>
            </w:pPr>
            <w:r>
              <w:rPr>
                <w:sz w:val="14"/>
                <w:szCs w:val="14"/>
              </w:rPr>
              <w:t xml:space="preserve">Nifty Indices</w:t>
            </w:r>
          </w:p>
        </w:tc>
        <w:tc>
          <w:tcPr>
            <w:tcW w:w="2600" w:type="dxa"/>
          </w:tcPr>
          <w:p>
            <w:pPr>
              <w:pStyle w:val="TableText"/>
              <w:keepLines/>
            </w:pPr>
            <w:r>
              <w:rPr>
                <w:sz w:val="14"/>
                <w:szCs w:val="14"/>
              </w:rPr>
              <w:t xml:space="preserve">Five daily total-return indices.</w:t>
            </w:r>
          </w:p>
        </w:tc>
        <w:tc>
          <w:tcPr>
            <w:tcW w:w="2700" w:type="dxa"/>
          </w:tcPr>
          <w:p>
            <w:pPr>
              <w:pStyle w:val="TableText"/>
              <w:keepLines/>
            </w:pPr>
            <w:r>
              <w:rPr>
                <w:sz w:val="14"/>
                <w:szCs w:val="14"/>
              </w:rPr>
              <w:t xml:space="preserve">Session GET then provider POST in annual windows; responses normalised into pandas series.</w:t>
            </w:r>
          </w:p>
        </w:tc>
        <w:tc>
          <w:tcPr>
            <w:tcW w:w="1700" w:type="dxa"/>
          </w:tcPr>
          <w:p>
            <w:pPr>
              <w:pStyle w:val="TableText"/>
              <w:keepLines/>
            </w:pPr>
            <w:r>
              <w:rPr>
                <w:sz w:val="14"/>
                <w:szCs w:val="14"/>
              </w:rPr>
              <w:t xml:space="preserve">Each index is landed under data/raw/nifty-indices/&lt;retrieval-date&gt;/ with a content hash.</w:t>
            </w:r>
          </w:p>
        </w:tc>
      </w:tr>
      <w:tr>
        <w:trPr>
          <w:cantSplit/>
        </w:trPr>
        <w:tc>
          <w:tcPr>
            <w:tcW w:w="2200" w:type="dxa"/>
          </w:tcPr>
          <w:p>
            <w:pPr>
              <w:pStyle w:val="TableText"/>
              <w:keepLines/>
            </w:pPr>
            <w:r>
              <w:rPr>
                <w:sz w:val="14"/>
                <w:szCs w:val="14"/>
              </w:rPr>
              <w:t xml:space="preserve">Yahoo Finance statements</w:t>
            </w:r>
          </w:p>
        </w:tc>
        <w:tc>
          <w:tcPr>
            <w:tcW w:w="2600" w:type="dxa"/>
          </w:tcPr>
          <w:p>
            <w:pPr>
              <w:pStyle w:val="TableText"/>
              <w:keepLines/>
            </w:pPr>
            <w:r>
              <w:rPr>
                <w:sz w:val="14"/>
                <w:szCs w:val="14"/>
              </w:rPr>
              <w:t xml:space="preserve">Revenue, EBITDA, CapEx, net PPE, debt, EBIT, assets and current liabilities for ten firms.</w:t>
            </w:r>
          </w:p>
        </w:tc>
        <w:tc>
          <w:tcPr>
            <w:tcW w:w="2700" w:type="dxa"/>
          </w:tcPr>
          <w:p>
            <w:pPr>
              <w:pStyle w:val="TableText"/>
              <w:keepLines/>
            </w:pPr>
            <w:r>
              <w:rPr>
                <w:sz w:val="14"/>
                <w:szCs w:val="14"/>
              </w:rPr>
              <w:t xml:space="preserve">yfinance annual statement tables.</w:t>
            </w:r>
          </w:p>
        </w:tc>
        <w:tc>
          <w:tcPr>
            <w:tcW w:w="1700" w:type="dxa"/>
          </w:tcPr>
          <w:p>
            <w:pPr>
              <w:pStyle w:val="TableText"/>
              <w:keepLines/>
            </w:pPr>
            <w:r>
              <w:rPr>
                <w:sz w:val="14"/>
                <w:szCs w:val="14"/>
              </w:rPr>
              <w:t xml:space="preserve">Each company’s extracted observations are checksum-landed under data/raw/corporate-fundamentals/.</w:t>
            </w:r>
          </w:p>
        </w:tc>
      </w:tr>
      <w:tr>
        <w:trPr>
          <w:cantSplit/>
        </w:trPr>
        <w:tc>
          <w:tcPr>
            <w:tcW w:w="2200" w:type="dxa"/>
          </w:tcPr>
          <w:p>
            <w:pPr>
              <w:pStyle w:val="TableText"/>
              <w:keepLines/>
            </w:pPr>
            <w:r>
              <w:rPr>
                <w:sz w:val="14"/>
                <w:szCs w:val="14"/>
              </w:rPr>
              <w:t xml:space="preserve">MoSPI national accounts</w:t>
            </w:r>
          </w:p>
        </w:tc>
        <w:tc>
          <w:tcPr>
            <w:tcW w:w="2600" w:type="dxa"/>
          </w:tcPr>
          <w:p>
            <w:pPr>
              <w:pStyle w:val="TableText"/>
              <w:keepLines/>
            </w:pPr>
            <w:r>
              <w:rPr>
                <w:sz w:val="14"/>
                <w:szCs w:val="14"/>
              </w:rPr>
              <w:t xml:space="preserve">Private corporate GFCF, total GFCF and nominal GDP.</w:t>
            </w:r>
          </w:p>
        </w:tc>
        <w:tc>
          <w:tcPr>
            <w:tcW w:w="2700" w:type="dxa"/>
          </w:tcPr>
          <w:p>
            <w:pPr>
              <w:pStyle w:val="TableText"/>
              <w:keepLines/>
            </w:pPr>
            <w:r>
              <w:rPr>
                <w:sz w:val="14"/>
                <w:szCs w:val="14"/>
              </w:rPr>
              <w:t xml:space="preserve">NationalAccountsExtractor in the extraction layer.</w:t>
            </w:r>
          </w:p>
        </w:tc>
        <w:tc>
          <w:tcPr>
            <w:tcW w:w="1700" w:type="dxa"/>
          </w:tcPr>
          <w:p>
            <w:pPr>
              <w:pStyle w:val="TableText"/>
              <w:keepLines/>
            </w:pPr>
            <w:r>
              <w:rPr>
                <w:sz w:val="14"/>
                <w:szCs w:val="14"/>
              </w:rPr>
              <w:t xml:space="preserve">Base-year-compatible series and statuses are preserved.</w:t>
            </w:r>
          </w:p>
        </w:tc>
      </w:tr>
      <w:tr>
        <w:trPr>
          <w:cantSplit/>
        </w:trPr>
        <w:tc>
          <w:tcPr>
            <w:tcW w:w="2200" w:type="dxa"/>
          </w:tcPr>
          <w:p>
            <w:pPr>
              <w:pStyle w:val="TableText"/>
              <w:keepLines/>
            </w:pPr>
            <w:r>
              <w:rPr>
                <w:sz w:val="14"/>
                <w:szCs w:val="14"/>
              </w:rPr>
              <w:t xml:space="preserve">RBI OBICUS</w:t>
            </w:r>
          </w:p>
        </w:tc>
        <w:tc>
          <w:tcPr>
            <w:tcW w:w="2600" w:type="dxa"/>
          </w:tcPr>
          <w:p>
            <w:pPr>
              <w:pStyle w:val="TableText"/>
              <w:keepLines/>
            </w:pPr>
            <w:r>
              <w:rPr>
                <w:sz w:val="14"/>
                <w:szCs w:val="14"/>
              </w:rPr>
              <w:t xml:space="preserve">Unadjusted manufacturing capacity utilisation.</w:t>
            </w:r>
          </w:p>
        </w:tc>
        <w:tc>
          <w:tcPr>
            <w:tcW w:w="2700" w:type="dxa"/>
          </w:tcPr>
          <w:p>
            <w:pPr>
              <w:pStyle w:val="TableText"/>
              <w:keepLines/>
            </w:pPr>
            <w:r>
              <w:rPr>
                <w:sz w:val="14"/>
                <w:szCs w:val="14"/>
              </w:rPr>
              <w:t xml:space="preserve">Stable publication ID 23808; HTML parser in the extraction layer.</w:t>
            </w:r>
          </w:p>
        </w:tc>
        <w:tc>
          <w:tcPr>
            <w:tcW w:w="1700" w:type="dxa"/>
          </w:tcPr>
          <w:p>
            <w:pPr>
              <w:pStyle w:val="TableText"/>
              <w:keepLines/>
            </w:pPr>
            <w:r>
              <w:rPr>
                <w:sz w:val="14"/>
                <w:szCs w:val="14"/>
              </w:rPr>
              <w:t xml:space="preserve">Quarterly status and source metadata are retained.</w:t>
            </w:r>
          </w:p>
        </w:tc>
      </w:tr>
      <w:tr>
        <w:trPr>
          <w:cantSplit/>
        </w:trPr>
        <w:tc>
          <w:tcPr>
            <w:tcW w:w="2200" w:type="dxa"/>
          </w:tcPr>
          <w:p>
            <w:pPr>
              <w:pStyle w:val="TableText"/>
              <w:keepLines/>
            </w:pPr>
            <w:r>
              <w:rPr>
                <w:sz w:val="14"/>
                <w:szCs w:val="14"/>
              </w:rPr>
              <w:t xml:space="preserve">RBI fiscal tables</w:t>
            </w:r>
          </w:p>
        </w:tc>
        <w:tc>
          <w:tcPr>
            <w:tcW w:w="2600" w:type="dxa"/>
          </w:tcPr>
          <w:p>
            <w:pPr>
              <w:pStyle w:val="TableText"/>
              <w:keepLines/>
            </w:pPr>
            <w:r>
              <w:rPr>
                <w:sz w:val="14"/>
                <w:szCs w:val="14"/>
              </w:rPr>
              <w:t xml:space="preserve">Debt/GDP, primary deficit, revenue, interest and expenditure ratios.</w:t>
            </w:r>
          </w:p>
        </w:tc>
        <w:tc>
          <w:tcPr>
            <w:tcW w:w="2700" w:type="dxa"/>
          </w:tcPr>
          <w:p>
            <w:pPr>
              <w:pStyle w:val="TableText"/>
              <w:keepLines/>
            </w:pPr>
            <w:r>
              <w:rPr>
                <w:sz w:val="14"/>
                <w:szCs w:val="14"/>
              </w:rPr>
              <w:t xml:space="preserve">Stable publication IDs 23413 and 23410.</w:t>
            </w:r>
          </w:p>
        </w:tc>
        <w:tc>
          <w:tcPr>
            <w:tcW w:w="1700" w:type="dxa"/>
          </w:tcPr>
          <w:p>
            <w:pPr>
              <w:pStyle w:val="TableText"/>
              <w:keepLines/>
            </w:pPr>
            <w:r>
              <w:rPr>
                <w:sz w:val="14"/>
                <w:szCs w:val="14"/>
              </w:rPr>
              <w:t xml:space="preserve">Actual, revised and budget status remain attached.</w:t>
            </w:r>
          </w:p>
        </w:tc>
      </w:tr>
      <w:tr>
        <w:trPr>
          <w:cantSplit/>
        </w:trPr>
        <w:tc>
          <w:tcPr>
            <w:tcW w:w="2200" w:type="dxa"/>
          </w:tcPr>
          <w:p>
            <w:pPr>
              <w:pStyle w:val="TableText"/>
              <w:keepLines/>
            </w:pPr>
            <w:r>
              <w:rPr>
                <w:sz w:val="14"/>
                <w:szCs w:val="14"/>
              </w:rPr>
              <w:t xml:space="preserve">RBI Handbook / NSO IIP</w:t>
            </w:r>
          </w:p>
        </w:tc>
        <w:tc>
          <w:tcPr>
            <w:tcW w:w="2600" w:type="dxa"/>
          </w:tcPr>
          <w:p>
            <w:pPr>
              <w:pStyle w:val="TableText"/>
              <w:keepLines/>
            </w:pPr>
            <w:r>
              <w:rPr>
                <w:sz w:val="14"/>
                <w:szCs w:val="14"/>
              </w:rPr>
              <w:t xml:space="preserve">Fiscal-year capital-goods IIP.</w:t>
            </w:r>
          </w:p>
        </w:tc>
        <w:tc>
          <w:tcPr>
            <w:tcW w:w="2700" w:type="dxa"/>
          </w:tcPr>
          <w:p>
            <w:pPr>
              <w:pStyle w:val="TableText"/>
              <w:keepLines/>
            </w:pPr>
            <w:r>
              <w:rPr>
                <w:sz w:val="14"/>
                <w:szCs w:val="14"/>
              </w:rPr>
              <w:t xml:space="preserve">delivery_reference extracts transcribed official Table 30 values.</w:t>
            </w:r>
          </w:p>
        </w:tc>
        <w:tc>
          <w:tcPr>
            <w:tcW w:w="1700" w:type="dxa"/>
          </w:tcPr>
          <w:p>
            <w:pPr>
              <w:pStyle w:val="TableText"/>
              <w:keepLines/>
            </w:pPr>
            <w:r>
              <w:rPr>
                <w:sz w:val="14"/>
                <w:szCs w:val="14"/>
              </w:rPr>
              <w:t xml:space="preserve">Source URL, retrieval time and observations live in the tracked reference source.</w:t>
            </w:r>
          </w:p>
        </w:tc>
      </w:tr>
      <w:tr>
        <w:trPr>
          <w:cantSplit/>
        </w:trPr>
        <w:tc>
          <w:tcPr>
            <w:tcW w:w="2200" w:type="dxa"/>
          </w:tcPr>
          <w:p>
            <w:pPr>
              <w:pStyle w:val="TableText"/>
              <w:keepLines/>
            </w:pPr>
            <w:r>
              <w:rPr>
                <w:sz w:val="14"/>
                <w:szCs w:val="14"/>
              </w:rPr>
              <w:t xml:space="preserve">RBI Handbook 2022–23 / MoSPI</w:t>
            </w:r>
          </w:p>
        </w:tc>
        <w:tc>
          <w:tcPr>
            <w:tcW w:w="2600" w:type="dxa"/>
          </w:tcPr>
          <w:p>
            <w:pPr>
              <w:pStyle w:val="TableText"/>
              <w:keepLines/>
            </w:pPr>
            <w:r>
              <w:rPr>
                <w:sz w:val="14"/>
                <w:szCs w:val="14"/>
              </w:rPr>
              <w:t xml:space="preserve">Central-sector project status and cost overrun, 2009–2023.</w:t>
            </w:r>
          </w:p>
        </w:tc>
        <w:tc>
          <w:tcPr>
            <w:tcW w:w="2700" w:type="dxa"/>
          </w:tcPr>
          <w:p>
            <w:pPr>
              <w:pStyle w:val="TableText"/>
              <w:keepLines/>
            </w:pPr>
            <w:r>
              <w:rPr>
                <w:sz w:val="14"/>
                <w:szCs w:val="14"/>
              </w:rPr>
              <w:t xml:space="preserve">Stable archived publication IDs 21841 and 21842 parsed as sector/year blocks.</w:t>
            </w:r>
          </w:p>
        </w:tc>
        <w:tc>
          <w:tcPr>
            <w:tcW w:w="1700" w:type="dxa"/>
          </w:tcPr>
          <w:p>
            <w:pPr>
              <w:pStyle w:val="TableText"/>
              <w:keepLines/>
            </w:pPr>
            <w:r>
              <w:rPr>
                <w:sz w:val="14"/>
                <w:szCs w:val="14"/>
              </w:rPr>
              <w:t xml:space="preserve">HTML is checksum-landed under data/raw/rbi-handbook/&lt;date&gt;/.</w:t>
            </w:r>
          </w:p>
        </w:tc>
      </w:tr>
      <w:tr>
        <w:trPr>
          <w:cantSplit/>
        </w:trPr>
        <w:tc>
          <w:tcPr>
            <w:tcW w:w="2200" w:type="dxa"/>
          </w:tcPr>
          <w:p>
            <w:pPr>
              <w:pStyle w:val="TableText"/>
              <w:keepLines/>
            </w:pPr>
            <w:r>
              <w:rPr>
                <w:sz w:val="14"/>
                <w:szCs w:val="14"/>
              </w:rPr>
              <w:t xml:space="preserve">RBI Handbook of Statistics on Indian States</w:t>
            </w:r>
          </w:p>
        </w:tc>
        <w:tc>
          <w:tcPr>
            <w:tcW w:w="2600" w:type="dxa"/>
          </w:tcPr>
          <w:p>
            <w:pPr>
              <w:pStyle w:val="TableText"/>
              <w:keepLines/>
            </w:pPr>
            <w:r>
              <w:rPr>
                <w:sz w:val="14"/>
                <w:szCs w:val="14"/>
              </w:rPr>
              <w:t xml:space="preserve">Current/constant GSDP and state capital outlay.</w:t>
            </w:r>
          </w:p>
        </w:tc>
        <w:tc>
          <w:tcPr>
            <w:tcW w:w="2700" w:type="dxa"/>
          </w:tcPr>
          <w:p>
            <w:pPr>
              <w:pStyle w:val="TableText"/>
              <w:keepLines/>
            </w:pPr>
            <w:r>
              <w:rPr>
                <w:sz w:val="14"/>
                <w:szCs w:val="14"/>
              </w:rPr>
              <w:t xml:space="preserve">Stable publication IDs 23470, 23471 and 23623 parsed as state/year matrices.</w:t>
            </w:r>
          </w:p>
        </w:tc>
        <w:tc>
          <w:tcPr>
            <w:tcW w:w="1700" w:type="dxa"/>
          </w:tcPr>
          <w:p>
            <w:pPr>
              <w:pStyle w:val="TableText"/>
              <w:keepLines/>
            </w:pPr>
            <w:r>
              <w:rPr>
                <w:sz w:val="14"/>
                <w:szCs w:val="14"/>
              </w:rPr>
              <w:t xml:space="preserve">Actual/revised/budget labels are retained; only actual outlay enters the panel.</w:t>
            </w:r>
          </w:p>
        </w:tc>
      </w:tr>
    </w:tbl>
    <w:p>
      <w:pPr>
        <w:spacing w:after="80"/>
      </w:pPr>
      <w:r>
        <w:t xml:space="preserve"/>
      </w:r>
    </w:p>
    <w:p>
      <w:pPr>
        <w:pStyle w:val="Heading2"/>
        <w:keepNext/>
      </w:pPr>
      <w:r>
        <w:t xml:space="preserve">Manual-source acquisition</w:t>
      </w:r>
    </w:p>
    <w:p>
      <w:r>
        <w:t xml:space="preserve">Statement 3, physical-delivery and capital-goods IIP observations are manually transcribed from official documents into sources/capex_delivery_reference.json until automated document parsers exist. extract_delivery_sources reads, checksums and validates that file during Extract and returns typed DeliverySources. The builder receives only those typed values. Manual acquisition changes how a source is obtained, not the abstract pipeline or the extraction/transform boundary.</w:t>
      </w:r>
    </w:p>
    <w:p>
      <w:pPr>
        <w:pStyle w:val="Heading1"/>
        <w:keepNext/>
      </w:pPr>
      <w:r>
        <w:t xml:space="preserve">4. Canonical models and period semantics</w:t>
      </w:r>
    </w:p>
    <w:p>
      <w:pPr>
        <w:pStyle w:val="Heading2"/>
        <w:keepNext/>
      </w:pPr>
      <w:r>
        <w:t xml:space="preserve">Shared canonical record</w:t>
      </w:r>
    </w:p>
    <w:tbl>
      <w:tblPr>
        <w:tblStyle w:val="ArchitectureTable"/>
        <w:tblW w:w="0" w:type="auto"/>
        <w:tblLayout w:type="fixed"/>
      </w:tblPr>
      <w:tblGrid>
        <w:gridCol w:w="1900"/>
        <w:gridCol w:w="2900"/>
        <w:gridCol w:w="4200"/>
      </w:tblGrid>
      <w:tr>
        <w:trPr>
          <w:tblHeader/>
          <w:cantSplit/>
        </w:trPr>
        <w:tc>
          <w:tcPr>
            <w:tcW w:w="1900" w:type="dxa"/>
            <w:shd w:val="clear" w:color="auto" w:fill="1F4E78"/>
          </w:tcPr>
          <w:p>
            <w:pPr>
              <w:pStyle w:val="TableText"/>
              <w:keepLines/>
            </w:pPr>
            <w:r>
              <w:rPr>
                <w:b/>
                <w:color w:val="FFFFFF"/>
                <w:sz w:val="15"/>
                <w:szCs w:val="15"/>
              </w:rPr>
              <w:t xml:space="preserve">Field</w:t>
            </w:r>
          </w:p>
        </w:tc>
        <w:tc>
          <w:tcPr>
            <w:tcW w:w="2900" w:type="dxa"/>
            <w:shd w:val="clear" w:color="auto" w:fill="1F4E78"/>
          </w:tcPr>
          <w:p>
            <w:pPr>
              <w:pStyle w:val="TableText"/>
              <w:keepLines/>
            </w:pPr>
            <w:r>
              <w:rPr>
                <w:b/>
                <w:color w:val="FFFFFF"/>
                <w:sz w:val="15"/>
                <w:szCs w:val="15"/>
              </w:rPr>
              <w:t xml:space="preserve">Type/meaning</w:t>
            </w:r>
          </w:p>
        </w:tc>
        <w:tc>
          <w:tcPr>
            <w:tcW w:w="4200" w:type="dxa"/>
            <w:shd w:val="clear" w:color="auto" w:fill="1F4E78"/>
          </w:tcPr>
          <w:p>
            <w:pPr>
              <w:pStyle w:val="TableText"/>
              <w:keepLines/>
            </w:pPr>
            <w:r>
              <w:rPr>
                <w:b/>
                <w:color w:val="FFFFFF"/>
                <w:sz w:val="15"/>
                <w:szCs w:val="15"/>
              </w:rPr>
              <w:t xml:space="preserve">CapEx use</w:t>
            </w:r>
          </w:p>
        </w:tc>
      </w:tr>
      <w:tr>
        <w:trPr>
          <w:cantSplit/>
        </w:trPr>
        <w:tc>
          <w:tcPr>
            <w:tcW w:w="1900" w:type="dxa"/>
          </w:tcPr>
          <w:p>
            <w:pPr>
              <w:pStyle w:val="TableText"/>
              <w:keepLines/>
            </w:pPr>
            <w:r>
              <w:rPr>
                <w:sz w:val="15"/>
                <w:szCs w:val="15"/>
              </w:rPr>
              <w:t xml:space="preserve">date</w:t>
            </w:r>
          </w:p>
        </w:tc>
        <w:tc>
          <w:tcPr>
            <w:tcW w:w="2900" w:type="dxa"/>
          </w:tcPr>
          <w:p>
            <w:pPr>
              <w:pStyle w:val="TableText"/>
              <w:keepLines/>
            </w:pPr>
            <w:r>
              <w:rPr>
                <w:sz w:val="15"/>
                <w:szCs w:val="15"/>
              </w:rPr>
              <w:t xml:space="preserve">Normalised date</w:t>
            </w:r>
          </w:p>
        </w:tc>
        <w:tc>
          <w:tcPr>
            <w:tcW w:w="4200" w:type="dxa"/>
          </w:tcPr>
          <w:p>
            <w:pPr>
              <w:pStyle w:val="TableText"/>
              <w:keepLines/>
            </w:pPr>
            <w:r>
              <w:rPr>
                <w:sz w:val="15"/>
                <w:szCs w:val="15"/>
              </w:rPr>
              <w:t xml:space="preserve">Fiscal years normally use 31 March; market observations use provider dates before monthly sampling.</w:t>
            </w:r>
          </w:p>
        </w:tc>
      </w:tr>
      <w:tr>
        <w:trPr>
          <w:cantSplit/>
        </w:trPr>
        <w:tc>
          <w:tcPr>
            <w:tcW w:w="1900" w:type="dxa"/>
          </w:tcPr>
          <w:p>
            <w:pPr>
              <w:pStyle w:val="TableText"/>
              <w:keepLines/>
            </w:pPr>
            <w:r>
              <w:rPr>
                <w:sz w:val="15"/>
                <w:szCs w:val="15"/>
              </w:rPr>
              <w:t xml:space="preserve">entity</w:t>
            </w:r>
          </w:p>
        </w:tc>
        <w:tc>
          <w:tcPr>
            <w:tcW w:w="2900" w:type="dxa"/>
          </w:tcPr>
          <w:p>
            <w:pPr>
              <w:pStyle w:val="TableText"/>
              <w:keepLines/>
            </w:pPr>
            <w:r>
              <w:rPr>
                <w:sz w:val="15"/>
                <w:szCs w:val="15"/>
              </w:rPr>
              <w:t xml:space="preserve">Provider-neutral identifier</w:t>
            </w:r>
          </w:p>
        </w:tc>
        <w:tc>
          <w:tcPr>
            <w:tcW w:w="4200" w:type="dxa"/>
          </w:tcPr>
          <w:p>
            <w:pPr>
              <w:pStyle w:val="TableText"/>
              <w:keepLines/>
            </w:pPr>
            <w:r>
              <w:rPr>
                <w:sz w:val="15"/>
                <w:szCs w:val="15"/>
              </w:rPr>
              <w:t xml:space="preserve">IND for national series; company and market keys use frozen registry keys.</w:t>
            </w:r>
          </w:p>
        </w:tc>
      </w:tr>
      <w:tr>
        <w:trPr>
          <w:cantSplit/>
        </w:trPr>
        <w:tc>
          <w:tcPr>
            <w:tcW w:w="1900" w:type="dxa"/>
          </w:tcPr>
          <w:p>
            <w:pPr>
              <w:pStyle w:val="TableText"/>
              <w:keepLines/>
            </w:pPr>
            <w:r>
              <w:rPr>
                <w:sz w:val="15"/>
                <w:szCs w:val="15"/>
              </w:rPr>
              <w:t xml:space="preserve">indicator</w:t>
            </w:r>
          </w:p>
        </w:tc>
        <w:tc>
          <w:tcPr>
            <w:tcW w:w="2900" w:type="dxa"/>
          </w:tcPr>
          <w:p>
            <w:pPr>
              <w:pStyle w:val="TableText"/>
              <w:keepLines/>
            </w:pPr>
            <w:r>
              <w:rPr>
                <w:sz w:val="15"/>
                <w:szCs w:val="15"/>
              </w:rPr>
              <w:t xml:space="preserve">Stable machine key</w:t>
            </w:r>
          </w:p>
        </w:tc>
        <w:tc>
          <w:tcPr>
            <w:tcW w:w="4200" w:type="dxa"/>
          </w:tcPr>
          <w:p>
            <w:pPr>
              <w:pStyle w:val="TableText"/>
              <w:keepLines/>
            </w:pPr>
            <w:r>
              <w:rPr>
                <w:sz w:val="15"/>
                <w:szCs w:val="15"/>
              </w:rPr>
              <w:t xml:space="preserve">Links registry definition, transform and published series.</w:t>
            </w:r>
          </w:p>
        </w:tc>
      </w:tr>
      <w:tr>
        <w:trPr>
          <w:cantSplit/>
        </w:trPr>
        <w:tc>
          <w:tcPr>
            <w:tcW w:w="1900" w:type="dxa"/>
          </w:tcPr>
          <w:p>
            <w:pPr>
              <w:pStyle w:val="TableText"/>
              <w:keepLines/>
            </w:pPr>
            <w:r>
              <w:rPr>
                <w:sz w:val="15"/>
                <w:szCs w:val="15"/>
              </w:rPr>
              <w:t xml:space="preserve">value</w:t>
            </w:r>
          </w:p>
        </w:tc>
        <w:tc>
          <w:tcPr>
            <w:tcW w:w="2900" w:type="dxa"/>
          </w:tcPr>
          <w:p>
            <w:pPr>
              <w:pStyle w:val="TableText"/>
              <w:keepLines/>
            </w:pPr>
            <w:r>
              <w:rPr>
                <w:sz w:val="15"/>
                <w:szCs w:val="15"/>
              </w:rPr>
              <w:t xml:space="preserve">Finite float or null</w:t>
            </w:r>
          </w:p>
        </w:tc>
        <w:tc>
          <w:tcPr>
            <w:tcW w:w="4200" w:type="dxa"/>
          </w:tcPr>
          <w:p>
            <w:pPr>
              <w:pStyle w:val="TableText"/>
              <w:keepLines/>
            </w:pPr>
            <w:r>
              <w:rPr>
                <w:sz w:val="15"/>
                <w:szCs w:val="15"/>
              </w:rPr>
              <w:t xml:space="preserve">NaN and infinity are prohibited at serialisation.</w:t>
            </w:r>
          </w:p>
        </w:tc>
      </w:tr>
      <w:tr>
        <w:trPr>
          <w:cantSplit/>
        </w:trPr>
        <w:tc>
          <w:tcPr>
            <w:tcW w:w="1900" w:type="dxa"/>
          </w:tcPr>
          <w:p>
            <w:pPr>
              <w:pStyle w:val="TableText"/>
              <w:keepLines/>
            </w:pPr>
            <w:r>
              <w:rPr>
                <w:sz w:val="15"/>
                <w:szCs w:val="15"/>
              </w:rPr>
              <w:t xml:space="preserve">unit / frequency</w:t>
            </w:r>
          </w:p>
        </w:tc>
        <w:tc>
          <w:tcPr>
            <w:tcW w:w="2900" w:type="dxa"/>
          </w:tcPr>
          <w:p>
            <w:pPr>
              <w:pStyle w:val="TableText"/>
              <w:keepLines/>
            </w:pPr>
            <w:r>
              <w:rPr>
                <w:sz w:val="15"/>
                <w:szCs w:val="15"/>
              </w:rPr>
              <w:t xml:space="preserve">Explicit measurement metadata</w:t>
            </w:r>
          </w:p>
        </w:tc>
        <w:tc>
          <w:tcPr>
            <w:tcW w:w="4200" w:type="dxa"/>
          </w:tcPr>
          <w:p>
            <w:pPr>
              <w:pStyle w:val="TableText"/>
              <w:keepLines/>
            </w:pPr>
            <w:r>
              <w:rPr>
                <w:sz w:val="15"/>
                <w:szCs w:val="15"/>
              </w:rPr>
              <w:t xml:space="preserve">Prevents unsafe joins and controls display formatting.</w:t>
            </w:r>
          </w:p>
        </w:tc>
      </w:tr>
      <w:tr>
        <w:trPr>
          <w:cantSplit/>
        </w:trPr>
        <w:tc>
          <w:tcPr>
            <w:tcW w:w="1900" w:type="dxa"/>
          </w:tcPr>
          <w:p>
            <w:pPr>
              <w:pStyle w:val="TableText"/>
              <w:keepLines/>
            </w:pPr>
            <w:r>
              <w:rPr>
                <w:sz w:val="15"/>
                <w:szCs w:val="15"/>
              </w:rPr>
              <w:t xml:space="preserve">status</w:t>
            </w:r>
          </w:p>
        </w:tc>
        <w:tc>
          <w:tcPr>
            <w:tcW w:w="2900" w:type="dxa"/>
          </w:tcPr>
          <w:p>
            <w:pPr>
              <w:pStyle w:val="TableText"/>
              <w:keepLines/>
            </w:pPr>
            <w:r>
              <w:rPr>
                <w:sz w:val="15"/>
                <w:szCs w:val="15"/>
              </w:rPr>
              <w:t xml:space="preserve">actual, provisional, revised, estimate or budget</w:t>
            </w:r>
          </w:p>
        </w:tc>
        <w:tc>
          <w:tcPr>
            <w:tcW w:w="4200" w:type="dxa"/>
          </w:tcPr>
          <w:p>
            <w:pPr>
              <w:pStyle w:val="TableText"/>
              <w:keepLines/>
            </w:pPr>
            <w:r>
              <w:rPr>
                <w:sz w:val="15"/>
                <w:szCs w:val="15"/>
              </w:rPr>
              <w:t xml:space="preserve">Distinguishes out-turns from fiscal plans and model starting points.</w:t>
            </w:r>
          </w:p>
        </w:tc>
      </w:tr>
      <w:tr>
        <w:trPr>
          <w:cantSplit/>
        </w:trPr>
        <w:tc>
          <w:tcPr>
            <w:tcW w:w="1900" w:type="dxa"/>
          </w:tcPr>
          <w:p>
            <w:pPr>
              <w:pStyle w:val="TableText"/>
              <w:keepLines/>
            </w:pPr>
            <w:r>
              <w:rPr>
                <w:sz w:val="15"/>
                <w:szCs w:val="15"/>
              </w:rPr>
              <w:t xml:space="preserve">period_label</w:t>
            </w:r>
          </w:p>
        </w:tc>
        <w:tc>
          <w:tcPr>
            <w:tcW w:w="2900" w:type="dxa"/>
          </w:tcPr>
          <w:p>
            <w:pPr>
              <w:pStyle w:val="TableText"/>
              <w:keepLines/>
            </w:pPr>
            <w:r>
              <w:rPr>
                <w:sz w:val="15"/>
                <w:szCs w:val="15"/>
              </w:rPr>
              <w:t xml:space="preserve">Human-readable FY/reporting label</w:t>
            </w:r>
          </w:p>
        </w:tc>
        <w:tc>
          <w:tcPr>
            <w:tcW w:w="4200" w:type="dxa"/>
          </w:tcPr>
          <w:p>
            <w:pPr>
              <w:pStyle w:val="TableText"/>
              <w:keepLines/>
            </w:pPr>
            <w:r>
              <w:rPr>
                <w:sz w:val="15"/>
                <w:szCs w:val="15"/>
              </w:rPr>
              <w:t xml:space="preserve">Prevents 31 March dates from being read as calendar-year observations.</w:t>
            </w:r>
          </w:p>
        </w:tc>
      </w:tr>
      <w:tr>
        <w:trPr>
          <w:cantSplit/>
        </w:trPr>
        <w:tc>
          <w:tcPr>
            <w:tcW w:w="1900" w:type="dxa"/>
          </w:tcPr>
          <w:p>
            <w:pPr>
              <w:pStyle w:val="TableText"/>
              <w:keepLines/>
            </w:pPr>
            <w:r>
              <w:rPr>
                <w:sz w:val="15"/>
                <w:szCs w:val="15"/>
              </w:rPr>
              <w:t xml:space="preserve">source_url / retrieved_at / vintage</w:t>
            </w:r>
          </w:p>
        </w:tc>
        <w:tc>
          <w:tcPr>
            <w:tcW w:w="2900" w:type="dxa"/>
          </w:tcPr>
          <w:p>
            <w:pPr>
              <w:pStyle w:val="TableText"/>
              <w:keepLines/>
            </w:pPr>
            <w:r>
              <w:rPr>
                <w:sz w:val="15"/>
                <w:szCs w:val="15"/>
              </w:rPr>
              <w:t xml:space="preserve">Provenance</w:t>
            </w:r>
          </w:p>
        </w:tc>
        <w:tc>
          <w:tcPr>
            <w:tcW w:w="4200" w:type="dxa"/>
          </w:tcPr>
          <w:p>
            <w:pPr>
              <w:pStyle w:val="TableText"/>
              <w:keepLines/>
            </w:pPr>
            <w:r>
              <w:rPr>
                <w:sz w:val="15"/>
                <w:szCs w:val="15"/>
              </w:rPr>
              <w:t xml:space="preserve">Supports audit of changing institutional publications.</w:t>
            </w:r>
          </w:p>
        </w:tc>
      </w:tr>
      <w:tr>
        <w:trPr>
          <w:cantSplit/>
        </w:trPr>
        <w:tc>
          <w:tcPr>
            <w:tcW w:w="1900" w:type="dxa"/>
          </w:tcPr>
          <w:p>
            <w:pPr>
              <w:pStyle w:val="TableText"/>
              <w:keepLines/>
            </w:pPr>
            <w:r>
              <w:rPr>
                <w:sz w:val="15"/>
                <w:szCs w:val="15"/>
              </w:rPr>
              <w:t xml:space="preserve">period_start / period_end</w:t>
            </w:r>
          </w:p>
        </w:tc>
        <w:tc>
          <w:tcPr>
            <w:tcW w:w="2900" w:type="dxa"/>
          </w:tcPr>
          <w:p>
            <w:pPr>
              <w:pStyle w:val="TableText"/>
              <w:keepLines/>
            </w:pPr>
            <w:r>
              <w:rPr>
                <w:sz w:val="15"/>
                <w:szCs w:val="15"/>
              </w:rPr>
              <w:t xml:space="preserve">Inclusive non-calendar bounds</w:t>
            </w:r>
          </w:p>
        </w:tc>
        <w:tc>
          <w:tcPr>
            <w:tcW w:w="4200" w:type="dxa"/>
          </w:tcPr>
          <w:p>
            <w:pPr>
              <w:pStyle w:val="TableText"/>
              <w:keepLines/>
            </w:pPr>
            <w:r>
              <w:rPr>
                <w:sz w:val="15"/>
                <w:szCs w:val="15"/>
              </w:rPr>
              <w:t xml:space="preserve">Used by fiscal-period-safe structural joins.</w:t>
            </w:r>
          </w:p>
        </w:tc>
      </w:tr>
    </w:tbl>
    <w:p>
      <w:pPr>
        <w:spacing w:after="80"/>
      </w:pPr>
      <w:r>
        <w:t xml:space="preserve"/>
      </w:r>
    </w:p>
    <w:p>
      <w:r>
        <w:t xml:space="preserve">The shared FiscalPeriod model represents an Indian fiscal year from 1 April through 31 March. ObservationStatus is an enum, so budget and estimate cannot be silently treated as actual. The CapEx orchestrator passes typed source containers from models/capex_sources.py into builders. Corporate extraction uses an immutable CorporateFundamental model before aggregation.</w:t>
      </w:r>
    </w:p>
    <w:p>
      <w:pPr>
        <w:pStyle w:val="Heading1"/>
        <w:keepNext/>
      </w:pPr>
      <w:r>
        <w:t xml:space="preserve">5. Artifact contracts and inventory</w:t>
      </w:r>
    </w:p>
    <w:tbl>
      <w:tblPr>
        <w:tblStyle w:val="ArchitectureTable"/>
        <w:tblW w:w="0" w:type="auto"/>
        <w:tblLayout w:type="fixed"/>
      </w:tblPr>
      <w:tblGrid>
        <w:gridCol w:w="1300"/>
        <w:gridCol w:w="2600"/>
        <w:gridCol w:w="1900"/>
        <w:gridCol w:w="1800"/>
        <w:gridCol w:w="1400"/>
      </w:tblGrid>
      <w:tr>
        <w:trPr>
          <w:tblHeader/>
          <w:cantSplit/>
        </w:trPr>
        <w:tc>
          <w:tcPr>
            <w:tcW w:w="1300" w:type="dxa"/>
            <w:shd w:val="clear" w:color="auto" w:fill="1F4E78"/>
          </w:tcPr>
          <w:p>
            <w:pPr>
              <w:pStyle w:val="TableText"/>
              <w:keepLines/>
            </w:pPr>
            <w:r>
              <w:rPr>
                <w:b/>
                <w:color w:val="FFFFFF"/>
                <w:sz w:val="13"/>
                <w:szCs w:val="13"/>
              </w:rPr>
              <w:t xml:space="preserve">Key</w:t>
            </w:r>
          </w:p>
        </w:tc>
        <w:tc>
          <w:tcPr>
            <w:tcW w:w="2600" w:type="dxa"/>
            <w:shd w:val="clear" w:color="auto" w:fill="1F4E78"/>
          </w:tcPr>
          <w:p>
            <w:pPr>
              <w:pStyle w:val="TableText"/>
              <w:keepLines/>
            </w:pPr>
            <w:r>
              <w:rPr>
                <w:b/>
                <w:color w:val="FFFFFF"/>
                <w:sz w:val="13"/>
                <w:szCs w:val="13"/>
              </w:rPr>
              <w:t xml:space="preserve">Processed/public path</w:t>
            </w:r>
          </w:p>
        </w:tc>
        <w:tc>
          <w:tcPr>
            <w:tcW w:w="1900" w:type="dxa"/>
            <w:shd w:val="clear" w:color="auto" w:fill="1F4E78"/>
          </w:tcPr>
          <w:p>
            <w:pPr>
              <w:pStyle w:val="TableText"/>
              <w:keepLines/>
            </w:pPr>
            <w:r>
              <w:rPr>
                <w:b/>
                <w:color w:val="FFFFFF"/>
                <w:sz w:val="13"/>
                <w:szCs w:val="13"/>
              </w:rPr>
              <w:t xml:space="preserve">Schema</w:t>
            </w:r>
          </w:p>
        </w:tc>
        <w:tc>
          <w:tcPr>
            <w:tcW w:w="1800" w:type="dxa"/>
            <w:shd w:val="clear" w:color="auto" w:fill="1F4E78"/>
          </w:tcPr>
          <w:p>
            <w:pPr>
              <w:pStyle w:val="TableText"/>
              <w:keepLines/>
            </w:pPr>
            <w:r>
              <w:rPr>
                <w:b/>
                <w:color w:val="FFFFFF"/>
                <w:sz w:val="13"/>
                <w:szCs w:val="13"/>
              </w:rPr>
              <w:t xml:space="preserve">Dimensions</w:t>
            </w:r>
          </w:p>
        </w:tc>
        <w:tc>
          <w:tcPr>
            <w:tcW w:w="1400" w:type="dxa"/>
            <w:shd w:val="clear" w:color="auto" w:fill="1F4E78"/>
          </w:tcPr>
          <w:p>
            <w:pPr>
              <w:pStyle w:val="TableText"/>
              <w:keepLines/>
            </w:pPr>
            <w:r>
              <w:rPr>
                <w:b/>
                <w:color w:val="FFFFFF"/>
                <w:sz w:val="13"/>
                <w:szCs w:val="13"/>
              </w:rPr>
              <w:t xml:space="preserve">Coverage</w:t>
            </w:r>
          </w:p>
        </w:tc>
      </w:tr>
      <w:tr>
        <w:trPr>
          <w:cantSplit/>
        </w:trPr>
        <w:tc>
          <w:tcPr>
            <w:tcW w:w="1300" w:type="dxa"/>
          </w:tcPr>
          <w:p>
            <w:pPr>
              <w:pStyle w:val="TableText"/>
              <w:keepLines/>
            </w:pPr>
            <w:r>
              <w:rPr>
                <w:sz w:val="13"/>
                <w:szCs w:val="13"/>
              </w:rPr>
              <w:t xml:space="preserve">execution</w:t>
            </w:r>
          </w:p>
        </w:tc>
        <w:tc>
          <w:tcPr>
            <w:tcW w:w="2600" w:type="dxa"/>
          </w:tcPr>
          <w:p>
            <w:pPr>
              <w:pStyle w:val="TableText"/>
              <w:keepLines/>
            </w:pPr>
            <w:r>
              <w:rPr>
                <w:sz w:val="13"/>
                <w:szCs w:val="13"/>
              </w:rPr>
              <w:t xml:space="preserve">capex-analysis/capex-execution.json</w:t>
            </w:r>
          </w:p>
        </w:tc>
        <w:tc>
          <w:tcPr>
            <w:tcW w:w="1900" w:type="dxa"/>
          </w:tcPr>
          <w:p>
            <w:pPr>
              <w:pStyle w:val="TableText"/>
              <w:keepLines/>
            </w:pPr>
            <w:r>
              <w:rPr>
                <w:sz w:val="13"/>
                <w:szCs w:val="13"/>
              </w:rPr>
              <w:t xml:space="preserve">dated_multi_series</w:t>
            </w:r>
          </w:p>
        </w:tc>
        <w:tc>
          <w:tcPr>
            <w:tcW w:w="1800" w:type="dxa"/>
          </w:tcPr>
          <w:p>
            <w:pPr>
              <w:pStyle w:val="TableText"/>
              <w:keepLines/>
            </w:pPr>
            <w:r>
              <w:rPr>
                <w:sz w:val="13"/>
                <w:szCs w:val="13"/>
              </w:rPr>
              <w:t xml:space="preserve">7 series / 56 observations</w:t>
            </w:r>
          </w:p>
        </w:tc>
        <w:tc>
          <w:tcPr>
            <w:tcW w:w="1400" w:type="dxa"/>
          </w:tcPr>
          <w:p>
            <w:pPr>
              <w:pStyle w:val="TableText"/>
              <w:keepLines/>
            </w:pPr>
            <w:r>
              <w:rPr>
                <w:sz w:val="13"/>
                <w:szCs w:val="13"/>
              </w:rPr>
              <w:t xml:space="preserve">2018-03-31 → 2027-03-31</w:t>
            </w:r>
          </w:p>
        </w:tc>
      </w:tr>
      <w:tr>
        <w:trPr>
          <w:cantSplit/>
        </w:trPr>
        <w:tc>
          <w:tcPr>
            <w:tcW w:w="1300" w:type="dxa"/>
          </w:tcPr>
          <w:p>
            <w:pPr>
              <w:pStyle w:val="TableText"/>
              <w:keepLines/>
            </w:pPr>
            <w:r>
              <w:rPr>
                <w:sz w:val="13"/>
                <w:szCs w:val="13"/>
              </w:rPr>
              <w:t xml:space="preserve">allocation</w:t>
            </w:r>
          </w:p>
        </w:tc>
        <w:tc>
          <w:tcPr>
            <w:tcW w:w="2600" w:type="dxa"/>
          </w:tcPr>
          <w:p>
            <w:pPr>
              <w:pStyle w:val="TableText"/>
              <w:keepLines/>
            </w:pPr>
            <w:r>
              <w:rPr>
                <w:sz w:val="13"/>
                <w:szCs w:val="13"/>
              </w:rPr>
              <w:t xml:space="preserve">capex-analysis/sector-capex-allocation.json</w:t>
            </w:r>
          </w:p>
        </w:tc>
        <w:tc>
          <w:tcPr>
            <w:tcW w:w="1900" w:type="dxa"/>
          </w:tcPr>
          <w:p>
            <w:pPr>
              <w:pStyle w:val="TableText"/>
              <w:keepLines/>
            </w:pPr>
            <w:r>
              <w:rPr>
                <w:sz w:val="13"/>
                <w:szCs w:val="13"/>
              </w:rPr>
              <w:t xml:space="preserve">dated_multi_series</w:t>
            </w:r>
          </w:p>
        </w:tc>
        <w:tc>
          <w:tcPr>
            <w:tcW w:w="1800" w:type="dxa"/>
          </w:tcPr>
          <w:p>
            <w:pPr>
              <w:pStyle w:val="TableText"/>
              <w:keepLines/>
            </w:pPr>
            <w:r>
              <w:rPr>
                <w:sz w:val="13"/>
                <w:szCs w:val="13"/>
              </w:rPr>
              <w:t xml:space="preserve">2 series / 16 observations</w:t>
            </w:r>
          </w:p>
        </w:tc>
        <w:tc>
          <w:tcPr>
            <w:tcW w:w="1400" w:type="dxa"/>
          </w:tcPr>
          <w:p>
            <w:pPr>
              <w:pStyle w:val="TableText"/>
              <w:keepLines/>
            </w:pPr>
            <w:r>
              <w:rPr>
                <w:sz w:val="13"/>
                <w:szCs w:val="13"/>
              </w:rPr>
              <w:t xml:space="preserve">2019-03-31 → 2026-03-31</w:t>
            </w:r>
          </w:p>
        </w:tc>
      </w:tr>
      <w:tr>
        <w:trPr>
          <w:cantSplit/>
        </w:trPr>
        <w:tc>
          <w:tcPr>
            <w:tcW w:w="1300" w:type="dxa"/>
          </w:tcPr>
          <w:p>
            <w:pPr>
              <w:pStyle w:val="TableText"/>
              <w:keepLines/>
            </w:pPr>
            <w:r>
              <w:rPr>
                <w:sz w:val="13"/>
                <w:szCs w:val="13"/>
              </w:rPr>
              <w:t xml:space="preserve">delivery</w:t>
            </w:r>
          </w:p>
        </w:tc>
        <w:tc>
          <w:tcPr>
            <w:tcW w:w="2600" w:type="dxa"/>
          </w:tcPr>
          <w:p>
            <w:pPr>
              <w:pStyle w:val="TableText"/>
              <w:keepLines/>
            </w:pPr>
            <w:r>
              <w:rPr>
                <w:sz w:val="13"/>
                <w:szCs w:val="13"/>
              </w:rPr>
              <w:t xml:space="preserve">capex-analysis/physical-delivery.json</w:t>
            </w:r>
          </w:p>
        </w:tc>
        <w:tc>
          <w:tcPr>
            <w:tcW w:w="1900" w:type="dxa"/>
          </w:tcPr>
          <w:p>
            <w:pPr>
              <w:pStyle w:val="TableText"/>
              <w:keepLines/>
            </w:pPr>
            <w:r>
              <w:rPr>
                <w:sz w:val="13"/>
                <w:szCs w:val="13"/>
              </w:rPr>
              <w:t xml:space="preserve">dated_multi_series</w:t>
            </w:r>
          </w:p>
        </w:tc>
        <w:tc>
          <w:tcPr>
            <w:tcW w:w="1800" w:type="dxa"/>
          </w:tcPr>
          <w:p>
            <w:pPr>
              <w:pStyle w:val="TableText"/>
              <w:keepLines/>
            </w:pPr>
            <w:r>
              <w:rPr>
                <w:sz w:val="13"/>
                <w:szCs w:val="13"/>
              </w:rPr>
              <w:t xml:space="preserve">2 series / 12 observations</w:t>
            </w:r>
          </w:p>
        </w:tc>
        <w:tc>
          <w:tcPr>
            <w:tcW w:w="1400" w:type="dxa"/>
          </w:tcPr>
          <w:p>
            <w:pPr>
              <w:pStyle w:val="TableText"/>
              <w:keepLines/>
            </w:pPr>
            <w:r>
              <w:rPr>
                <w:sz w:val="13"/>
                <w:szCs w:val="13"/>
              </w:rPr>
              <w:t xml:space="preserve">2019-03-31 → 2024-03-31</w:t>
            </w:r>
          </w:p>
        </w:tc>
      </w:tr>
      <w:tr>
        <w:trPr>
          <w:cantSplit/>
        </w:trPr>
        <w:tc>
          <w:tcPr>
            <w:tcW w:w="1300" w:type="dxa"/>
          </w:tcPr>
          <w:p>
            <w:pPr>
              <w:pStyle w:val="TableText"/>
              <w:keepLines/>
            </w:pPr>
            <w:r>
              <w:rPr>
                <w:sz w:val="13"/>
                <w:szCs w:val="13"/>
              </w:rPr>
              <w:t xml:space="preserve">production</w:t>
            </w:r>
          </w:p>
        </w:tc>
        <w:tc>
          <w:tcPr>
            <w:tcW w:w="2600" w:type="dxa"/>
          </w:tcPr>
          <w:p>
            <w:pPr>
              <w:pStyle w:val="TableText"/>
              <w:keepLines/>
            </w:pPr>
            <w:r>
              <w:rPr>
                <w:sz w:val="13"/>
                <w:szCs w:val="13"/>
              </w:rPr>
              <w:t xml:space="preserve">capex-analysis/capital-goods-production.json</w:t>
            </w:r>
          </w:p>
        </w:tc>
        <w:tc>
          <w:tcPr>
            <w:tcW w:w="1900" w:type="dxa"/>
          </w:tcPr>
          <w:p>
            <w:pPr>
              <w:pStyle w:val="TableText"/>
              <w:keepLines/>
            </w:pPr>
            <w:r>
              <w:rPr>
                <w:sz w:val="13"/>
                <w:szCs w:val="13"/>
              </w:rPr>
              <w:t xml:space="preserve">dated_multi_series</w:t>
            </w:r>
          </w:p>
        </w:tc>
        <w:tc>
          <w:tcPr>
            <w:tcW w:w="1800" w:type="dxa"/>
          </w:tcPr>
          <w:p>
            <w:pPr>
              <w:pStyle w:val="TableText"/>
              <w:keepLines/>
            </w:pPr>
            <w:r>
              <w:rPr>
                <w:sz w:val="13"/>
                <w:szCs w:val="13"/>
              </w:rPr>
              <w:t xml:space="preserve">1 series / 9 observations</w:t>
            </w:r>
          </w:p>
        </w:tc>
        <w:tc>
          <w:tcPr>
            <w:tcW w:w="1400" w:type="dxa"/>
          </w:tcPr>
          <w:p>
            <w:pPr>
              <w:pStyle w:val="TableText"/>
              <w:keepLines/>
            </w:pPr>
            <w:r>
              <w:rPr>
                <w:sz w:val="13"/>
                <w:szCs w:val="13"/>
              </w:rPr>
              <w:t xml:space="preserve">2015-03-31 → 2023-03-31</w:t>
            </w:r>
          </w:p>
        </w:tc>
      </w:tr>
      <w:tr>
        <w:trPr>
          <w:cantSplit/>
        </w:trPr>
        <w:tc>
          <w:tcPr>
            <w:tcW w:w="1300" w:type="dxa"/>
          </w:tcPr>
          <w:p>
            <w:pPr>
              <w:pStyle w:val="TableText"/>
              <w:keepLines/>
            </w:pPr>
            <w:r>
              <w:rPr>
                <w:sz w:val="13"/>
                <w:szCs w:val="13"/>
              </w:rPr>
              <w:t xml:space="preserve">sectors</w:t>
            </w:r>
          </w:p>
        </w:tc>
        <w:tc>
          <w:tcPr>
            <w:tcW w:w="2600" w:type="dxa"/>
          </w:tcPr>
          <w:p>
            <w:pPr>
              <w:pStyle w:val="TableText"/>
              <w:keepLines/>
            </w:pPr>
            <w:r>
              <w:rPr>
                <w:sz w:val="13"/>
                <w:szCs w:val="13"/>
              </w:rPr>
              <w:t xml:space="preserve">capex-analysis/sector-performance.json</w:t>
            </w:r>
          </w:p>
        </w:tc>
        <w:tc>
          <w:tcPr>
            <w:tcW w:w="1900" w:type="dxa"/>
          </w:tcPr>
          <w:p>
            <w:pPr>
              <w:pStyle w:val="TableText"/>
              <w:keepLines/>
            </w:pPr>
            <w:r>
              <w:rPr>
                <w:sz w:val="13"/>
                <w:szCs w:val="13"/>
              </w:rPr>
              <w:t xml:space="preserve">market_performance</w:t>
            </w:r>
          </w:p>
        </w:tc>
        <w:tc>
          <w:tcPr>
            <w:tcW w:w="1800" w:type="dxa"/>
          </w:tcPr>
          <w:p>
            <w:pPr>
              <w:pStyle w:val="TableText"/>
              <w:keepLines/>
            </w:pPr>
            <w:r>
              <w:rPr>
                <w:sz w:val="13"/>
                <w:szCs w:val="13"/>
              </w:rPr>
              <w:t xml:space="preserve">5 markets / 505 observations</w:t>
            </w:r>
          </w:p>
        </w:tc>
        <w:tc>
          <w:tcPr>
            <w:tcW w:w="1400" w:type="dxa"/>
          </w:tcPr>
          <w:p>
            <w:pPr>
              <w:pStyle w:val="TableText"/>
              <w:keepLines/>
            </w:pPr>
            <w:r>
              <w:rPr>
                <w:sz w:val="13"/>
                <w:szCs w:val="13"/>
              </w:rPr>
              <w:t xml:space="preserve">2018-04-30 → 2026-08-06</w:t>
            </w:r>
          </w:p>
        </w:tc>
      </w:tr>
      <w:tr>
        <w:trPr>
          <w:cantSplit/>
        </w:trPr>
        <w:tc>
          <w:tcPr>
            <w:tcW w:w="1300" w:type="dxa"/>
          </w:tcPr>
          <w:p>
            <w:pPr>
              <w:pStyle w:val="TableText"/>
              <w:keepLines/>
            </w:pPr>
            <w:r>
              <w:rPr>
                <w:sz w:val="13"/>
                <w:szCs w:val="13"/>
              </w:rPr>
              <w:t xml:space="preserve">correlations</w:t>
            </w:r>
          </w:p>
        </w:tc>
        <w:tc>
          <w:tcPr>
            <w:tcW w:w="2600" w:type="dxa"/>
          </w:tcPr>
          <w:p>
            <w:pPr>
              <w:pStyle w:val="TableText"/>
              <w:keepLines/>
            </w:pPr>
            <w:r>
              <w:rPr>
                <w:sz w:val="13"/>
                <w:szCs w:val="13"/>
              </w:rPr>
              <w:t xml:space="preserve">capex-analysis/capex-sector-correlations.json</w:t>
            </w:r>
          </w:p>
        </w:tc>
        <w:tc>
          <w:tcPr>
            <w:tcW w:w="1900" w:type="dxa"/>
          </w:tcPr>
          <w:p>
            <w:pPr>
              <w:pStyle w:val="TableText"/>
              <w:keepLines/>
            </w:pPr>
            <w:r>
              <w:rPr>
                <w:sz w:val="13"/>
                <w:szCs w:val="13"/>
              </w:rPr>
              <w:t xml:space="preserve">dated_multi_series</w:t>
            </w:r>
          </w:p>
        </w:tc>
        <w:tc>
          <w:tcPr>
            <w:tcW w:w="1800" w:type="dxa"/>
          </w:tcPr>
          <w:p>
            <w:pPr>
              <w:pStyle w:val="TableText"/>
              <w:keepLines/>
            </w:pPr>
            <w:r>
              <w:rPr>
                <w:sz w:val="13"/>
                <w:szCs w:val="13"/>
              </w:rPr>
              <w:t xml:space="preserve">46 series / 304 observations</w:t>
            </w:r>
          </w:p>
        </w:tc>
        <w:tc>
          <w:tcPr>
            <w:tcW w:w="1400" w:type="dxa"/>
          </w:tcPr>
          <w:p>
            <w:pPr>
              <w:pStyle w:val="TableText"/>
              <w:keepLines/>
            </w:pPr>
            <w:r>
              <w:rPr>
                <w:sz w:val="13"/>
                <w:szCs w:val="13"/>
              </w:rPr>
              <w:t xml:space="preserve">2018-03-31 → 2025-03-31</w:t>
            </w:r>
          </w:p>
        </w:tc>
      </w:tr>
      <w:tr>
        <w:trPr>
          <w:cantSplit/>
        </w:trPr>
        <w:tc>
          <w:tcPr>
            <w:tcW w:w="1300" w:type="dxa"/>
          </w:tcPr>
          <w:p>
            <w:pPr>
              <w:pStyle w:val="TableText"/>
              <w:keepLines/>
            </w:pPr>
            <w:r>
              <w:rPr>
                <w:sz w:val="13"/>
                <w:szCs w:val="13"/>
              </w:rPr>
              <w:t xml:space="preserve">private</w:t>
            </w:r>
          </w:p>
        </w:tc>
        <w:tc>
          <w:tcPr>
            <w:tcW w:w="2600" w:type="dxa"/>
          </w:tcPr>
          <w:p>
            <w:pPr>
              <w:pStyle w:val="TableText"/>
              <w:keepLines/>
            </w:pPr>
            <w:r>
              <w:rPr>
                <w:sz w:val="13"/>
                <w:szCs w:val="13"/>
              </w:rPr>
              <w:t xml:space="preserve">capex-analysis/private-investment-response.json</w:t>
            </w:r>
          </w:p>
        </w:tc>
        <w:tc>
          <w:tcPr>
            <w:tcW w:w="1900" w:type="dxa"/>
          </w:tcPr>
          <w:p>
            <w:pPr>
              <w:pStyle w:val="TableText"/>
              <w:keepLines/>
            </w:pPr>
            <w:r>
              <w:rPr>
                <w:sz w:val="13"/>
                <w:szCs w:val="13"/>
              </w:rPr>
              <w:t xml:space="preserve">dated_multi_series</w:t>
            </w:r>
          </w:p>
        </w:tc>
        <w:tc>
          <w:tcPr>
            <w:tcW w:w="1800" w:type="dxa"/>
          </w:tcPr>
          <w:p>
            <w:pPr>
              <w:pStyle w:val="TableText"/>
              <w:keepLines/>
            </w:pPr>
            <w:r>
              <w:rPr>
                <w:sz w:val="13"/>
                <w:szCs w:val="13"/>
              </w:rPr>
              <w:t xml:space="preserve">4 series / 18 observations</w:t>
            </w:r>
          </w:p>
        </w:tc>
        <w:tc>
          <w:tcPr>
            <w:tcW w:w="1400" w:type="dxa"/>
          </w:tcPr>
          <w:p>
            <w:pPr>
              <w:pStyle w:val="TableText"/>
              <w:keepLines/>
            </w:pPr>
            <w:r>
              <w:rPr>
                <w:sz w:val="13"/>
                <w:szCs w:val="13"/>
              </w:rPr>
              <w:t xml:space="preserve">2020-03-31 → 2026-03-31</w:t>
            </w:r>
          </w:p>
        </w:tc>
      </w:tr>
      <w:tr>
        <w:trPr>
          <w:cantSplit/>
        </w:trPr>
        <w:tc>
          <w:tcPr>
            <w:tcW w:w="1300" w:type="dxa"/>
          </w:tcPr>
          <w:p>
            <w:pPr>
              <w:pStyle w:val="TableText"/>
              <w:keepLines/>
            </w:pPr>
            <w:r>
              <w:rPr>
                <w:sz w:val="13"/>
                <w:szCs w:val="13"/>
              </w:rPr>
              <w:t xml:space="preserve">fiscal</w:t>
            </w:r>
          </w:p>
        </w:tc>
        <w:tc>
          <w:tcPr>
            <w:tcW w:w="2600" w:type="dxa"/>
          </w:tcPr>
          <w:p>
            <w:pPr>
              <w:pStyle w:val="TableText"/>
              <w:keepLines/>
            </w:pPr>
            <w:r>
              <w:rPr>
                <w:sz w:val="13"/>
                <w:szCs w:val="13"/>
              </w:rPr>
              <w:t xml:space="preserve">capex-analysis/fiscal-sustainability.json</w:t>
            </w:r>
          </w:p>
        </w:tc>
        <w:tc>
          <w:tcPr>
            <w:tcW w:w="1900" w:type="dxa"/>
          </w:tcPr>
          <w:p>
            <w:pPr>
              <w:pStyle w:val="TableText"/>
              <w:keepLines/>
            </w:pPr>
            <w:r>
              <w:rPr>
                <w:sz w:val="13"/>
                <w:szCs w:val="13"/>
              </w:rPr>
              <w:t xml:space="preserve">dated_multi_series</w:t>
            </w:r>
          </w:p>
        </w:tc>
        <w:tc>
          <w:tcPr>
            <w:tcW w:w="1800" w:type="dxa"/>
          </w:tcPr>
          <w:p>
            <w:pPr>
              <w:pStyle w:val="TableText"/>
              <w:keepLines/>
            </w:pPr>
            <w:r>
              <w:rPr>
                <w:sz w:val="13"/>
                <w:szCs w:val="13"/>
              </w:rPr>
              <w:t xml:space="preserve">6 series / 79 observations</w:t>
            </w:r>
          </w:p>
        </w:tc>
        <w:tc>
          <w:tcPr>
            <w:tcW w:w="1400" w:type="dxa"/>
          </w:tcPr>
          <w:p>
            <w:pPr>
              <w:pStyle w:val="TableText"/>
              <w:keepLines/>
            </w:pPr>
            <w:r>
              <w:rPr>
                <w:sz w:val="13"/>
                <w:szCs w:val="13"/>
              </w:rPr>
              <w:t xml:space="preserve">2011-03-31 → 2026-03-31</w:t>
            </w:r>
          </w:p>
        </w:tc>
      </w:tr>
      <w:tr>
        <w:trPr>
          <w:cantSplit/>
        </w:trPr>
        <w:tc>
          <w:tcPr>
            <w:tcW w:w="1300" w:type="dxa"/>
          </w:tcPr>
          <w:p>
            <w:pPr>
              <w:pStyle w:val="TableText"/>
              <w:keepLines/>
            </w:pPr>
            <w:r>
              <w:rPr>
                <w:sz w:val="13"/>
                <w:szCs w:val="13"/>
              </w:rPr>
              <w:t xml:space="preserve">summary</w:t>
            </w:r>
          </w:p>
        </w:tc>
        <w:tc>
          <w:tcPr>
            <w:tcW w:w="2600" w:type="dxa"/>
          </w:tcPr>
          <w:p>
            <w:pPr>
              <w:pStyle w:val="TableText"/>
              <w:keepLines/>
            </w:pPr>
            <w:r>
              <w:rPr>
                <w:sz w:val="13"/>
                <w:szCs w:val="13"/>
              </w:rPr>
              <w:t xml:space="preserve">capex-analysis/analysis-summary.json</w:t>
            </w:r>
          </w:p>
        </w:tc>
        <w:tc>
          <w:tcPr>
            <w:tcW w:w="1900" w:type="dxa"/>
          </w:tcPr>
          <w:p>
            <w:pPr>
              <w:pStyle w:val="TableText"/>
              <w:keepLines/>
            </w:pPr>
            <w:r>
              <w:rPr>
                <w:sz w:val="13"/>
                <w:szCs w:val="13"/>
              </w:rPr>
              <w:t xml:space="preserve">capex_analysis_summary</w:t>
            </w:r>
          </w:p>
        </w:tc>
        <w:tc>
          <w:tcPr>
            <w:tcW w:w="1800" w:type="dxa"/>
          </w:tcPr>
          <w:p>
            <w:pPr>
              <w:pStyle w:val="TableText"/>
              <w:keepLines/>
            </w:pPr>
            <w:r>
              <w:rPr>
                <w:sz w:val="13"/>
                <w:szCs w:val="13"/>
              </w:rPr>
              <w:t xml:space="preserve">4 hypotheses</w:t>
            </w:r>
          </w:p>
        </w:tc>
        <w:tc>
          <w:tcPr>
            <w:tcW w:w="1400" w:type="dxa"/>
          </w:tcPr>
          <w:p>
            <w:pPr>
              <w:pStyle w:val="TableText"/>
              <w:keepLines/>
            </w:pPr>
            <w:r>
              <w:rPr>
                <w:sz w:val="13"/>
                <w:szCs w:val="13"/>
              </w:rPr>
              <w:t xml:space="preserve">Rule-generated at build time</w:t>
            </w:r>
          </w:p>
        </w:tc>
      </w:tr>
      <w:tr>
        <w:trPr>
          <w:cantSplit/>
        </w:trPr>
        <w:tc>
          <w:tcPr>
            <w:tcW w:w="1300" w:type="dxa"/>
          </w:tcPr>
          <w:p>
            <w:pPr>
              <w:pStyle w:val="TableText"/>
              <w:keepLines/>
            </w:pPr>
            <w:r>
              <w:rPr>
                <w:sz w:val="13"/>
                <w:szCs w:val="13"/>
              </w:rPr>
              <w:t xml:space="preserve">corporate</w:t>
            </w:r>
          </w:p>
        </w:tc>
        <w:tc>
          <w:tcPr>
            <w:tcW w:w="2600" w:type="dxa"/>
          </w:tcPr>
          <w:p>
            <w:pPr>
              <w:pStyle w:val="TableText"/>
              <w:keepLines/>
            </w:pPr>
            <w:r>
              <w:rPr>
                <w:sz w:val="13"/>
                <w:szCs w:val="13"/>
              </w:rPr>
              <w:t xml:space="preserve">capex-analysis/corporate-fundamentals.json</w:t>
            </w:r>
          </w:p>
        </w:tc>
        <w:tc>
          <w:tcPr>
            <w:tcW w:w="1900" w:type="dxa"/>
          </w:tcPr>
          <w:p>
            <w:pPr>
              <w:pStyle w:val="TableText"/>
              <w:keepLines/>
            </w:pPr>
            <w:r>
              <w:rPr>
                <w:sz w:val="13"/>
                <w:szCs w:val="13"/>
              </w:rPr>
              <w:t xml:space="preserve">dated_multi_series</w:t>
            </w:r>
          </w:p>
        </w:tc>
        <w:tc>
          <w:tcPr>
            <w:tcW w:w="1800" w:type="dxa"/>
          </w:tcPr>
          <w:p>
            <w:pPr>
              <w:pStyle w:val="TableText"/>
              <w:keepLines/>
            </w:pPr>
            <w:r>
              <w:rPr>
                <w:sz w:val="13"/>
                <w:szCs w:val="13"/>
              </w:rPr>
              <w:t xml:space="preserve">12 series / 44 observations</w:t>
            </w:r>
          </w:p>
        </w:tc>
        <w:tc>
          <w:tcPr>
            <w:tcW w:w="1400" w:type="dxa"/>
          </w:tcPr>
          <w:p>
            <w:pPr>
              <w:pStyle w:val="TableText"/>
              <w:keepLines/>
            </w:pPr>
            <w:r>
              <w:rPr>
                <w:sz w:val="13"/>
                <w:szCs w:val="13"/>
              </w:rPr>
              <w:t xml:space="preserve">2022-03-31 → 2026-03-31</w:t>
            </w:r>
          </w:p>
        </w:tc>
      </w:tr>
      <w:tr>
        <w:trPr>
          <w:cantSplit/>
        </w:trPr>
        <w:tc>
          <w:tcPr>
            <w:tcW w:w="1300" w:type="dxa"/>
          </w:tcPr>
          <w:p>
            <w:pPr>
              <w:pStyle w:val="TableText"/>
              <w:keepLines/>
            </w:pPr>
            <w:r>
              <w:rPr>
                <w:sz w:val="13"/>
                <w:szCs w:val="13"/>
              </w:rPr>
              <w:t xml:space="preserve">quality</w:t>
            </w:r>
          </w:p>
        </w:tc>
        <w:tc>
          <w:tcPr>
            <w:tcW w:w="2600" w:type="dxa"/>
          </w:tcPr>
          <w:p>
            <w:pPr>
              <w:pStyle w:val="TableText"/>
              <w:keepLines/>
            </w:pPr>
            <w:r>
              <w:rPr>
                <w:sz w:val="13"/>
                <w:szCs w:val="13"/>
              </w:rPr>
              <w:t xml:space="preserve">capex-analysis/investment-quality.json</w:t>
            </w:r>
          </w:p>
        </w:tc>
        <w:tc>
          <w:tcPr>
            <w:tcW w:w="1900" w:type="dxa"/>
          </w:tcPr>
          <w:p>
            <w:pPr>
              <w:pStyle w:val="TableText"/>
              <w:keepLines/>
            </w:pPr>
            <w:r>
              <w:rPr>
                <w:sz w:val="13"/>
                <w:szCs w:val="13"/>
              </w:rPr>
              <w:t xml:space="preserve">dated_multi_series</w:t>
            </w:r>
          </w:p>
        </w:tc>
        <w:tc>
          <w:tcPr>
            <w:tcW w:w="1800" w:type="dxa"/>
          </w:tcPr>
          <w:p>
            <w:pPr>
              <w:pStyle w:val="TableText"/>
              <w:keepLines/>
            </w:pPr>
            <w:r>
              <w:rPr>
                <w:sz w:val="13"/>
                <w:szCs w:val="13"/>
              </w:rPr>
              <w:t xml:space="preserve">5 series / 71 observations</w:t>
            </w:r>
          </w:p>
        </w:tc>
        <w:tc>
          <w:tcPr>
            <w:tcW w:w="1400" w:type="dxa"/>
          </w:tcPr>
          <w:p>
            <w:pPr>
              <w:pStyle w:val="TableText"/>
              <w:keepLines/>
            </w:pPr>
            <w:r>
              <w:rPr>
                <w:sz w:val="13"/>
                <w:szCs w:val="13"/>
              </w:rPr>
              <w:t xml:space="preserve">2009-03-31 → 2023-03-31</w:t>
            </w:r>
          </w:p>
        </w:tc>
      </w:tr>
      <w:tr>
        <w:trPr>
          <w:cantSplit/>
        </w:trPr>
        <w:tc>
          <w:tcPr>
            <w:tcW w:w="1300" w:type="dxa"/>
          </w:tcPr>
          <w:p>
            <w:pPr>
              <w:pStyle w:val="TableText"/>
              <w:keepLines/>
            </w:pPr>
            <w:r>
              <w:rPr>
                <w:sz w:val="13"/>
                <w:szCs w:val="13"/>
              </w:rPr>
              <w:t xml:space="preserve">states</w:t>
            </w:r>
          </w:p>
        </w:tc>
        <w:tc>
          <w:tcPr>
            <w:tcW w:w="2600" w:type="dxa"/>
          </w:tcPr>
          <w:p>
            <w:pPr>
              <w:pStyle w:val="TableText"/>
              <w:keepLines/>
            </w:pPr>
            <w:r>
              <w:rPr>
                <w:sz w:val="13"/>
                <w:szCs w:val="13"/>
              </w:rPr>
              <w:t xml:space="preserve">capex-analysis/state-capex-evaluation.json</w:t>
            </w:r>
          </w:p>
        </w:tc>
        <w:tc>
          <w:tcPr>
            <w:tcW w:w="1900" w:type="dxa"/>
          </w:tcPr>
          <w:p>
            <w:pPr>
              <w:pStyle w:val="TableText"/>
              <w:keepLines/>
            </w:pPr>
            <w:r>
              <w:rPr>
                <w:sz w:val="13"/>
                <w:szCs w:val="13"/>
              </w:rPr>
              <w:t xml:space="preserve">dated_multi_series</w:t>
            </w:r>
          </w:p>
        </w:tc>
        <w:tc>
          <w:tcPr>
            <w:tcW w:w="1800" w:type="dxa"/>
          </w:tcPr>
          <w:p>
            <w:pPr>
              <w:pStyle w:val="TableText"/>
              <w:keepLines/>
            </w:pPr>
            <w:r>
              <w:rPr>
                <w:sz w:val="13"/>
                <w:szCs w:val="13"/>
              </w:rPr>
              <w:t xml:space="preserve">2 series / 24 observations</w:t>
            </w:r>
          </w:p>
        </w:tc>
        <w:tc>
          <w:tcPr>
            <w:tcW w:w="1400" w:type="dxa"/>
          </w:tcPr>
          <w:p>
            <w:pPr>
              <w:pStyle w:val="TableText"/>
              <w:keepLines/>
            </w:pPr>
            <w:r>
              <w:rPr>
                <w:sz w:val="13"/>
                <w:szCs w:val="13"/>
              </w:rPr>
              <w:t xml:space="preserve">2012-03-31 → 2023-03-31</w:t>
            </w:r>
          </w:p>
        </w:tc>
      </w:tr>
      <w:tr>
        <w:trPr>
          <w:cantSplit/>
        </w:trPr>
        <w:tc>
          <w:tcPr>
            <w:tcW w:w="1300" w:type="dxa"/>
          </w:tcPr>
          <w:p>
            <w:pPr>
              <w:pStyle w:val="TableText"/>
              <w:keepLines/>
            </w:pPr>
            <w:r>
              <w:rPr>
                <w:sz w:val="13"/>
                <w:szCs w:val="13"/>
              </w:rPr>
              <w:t xml:space="preserve">crowding_in</w:t>
            </w:r>
          </w:p>
        </w:tc>
        <w:tc>
          <w:tcPr>
            <w:tcW w:w="2600" w:type="dxa"/>
          </w:tcPr>
          <w:p>
            <w:pPr>
              <w:pStyle w:val="TableText"/>
              <w:keepLines/>
            </w:pPr>
            <w:r>
              <w:rPr>
                <w:sz w:val="13"/>
                <w:szCs w:val="13"/>
              </w:rPr>
              <w:t xml:space="preserve">capex-analysis/crowding-in-evidence.json</w:t>
            </w:r>
          </w:p>
        </w:tc>
        <w:tc>
          <w:tcPr>
            <w:tcW w:w="1900" w:type="dxa"/>
          </w:tcPr>
          <w:p>
            <w:pPr>
              <w:pStyle w:val="TableText"/>
              <w:keepLines/>
            </w:pPr>
            <w:r>
              <w:rPr>
                <w:sz w:val="13"/>
                <w:szCs w:val="13"/>
              </w:rPr>
              <w:t xml:space="preserve">dated_multi_series</w:t>
            </w:r>
          </w:p>
        </w:tc>
        <w:tc>
          <w:tcPr>
            <w:tcW w:w="1800" w:type="dxa"/>
          </w:tcPr>
          <w:p>
            <w:pPr>
              <w:pStyle w:val="TableText"/>
              <w:keepLines/>
            </w:pPr>
            <w:r>
              <w:rPr>
                <w:sz w:val="13"/>
                <w:szCs w:val="13"/>
              </w:rPr>
              <w:t xml:space="preserve">1 series / 8 observations</w:t>
            </w:r>
          </w:p>
        </w:tc>
        <w:tc>
          <w:tcPr>
            <w:tcW w:w="1400" w:type="dxa"/>
          </w:tcPr>
          <w:p>
            <w:pPr>
              <w:pStyle w:val="TableText"/>
              <w:keepLines/>
            </w:pPr>
            <w:r>
              <w:rPr>
                <w:sz w:val="13"/>
                <w:szCs w:val="13"/>
              </w:rPr>
              <w:t xml:space="preserve">2018-03-31 → 2025-03-31</w:t>
            </w:r>
          </w:p>
        </w:tc>
      </w:tr>
    </w:tbl>
    <w:p>
      <w:pPr>
        <w:spacing w:after="80"/>
      </w:pPr>
      <w:r>
        <w:t xml:space="preserve"/>
      </w:r>
    </w:p>
    <w:p>
      <w:pPr>
        <w:pStyle w:val="Heading2"/>
        <w:keepNext/>
      </w:pPr>
      <w:r>
        <w:t xml:space="preserve">dated_multi_series</w:t>
      </w:r>
    </w:p>
    <w:p>
      <w:r>
        <w:t xml:space="preserve">The metadata object requires generated_at, source, frequency, true start/end dates, indicator_code, label, default_unit, series_order and is_derived. Each named series requires label, entity, unit and values. Values require an ISO date and numeric-or-null value; status and period_label are optional but used extensively. additionalProperties is false at the payload and series levels, while metadata allows documented analytical additions such as correlation_estimates, company_coverage and transmission_evidence.</w:t>
      </w:r>
    </w:p>
    <w:p>
      <w:pPr>
        <w:pStyle w:val="Heading2"/>
        <w:keepNext/>
      </w:pPr>
      <w:r>
        <w:t xml:space="preserve">market_performance</w:t>
      </w:r>
    </w:p>
    <w:p>
      <w:r>
        <w:t xml:space="preserve">The market contract carries source/start/end metadata and a market mapping. Each observation can contain price, independently normalised value, total or excess return fields, relative wealth, drawdown and rolling volatility. The CapEx bundle retains both raw_return and benchmark-excess return so the broad Nifty 50 test can use raw market performance while target sectors use excess performance.</w:t>
      </w:r>
    </w:p>
    <w:p>
      <w:pPr>
        <w:pStyle w:val="Heading2"/>
        <w:keepNext/>
      </w:pPr>
      <w:r>
        <w:t xml:space="preserve">capex_analysis_summary</w:t>
      </w:r>
    </w:p>
    <w:p>
      <w:r>
        <w:t xml:space="preserve">The summary contract requires a research question, classification method and four structured hypotheses. Each hypothesis carries a stable key, claim, status, interpretation and caveat. The artifact is published and schema-validated but is loaded directly by CapexVerdict rather than through a catalogue asset.</w:t>
      </w:r>
    </w:p>
    <w:p>
      <w:pPr>
        <w:pStyle w:val="Heading2"/>
        <w:keepNext/>
      </w:pPr>
      <w:r>
        <w:t xml:space="preserve">Catalogue presentation contract</w:t>
      </w:r>
    </w:p>
    <w:p>
      <w:r>
        <w:t xml:space="preserve">Each view binds an asset_id to a component, chart type, x-axis, default visible keys, value format, controls and source/methodology flags. The catalogue schema enumerates specialised components including capex-correlation, corporate-fundamentals, fiscal-bridge, investment-quality, crowding-in, state-capex-evaluation and capex-scenario-lab.</w:t>
      </w:r>
    </w:p>
    <w:p>
      <w:pPr>
        <w:pStyle w:val="Heading1"/>
        <w:keepNext/>
      </w:pPr>
      <w:r>
        <w:t xml:space="preserve">6. End-to-end ETL by artifact</w:t>
      </w:r>
    </w:p>
    <w:tbl>
      <w:tblPr>
        <w:tblStyle w:val="ArchitectureTable"/>
        <w:tblW w:w="0" w:type="auto"/>
        <w:tblLayout w:type="fixed"/>
      </w:tblPr>
      <w:tblGrid>
        <w:gridCol w:w="2300"/>
        <w:gridCol w:w="2300"/>
        <w:gridCol w:w="3100"/>
        <w:gridCol w:w="1300"/>
      </w:tblGrid>
      <w:tr>
        <w:trPr>
          <w:tblHeader/>
          <w:cantSplit/>
        </w:trPr>
        <w:tc>
          <w:tcPr>
            <w:tcW w:w="2300" w:type="dxa"/>
            <w:shd w:val="clear" w:color="auto" w:fill="1F4E78"/>
          </w:tcPr>
          <w:p>
            <w:pPr>
              <w:pStyle w:val="TableText"/>
              <w:keepLines/>
            </w:pPr>
            <w:r>
              <w:rPr>
                <w:b/>
                <w:color w:val="FFFFFF"/>
                <w:sz w:val="13"/>
                <w:szCs w:val="13"/>
              </w:rPr>
              <w:t xml:space="preserve">Output</w:t>
            </w:r>
          </w:p>
        </w:tc>
        <w:tc>
          <w:tcPr>
            <w:tcW w:w="2300" w:type="dxa"/>
            <w:shd w:val="clear" w:color="auto" w:fill="1F4E78"/>
          </w:tcPr>
          <w:p>
            <w:pPr>
              <w:pStyle w:val="TableText"/>
              <w:keepLines/>
            </w:pPr>
            <w:r>
              <w:rPr>
                <w:b/>
                <w:color w:val="FFFFFF"/>
                <w:sz w:val="13"/>
                <w:szCs w:val="13"/>
              </w:rPr>
              <w:t xml:space="preserve">Inputs</w:t>
            </w:r>
          </w:p>
        </w:tc>
        <w:tc>
          <w:tcPr>
            <w:tcW w:w="3100" w:type="dxa"/>
            <w:shd w:val="clear" w:color="auto" w:fill="1F4E78"/>
          </w:tcPr>
          <w:p>
            <w:pPr>
              <w:pStyle w:val="TableText"/>
              <w:keepLines/>
            </w:pPr>
            <w:r>
              <w:rPr>
                <w:b/>
                <w:color w:val="FFFFFF"/>
                <w:sz w:val="13"/>
                <w:szCs w:val="13"/>
              </w:rPr>
              <w:t xml:space="preserve">Core transform</w:t>
            </w:r>
          </w:p>
        </w:tc>
        <w:tc>
          <w:tcPr>
            <w:tcW w:w="1300" w:type="dxa"/>
            <w:shd w:val="clear" w:color="auto" w:fill="1F4E78"/>
          </w:tcPr>
          <w:p>
            <w:pPr>
              <w:pStyle w:val="TableText"/>
              <w:keepLines/>
            </w:pPr>
            <w:r>
              <w:rPr>
                <w:b/>
                <w:color w:val="FFFFFF"/>
                <w:sz w:val="13"/>
                <w:szCs w:val="13"/>
              </w:rPr>
              <w:t xml:space="preserve">Validation and consumer</w:t>
            </w:r>
          </w:p>
        </w:tc>
      </w:tr>
      <w:tr>
        <w:trPr>
          <w:cantSplit/>
        </w:trPr>
        <w:tc>
          <w:tcPr>
            <w:tcW w:w="2300" w:type="dxa"/>
          </w:tcPr>
          <w:p>
            <w:pPr>
              <w:pStyle w:val="TableText"/>
              <w:keepLines/>
            </w:pPr>
            <w:r>
              <w:rPr>
                <w:sz w:val="13"/>
                <w:szCs w:val="13"/>
              </w:rPr>
              <w:t xml:space="preserve">capex-execution.json</w:t>
            </w:r>
          </w:p>
        </w:tc>
        <w:tc>
          <w:tcPr>
            <w:tcW w:w="2300" w:type="dxa"/>
          </w:tcPr>
          <w:p>
            <w:pPr>
              <w:pStyle w:val="TableText"/>
              <w:keepLines/>
            </w:pPr>
            <w:r>
              <w:rPr>
                <w:sz w:val="13"/>
                <w:szCs w:val="13"/>
              </w:rPr>
              <w:t xml:space="preserve">GovernmentMetrics canonical records</w:t>
            </w:r>
          </w:p>
        </w:tc>
        <w:tc>
          <w:tcPr>
            <w:tcW w:w="3100" w:type="dxa"/>
          </w:tcPr>
          <w:p>
            <w:pPr>
              <w:pStyle w:val="TableText"/>
              <w:keepLines/>
            </w:pPr>
            <w:r>
              <w:rPr>
                <w:sz w:val="13"/>
                <w:szCs w:val="13"/>
              </w:rPr>
              <w:t xml:space="preserve">Scope from FY2017–18; retain ratios/vintages; derive nominal growth; build JSON once</w:t>
            </w:r>
          </w:p>
        </w:tc>
        <w:tc>
          <w:tcPr>
            <w:tcW w:w="1300" w:type="dxa"/>
          </w:tcPr>
          <w:p>
            <w:pPr>
              <w:pStyle w:val="TableText"/>
              <w:keepLines/>
            </w:pPr>
            <w:r>
              <w:rPr>
                <w:sz w:val="13"/>
                <w:szCs w:val="13"/>
              </w:rPr>
              <w:t xml:space="preserve">dated_multi_series → general line charts</w:t>
            </w:r>
          </w:p>
        </w:tc>
      </w:tr>
      <w:tr>
        <w:trPr>
          <w:cantSplit/>
        </w:trPr>
        <w:tc>
          <w:tcPr>
            <w:tcW w:w="2300" w:type="dxa"/>
          </w:tcPr>
          <w:p>
            <w:pPr>
              <w:pStyle w:val="TableText"/>
              <w:keepLines/>
            </w:pPr>
            <w:r>
              <w:rPr>
                <w:sz w:val="13"/>
                <w:szCs w:val="13"/>
              </w:rPr>
              <w:t xml:space="preserve">sector-capex-allocation.json</w:t>
            </w:r>
          </w:p>
        </w:tc>
        <w:tc>
          <w:tcPr>
            <w:tcW w:w="2300" w:type="dxa"/>
          </w:tcPr>
          <w:p>
            <w:pPr>
              <w:pStyle w:val="TableText"/>
              <w:keepLines/>
            </w:pPr>
            <w:r>
              <w:rPr>
                <w:sz w:val="13"/>
                <w:szCs w:val="13"/>
              </w:rPr>
              <w:t xml:space="preserve">Typed Statement 3 observations from DeliverySources</w:t>
            </w:r>
          </w:p>
        </w:tc>
        <w:tc>
          <w:tcPr>
            <w:tcW w:w="3100" w:type="dxa"/>
          </w:tcPr>
          <w:p>
            <w:pPr>
              <w:pStyle w:val="TableText"/>
              <w:keepLines/>
            </w:pPr>
            <w:r>
              <w:rPr>
                <w:sz w:val="13"/>
                <w:szCs w:val="13"/>
              </w:rPr>
              <w:t xml:space="preserve">Map FY label to 31 March; budget status; separate Roads/Railways series</w:t>
            </w:r>
          </w:p>
        </w:tc>
        <w:tc>
          <w:tcPr>
            <w:tcW w:w="1300" w:type="dxa"/>
          </w:tcPr>
          <w:p>
            <w:pPr>
              <w:pStyle w:val="TableText"/>
              <w:keepLines/>
            </w:pPr>
            <w:r>
              <w:rPr>
                <w:sz w:val="13"/>
                <w:szCs w:val="13"/>
              </w:rPr>
              <w:t xml:space="preserve">dated_multi_series → allocation line view</w:t>
            </w:r>
          </w:p>
        </w:tc>
      </w:tr>
      <w:tr>
        <w:trPr>
          <w:cantSplit/>
        </w:trPr>
        <w:tc>
          <w:tcPr>
            <w:tcW w:w="2300" w:type="dxa"/>
          </w:tcPr>
          <w:p>
            <w:pPr>
              <w:pStyle w:val="TableText"/>
              <w:keepLines/>
            </w:pPr>
            <w:r>
              <w:rPr>
                <w:sz w:val="13"/>
                <w:szCs w:val="13"/>
              </w:rPr>
              <w:t xml:space="preserve">physical-delivery.json</w:t>
            </w:r>
          </w:p>
        </w:tc>
        <w:tc>
          <w:tcPr>
            <w:tcW w:w="2300" w:type="dxa"/>
          </w:tcPr>
          <w:p>
            <w:pPr>
              <w:pStyle w:val="TableText"/>
              <w:keepLines/>
            </w:pPr>
            <w:r>
              <w:rPr>
                <w:sz w:val="13"/>
                <w:szCs w:val="13"/>
              </w:rPr>
              <w:t xml:space="preserve">Typed MoRTH and Railways observations from DeliverySources</w:t>
            </w:r>
          </w:p>
        </w:tc>
        <w:tc>
          <w:tcPr>
            <w:tcW w:w="3100" w:type="dxa"/>
          </w:tcPr>
          <w:p>
            <w:pPr>
              <w:pStyle w:val="TableText"/>
              <w:keepLines/>
            </w:pPr>
            <w:r>
              <w:rPr>
                <w:sz w:val="13"/>
                <w:szCs w:val="13"/>
              </w:rPr>
              <w:t xml:space="preserve">Map annual km outputs; actual status</w:t>
            </w:r>
          </w:p>
        </w:tc>
        <w:tc>
          <w:tcPr>
            <w:tcW w:w="1300" w:type="dxa"/>
          </w:tcPr>
          <w:p>
            <w:pPr>
              <w:pStyle w:val="TableText"/>
              <w:keepLines/>
            </w:pPr>
            <w:r>
              <w:rPr>
                <w:sz w:val="13"/>
                <w:szCs w:val="13"/>
              </w:rPr>
              <w:t xml:space="preserve">dated_multi_series → physical-delivery line view</w:t>
            </w:r>
          </w:p>
        </w:tc>
      </w:tr>
      <w:tr>
        <w:trPr>
          <w:cantSplit/>
        </w:trPr>
        <w:tc>
          <w:tcPr>
            <w:tcW w:w="2300" w:type="dxa"/>
          </w:tcPr>
          <w:p>
            <w:pPr>
              <w:pStyle w:val="TableText"/>
              <w:keepLines/>
            </w:pPr>
            <w:r>
              <w:rPr>
                <w:sz w:val="13"/>
                <w:szCs w:val="13"/>
              </w:rPr>
              <w:t xml:space="preserve">capital-goods-production.json</w:t>
            </w:r>
          </w:p>
        </w:tc>
        <w:tc>
          <w:tcPr>
            <w:tcW w:w="2300" w:type="dxa"/>
          </w:tcPr>
          <w:p>
            <w:pPr>
              <w:pStyle w:val="TableText"/>
              <w:keepLines/>
            </w:pPr>
            <w:r>
              <w:rPr>
                <w:sz w:val="13"/>
                <w:szCs w:val="13"/>
              </w:rPr>
              <w:t xml:space="preserve">Typed RBI/NSO Table 30 observations from DeliverySources</w:t>
            </w:r>
          </w:p>
        </w:tc>
        <w:tc>
          <w:tcPr>
            <w:tcW w:w="3100" w:type="dxa"/>
          </w:tcPr>
          <w:p>
            <w:pPr>
              <w:pStyle w:val="TableText"/>
              <w:keepLines/>
            </w:pPr>
            <w:r>
              <w:rPr>
                <w:sz w:val="13"/>
                <w:szCs w:val="13"/>
              </w:rPr>
              <w:t xml:space="preserve">Map fiscal average IIP; preserve pandemic observation</w:t>
            </w:r>
          </w:p>
        </w:tc>
        <w:tc>
          <w:tcPr>
            <w:tcW w:w="1300" w:type="dxa"/>
          </w:tcPr>
          <w:p>
            <w:pPr>
              <w:pStyle w:val="TableText"/>
              <w:keepLines/>
            </w:pPr>
            <w:r>
              <w:rPr>
                <w:sz w:val="13"/>
                <w:szCs w:val="13"/>
              </w:rPr>
              <w:t xml:space="preserve">dated_multi_series → 2D production view</w:t>
            </w:r>
          </w:p>
        </w:tc>
      </w:tr>
      <w:tr>
        <w:trPr>
          <w:cantSplit/>
        </w:trPr>
        <w:tc>
          <w:tcPr>
            <w:tcW w:w="2300" w:type="dxa"/>
          </w:tcPr>
          <w:p>
            <w:pPr>
              <w:pStyle w:val="TableText"/>
              <w:keepLines/>
            </w:pPr>
            <w:r>
              <w:rPr>
                <w:sz w:val="13"/>
                <w:szCs w:val="13"/>
              </w:rPr>
              <w:t xml:space="preserve">sector-performance.json</w:t>
            </w:r>
          </w:p>
        </w:tc>
        <w:tc>
          <w:tcPr>
            <w:tcW w:w="2300" w:type="dxa"/>
          </w:tcPr>
          <w:p>
            <w:pPr>
              <w:pStyle w:val="TableText"/>
              <w:keepLines/>
            </w:pPr>
            <w:r>
              <w:rPr>
                <w:sz w:val="13"/>
                <w:szCs w:val="13"/>
              </w:rPr>
              <w:t xml:space="preserve">Official daily TRI matrix</w:t>
            </w:r>
          </w:p>
        </w:tc>
        <w:tc>
          <w:tcPr>
            <w:tcW w:w="3100" w:type="dxa"/>
          </w:tcPr>
          <w:p>
            <w:pPr>
              <w:pStyle w:val="TableText"/>
              <w:keepLines/>
            </w:pPr>
            <w:r>
              <w:rPr>
                <w:sz w:val="13"/>
                <w:szCs w:val="13"/>
              </w:rPr>
              <w:t xml:space="preserve">Common-date drop; month-end sampling; total/excess returns; rebasing; risk summaries</w:t>
            </w:r>
          </w:p>
        </w:tc>
        <w:tc>
          <w:tcPr>
            <w:tcW w:w="1300" w:type="dxa"/>
          </w:tcPr>
          <w:p>
            <w:pPr>
              <w:pStyle w:val="TableText"/>
              <w:keepLines/>
            </w:pPr>
            <w:r>
              <w:rPr>
                <w:sz w:val="13"/>
                <w:szCs w:val="13"/>
              </w:rPr>
              <w:t xml:space="preserve">market_performance → ChartView</w:t>
            </w:r>
          </w:p>
        </w:tc>
      </w:tr>
      <w:tr>
        <w:trPr>
          <w:cantSplit/>
        </w:trPr>
        <w:tc>
          <w:tcPr>
            <w:tcW w:w="2300" w:type="dxa"/>
          </w:tcPr>
          <w:p>
            <w:pPr>
              <w:pStyle w:val="TableText"/>
              <w:keepLines/>
            </w:pPr>
            <w:r>
              <w:rPr>
                <w:sz w:val="13"/>
                <w:szCs w:val="13"/>
              </w:rPr>
              <w:t xml:space="preserve">capex-sector-correlations.json</w:t>
            </w:r>
          </w:p>
        </w:tc>
        <w:tc>
          <w:tcPr>
            <w:tcW w:w="2300" w:type="dxa"/>
          </w:tcPr>
          <w:p>
            <w:pPr>
              <w:pStyle w:val="TableText"/>
              <w:keepLines/>
            </w:pPr>
            <w:r>
              <w:rPr>
                <w:sz w:val="13"/>
                <w:szCs w:val="13"/>
              </w:rPr>
              <w:t xml:space="preserve">GovernmentMetrics, PrivateMetrics and market calculations</w:t>
            </w:r>
          </w:p>
        </w:tc>
        <w:tc>
          <w:tcPr>
            <w:tcW w:w="3100" w:type="dxa"/>
          </w:tcPr>
          <w:p>
            <w:pPr>
              <w:pStyle w:val="TableText"/>
              <w:keepLines/>
            </w:pPr>
            <w:r>
              <w:rPr>
                <w:sz w:val="13"/>
                <w:szCs w:val="13"/>
              </w:rPr>
              <w:t xml:space="preserve">Fixed forward/reverse windows; pair by fiscal end; Pearson/Spearman; pandemic sensitivity</w:t>
            </w:r>
          </w:p>
        </w:tc>
        <w:tc>
          <w:tcPr>
            <w:tcW w:w="1300" w:type="dxa"/>
          </w:tcPr>
          <w:p>
            <w:pPr>
              <w:pStyle w:val="TableText"/>
              <w:keepLines/>
            </w:pPr>
            <w:r>
              <w:rPr>
                <w:sz w:val="13"/>
                <w:szCs w:val="13"/>
              </w:rPr>
              <w:t xml:space="preserve">dated_multi_series metadata → CapexCorrelationView</w:t>
            </w:r>
          </w:p>
        </w:tc>
      </w:tr>
      <w:tr>
        <w:trPr>
          <w:cantSplit/>
        </w:trPr>
        <w:tc>
          <w:tcPr>
            <w:tcW w:w="2300" w:type="dxa"/>
          </w:tcPr>
          <w:p>
            <w:pPr>
              <w:pStyle w:val="TableText"/>
              <w:keepLines/>
            </w:pPr>
            <w:r>
              <w:rPr>
                <w:sz w:val="13"/>
                <w:szCs w:val="13"/>
              </w:rPr>
              <w:t xml:space="preserve">corporate-fundamentals.json</w:t>
            </w:r>
          </w:p>
        </w:tc>
        <w:tc>
          <w:tcPr>
            <w:tcW w:w="2300" w:type="dxa"/>
          </w:tcPr>
          <w:p>
            <w:pPr>
              <w:pStyle w:val="TableText"/>
              <w:keepLines/>
            </w:pPr>
            <w:r>
              <w:rPr>
                <w:sz w:val="13"/>
                <w:szCs w:val="13"/>
              </w:rPr>
              <w:t xml:space="preserve">Ten CorporateFundamental histories</w:t>
            </w:r>
          </w:p>
        </w:tc>
        <w:tc>
          <w:tcPr>
            <w:tcW w:w="3100" w:type="dxa"/>
          </w:tcPr>
          <w:p>
            <w:pPr>
              <w:pStyle w:val="TableText"/>
              <w:keepLines/>
            </w:pPr>
            <w:r>
              <w:rPr>
                <w:sz w:val="13"/>
                <w:szCs w:val="13"/>
              </w:rPr>
              <w:t xml:space="preserve">Within-company growth; unweighted group median; coverage metadata</w:t>
            </w:r>
          </w:p>
        </w:tc>
        <w:tc>
          <w:tcPr>
            <w:tcW w:w="1300" w:type="dxa"/>
          </w:tcPr>
          <w:p>
            <w:pPr>
              <w:pStyle w:val="TableText"/>
              <w:keepLines/>
            </w:pPr>
            <w:r>
              <w:rPr>
                <w:sz w:val="13"/>
                <w:szCs w:val="13"/>
              </w:rPr>
              <w:t xml:space="preserve">dated_multi_series → CorporateFundamentalsView</w:t>
            </w:r>
          </w:p>
        </w:tc>
      </w:tr>
      <w:tr>
        <w:trPr>
          <w:cantSplit/>
        </w:trPr>
        <w:tc>
          <w:tcPr>
            <w:tcW w:w="2300" w:type="dxa"/>
          </w:tcPr>
          <w:p>
            <w:pPr>
              <w:pStyle w:val="TableText"/>
              <w:keepLines/>
            </w:pPr>
            <w:r>
              <w:rPr>
                <w:sz w:val="13"/>
                <w:szCs w:val="13"/>
              </w:rPr>
              <w:t xml:space="preserve">private-investment-response.json</w:t>
            </w:r>
          </w:p>
        </w:tc>
        <w:tc>
          <w:tcPr>
            <w:tcW w:w="2300" w:type="dxa"/>
          </w:tcPr>
          <w:p>
            <w:pPr>
              <w:pStyle w:val="TableText"/>
              <w:keepLines/>
            </w:pPr>
            <w:r>
              <w:rPr>
                <w:sz w:val="13"/>
                <w:szCs w:val="13"/>
              </w:rPr>
              <w:t xml:space="preserve">PrivateMetrics canonical records</w:t>
            </w:r>
          </w:p>
        </w:tc>
        <w:tc>
          <w:tcPr>
            <w:tcW w:w="3100" w:type="dxa"/>
          </w:tcPr>
          <w:p>
            <w:pPr>
              <w:pStyle w:val="TableText"/>
              <w:keepLines/>
            </w:pPr>
            <w:r>
              <w:rPr>
                <w:sz w:val="13"/>
                <w:szCs w:val="13"/>
              </w:rPr>
              <w:t xml:space="preserve">Scope GFCF, utilisation and one-year public-CapEx lag; build JSON once</w:t>
            </w:r>
          </w:p>
        </w:tc>
        <w:tc>
          <w:tcPr>
            <w:tcW w:w="1300" w:type="dxa"/>
          </w:tcPr>
          <w:p>
            <w:pPr>
              <w:pStyle w:val="TableText"/>
              <w:keepLines/>
            </w:pPr>
            <w:r>
              <w:rPr>
                <w:sz w:val="13"/>
                <w:szCs w:val="13"/>
              </w:rPr>
              <w:t xml:space="preserve">dated_multi_series → general line chart</w:t>
            </w:r>
          </w:p>
        </w:tc>
      </w:tr>
      <w:tr>
        <w:trPr>
          <w:cantSplit/>
        </w:trPr>
        <w:tc>
          <w:tcPr>
            <w:tcW w:w="2300" w:type="dxa"/>
          </w:tcPr>
          <w:p>
            <w:pPr>
              <w:pStyle w:val="TableText"/>
              <w:keepLines/>
            </w:pPr>
            <w:r>
              <w:rPr>
                <w:sz w:val="13"/>
                <w:szCs w:val="13"/>
              </w:rPr>
              <w:t xml:space="preserve">investment-quality.json</w:t>
            </w:r>
          </w:p>
        </w:tc>
        <w:tc>
          <w:tcPr>
            <w:tcW w:w="2300" w:type="dxa"/>
          </w:tcPr>
          <w:p>
            <w:pPr>
              <w:pStyle w:val="TableText"/>
              <w:keepLines/>
            </w:pPr>
            <w:r>
              <w:rPr>
                <w:sz w:val="13"/>
                <w:szCs w:val="13"/>
              </w:rPr>
              <w:t xml:space="preserve">RBI/MoSPI project status and cost tables</w:t>
            </w:r>
          </w:p>
        </w:tc>
        <w:tc>
          <w:tcPr>
            <w:tcW w:w="3100" w:type="dxa"/>
          </w:tcPr>
          <w:p>
            <w:pPr>
              <w:pStyle w:val="TableText"/>
              <w:keepLines/>
            </w:pPr>
            <w:r>
              <w:rPr>
                <w:sz w:val="13"/>
                <w:szCs w:val="13"/>
              </w:rPr>
              <w:t xml:space="preserve">Parse sector blocks; derive schedule, delay and cost-overrun shares; retain sector histories</w:t>
            </w:r>
          </w:p>
        </w:tc>
        <w:tc>
          <w:tcPr>
            <w:tcW w:w="1300" w:type="dxa"/>
          </w:tcPr>
          <w:p>
            <w:pPr>
              <w:pStyle w:val="TableText"/>
              <w:keepLines/>
            </w:pPr>
            <w:r>
              <w:rPr>
                <w:sz w:val="13"/>
                <w:szCs w:val="13"/>
              </w:rPr>
              <w:t xml:space="preserve">dated_multi_series metadata → InvestmentQualityView</w:t>
            </w:r>
          </w:p>
        </w:tc>
      </w:tr>
      <w:tr>
        <w:trPr>
          <w:cantSplit/>
        </w:trPr>
        <w:tc>
          <w:tcPr>
            <w:tcW w:w="2300" w:type="dxa"/>
          </w:tcPr>
          <w:p>
            <w:pPr>
              <w:pStyle w:val="TableText"/>
              <w:keepLines/>
            </w:pPr>
            <w:r>
              <w:rPr>
                <w:sz w:val="13"/>
                <w:szCs w:val="13"/>
              </w:rPr>
              <w:t xml:space="preserve">crowding-in-evidence.json</w:t>
            </w:r>
          </w:p>
        </w:tc>
        <w:tc>
          <w:tcPr>
            <w:tcW w:w="2300" w:type="dxa"/>
          </w:tcPr>
          <w:p>
            <w:pPr>
              <w:pStyle w:val="TableText"/>
              <w:keepLines/>
            </w:pPr>
            <w:r>
              <w:rPr>
                <w:sz w:val="13"/>
                <w:szCs w:val="13"/>
              </w:rPr>
              <w:t xml:space="preserve">GovernmentMetrics, PrivateMetrics and typed IIP source observations</w:t>
            </w:r>
          </w:p>
        </w:tc>
        <w:tc>
          <w:tcPr>
            <w:tcW w:w="3100" w:type="dxa"/>
          </w:tcPr>
          <w:p>
            <w:pPr>
              <w:pStyle w:val="TableText"/>
              <w:keepLines/>
            </w:pPr>
            <w:r>
              <w:rPr>
                <w:sz w:val="13"/>
                <w:szCs w:val="13"/>
              </w:rPr>
              <w:t xml:space="preserve">Fixed 0–3 year alignment; Pearson/Spearman; eight-observation eligibility gate</w:t>
            </w:r>
          </w:p>
        </w:tc>
        <w:tc>
          <w:tcPr>
            <w:tcW w:w="1300" w:type="dxa"/>
          </w:tcPr>
          <w:p>
            <w:pPr>
              <w:pStyle w:val="TableText"/>
              <w:keepLines/>
            </w:pPr>
            <w:r>
              <w:rPr>
                <w:sz w:val="13"/>
                <w:szCs w:val="13"/>
              </w:rPr>
              <w:t xml:space="preserve">dated_multi_series metadata → CrowdingInView</w:t>
            </w:r>
          </w:p>
        </w:tc>
      </w:tr>
      <w:tr>
        <w:trPr>
          <w:cantSplit/>
        </w:trPr>
        <w:tc>
          <w:tcPr>
            <w:tcW w:w="2300" w:type="dxa"/>
          </w:tcPr>
          <w:p>
            <w:pPr>
              <w:pStyle w:val="TableText"/>
              <w:keepLines/>
            </w:pPr>
            <w:r>
              <w:rPr>
                <w:sz w:val="13"/>
                <w:szCs w:val="13"/>
              </w:rPr>
              <w:t xml:space="preserve">state-capex-evaluation.json</w:t>
            </w:r>
          </w:p>
        </w:tc>
        <w:tc>
          <w:tcPr>
            <w:tcW w:w="2300" w:type="dxa"/>
          </w:tcPr>
          <w:p>
            <w:pPr>
              <w:pStyle w:val="TableText"/>
              <w:keepLines/>
            </w:pPr>
            <w:r>
              <w:rPr>
                <w:sz w:val="13"/>
                <w:szCs w:val="13"/>
              </w:rPr>
              <w:t xml:space="preserve">RBI state outlay and current/constant GSDP</w:t>
            </w:r>
          </w:p>
        </w:tc>
        <w:tc>
          <w:tcPr>
            <w:tcW w:w="3100" w:type="dxa"/>
          </w:tcPr>
          <w:p>
            <w:pPr>
              <w:pStyle w:val="TableText"/>
              <w:keepLines/>
            </w:pPr>
            <w:r>
              <w:rPr>
                <w:sz w:val="13"/>
                <w:szCs w:val="13"/>
              </w:rPr>
              <w:t xml:space="preserve">Scale outlay; pair next-year growth; two-way demean; state-clustered SE</w:t>
            </w:r>
          </w:p>
        </w:tc>
        <w:tc>
          <w:tcPr>
            <w:tcW w:w="1300" w:type="dxa"/>
          </w:tcPr>
          <w:p>
            <w:pPr>
              <w:pStyle w:val="TableText"/>
              <w:keepLines/>
            </w:pPr>
            <w:r>
              <w:rPr>
                <w:sz w:val="13"/>
                <w:szCs w:val="13"/>
              </w:rPr>
              <w:t xml:space="preserve">dated_multi_series metadata → StateCapexEvaluationView</w:t>
            </w:r>
          </w:p>
        </w:tc>
      </w:tr>
      <w:tr>
        <w:trPr>
          <w:cantSplit/>
        </w:trPr>
        <w:tc>
          <w:tcPr>
            <w:tcW w:w="2300" w:type="dxa"/>
          </w:tcPr>
          <w:p>
            <w:pPr>
              <w:pStyle w:val="TableText"/>
              <w:keepLines/>
            </w:pPr>
            <w:r>
              <w:rPr>
                <w:sz w:val="13"/>
                <w:szCs w:val="13"/>
              </w:rPr>
              <w:t xml:space="preserve">fiscal-sustainability.json</w:t>
            </w:r>
          </w:p>
        </w:tc>
        <w:tc>
          <w:tcPr>
            <w:tcW w:w="2300" w:type="dxa"/>
          </w:tcPr>
          <w:p>
            <w:pPr>
              <w:pStyle w:val="TableText"/>
              <w:keepLines/>
            </w:pPr>
            <w:r>
              <w:rPr>
                <w:sz w:val="13"/>
                <w:szCs w:val="13"/>
              </w:rPr>
              <w:t xml:space="preserve">FiscalMetrics plus GovernmentMetrics</w:t>
            </w:r>
          </w:p>
        </w:tc>
        <w:tc>
          <w:tcPr>
            <w:tcW w:w="3100" w:type="dxa"/>
          </w:tcPr>
          <w:p>
            <w:pPr>
              <w:pStyle w:val="TableText"/>
              <w:keepLines/>
            </w:pPr>
            <w:r>
              <w:rPr>
                <w:sz w:val="13"/>
                <w:szCs w:val="13"/>
              </w:rPr>
              <w:t xml:space="preserve">Join typed records; add CapEx share and allocation ratio; attach verdict chain; build JSON once</w:t>
            </w:r>
          </w:p>
        </w:tc>
        <w:tc>
          <w:tcPr>
            <w:tcW w:w="1300" w:type="dxa"/>
          </w:tcPr>
          <w:p>
            <w:pPr>
              <w:pStyle w:val="TableText"/>
              <w:keepLines/>
            </w:pPr>
            <w:r>
              <w:rPr>
                <w:sz w:val="13"/>
                <w:szCs w:val="13"/>
              </w:rPr>
              <w:t xml:space="preserve">dated_multi_series → FiscalBridgeView and ScenarioLab</w:t>
            </w:r>
          </w:p>
        </w:tc>
      </w:tr>
      <w:tr>
        <w:trPr>
          <w:cantSplit/>
        </w:trPr>
        <w:tc>
          <w:tcPr>
            <w:tcW w:w="2300" w:type="dxa"/>
          </w:tcPr>
          <w:p>
            <w:pPr>
              <w:pStyle w:val="TableText"/>
              <w:keepLines/>
            </w:pPr>
            <w:r>
              <w:rPr>
                <w:sz w:val="13"/>
                <w:szCs w:val="13"/>
              </w:rPr>
              <w:t xml:space="preserve">analysis-summary.json</w:t>
            </w:r>
          </w:p>
        </w:tc>
        <w:tc>
          <w:tcPr>
            <w:tcW w:w="2300" w:type="dxa"/>
          </w:tcPr>
          <w:p>
            <w:pPr>
              <w:pStyle w:val="TableText"/>
              <w:keepLines/>
            </w:pPr>
            <w:r>
              <w:rPr>
                <w:sz w:val="13"/>
                <w:szCs w:val="13"/>
              </w:rPr>
              <w:t xml:space="preserve">GovernmentMetrics, PrivateMetrics, FiscalMetrics and correlation estimates</w:t>
            </w:r>
          </w:p>
        </w:tc>
        <w:tc>
          <w:tcPr>
            <w:tcW w:w="3100" w:type="dxa"/>
          </w:tcPr>
          <w:p>
            <w:pPr>
              <w:pStyle w:val="TableText"/>
              <w:keepLines/>
            </w:pPr>
            <w:r>
              <w:rPr>
                <w:sz w:val="13"/>
                <w:szCs w:val="13"/>
              </w:rPr>
              <w:t xml:space="preserve">Deterministic directional classification; reverse leads and Nifty 50 excluded from H2</w:t>
            </w:r>
          </w:p>
        </w:tc>
        <w:tc>
          <w:tcPr>
            <w:tcW w:w="1300" w:type="dxa"/>
          </w:tcPr>
          <w:p>
            <w:pPr>
              <w:pStyle w:val="TableText"/>
              <w:keepLines/>
            </w:pPr>
            <w:r>
              <w:rPr>
                <w:sz w:val="13"/>
                <w:szCs w:val="13"/>
              </w:rPr>
              <w:t xml:space="preserve">capex_analysis_summary → CapexVerdict</w:t>
            </w:r>
          </w:p>
        </w:tc>
      </w:tr>
    </w:tbl>
    <w:p>
      <w:pPr>
        <w:spacing w:after="80"/>
      </w:pPr>
      <w:r>
        <w:t xml:space="preserve"/>
      </w:r>
    </w:p>
    <w:p>
      <w:pPr>
        <w:pStyle w:val="Heading1"/>
        <w:keepNext/>
      </w:pPr>
      <w:r>
        <w:t xml:space="preserve">7. Core transformation algorithms</w:t>
      </w:r>
    </w:p>
    <w:p>
      <w:pPr>
        <w:pStyle w:val="Heading2"/>
        <w:keepNext/>
      </w:pPr>
      <w:r>
        <w:t xml:space="preserve">Market alignment</w:t>
      </w:r>
    </w:p>
    <w:p>
      <w:pPr>
        <w:pStyle w:val="ListParagraph"/>
        <w:keepLines/>
        <w:ind w:left="240"/>
      </w:pPr>
      <w:r>
        <w:rPr>
          <w:b/>
          <w:color w:val="1F4E78"/>
        </w:rPr>
        <w:t xml:space="preserve">1. </w:t>
      </w:r>
      <w:r>
        <w:t xml:space="preserve">Require Nifty 50, every target and FMCG to contain non-empty price histories.</w:t>
      </w:r>
    </w:p>
    <w:p>
      <w:pPr>
        <w:pStyle w:val="ListParagraph"/>
        <w:keepLines/>
        <w:ind w:left="240"/>
      </w:pPr>
      <w:r>
        <w:rPr>
          <w:b/>
          <w:color w:val="1F4E78"/>
        </w:rPr>
        <w:t xml:space="preserve">2. </w:t>
      </w:r>
      <w:r>
        <w:t xml:space="preserve">Sort by date, retain only rows where every required market has a value, and select the last provider observation in each calendar month.</w:t>
      </w:r>
    </w:p>
    <w:p>
      <w:pPr>
        <w:pStyle w:val="ListParagraph"/>
        <w:keepLines/>
        <w:ind w:left="240"/>
      </w:pPr>
      <w:r>
        <w:rPr>
          <w:b/>
          <w:color w:val="1F4E78"/>
        </w:rPr>
        <w:t xml:space="preserve">3. </w:t>
      </w:r>
      <w:r>
        <w:t xml:space="preserve">Compute monthly total returns with no forward filling.</w:t>
      </w:r>
    </w:p>
    <w:p>
      <w:pPr>
        <w:pStyle w:val="ListParagraph"/>
        <w:keepLines/>
        <w:ind w:left="240"/>
      </w:pPr>
      <w:r>
        <w:rPr>
          <w:b/>
          <w:color w:val="1F4E78"/>
        </w:rPr>
        <w:t xml:space="preserve">4. </w:t>
      </w:r>
      <w:r>
        <w:t xml:space="preserve">For target series, subtract Nifty 50 monthly returns to create excess-return observations.</w:t>
      </w:r>
    </w:p>
    <w:p>
      <w:pPr>
        <w:pStyle w:val="ListParagraph"/>
        <w:keepLines/>
        <w:ind w:left="240"/>
      </w:pPr>
      <w:r>
        <w:rPr>
          <w:b/>
          <w:color w:val="1F4E78"/>
        </w:rPr>
        <w:t xml:space="preserve">5. </w:t>
      </w:r>
      <w:r>
        <w:t xml:space="preserve">Construct relative wealth by compounding the ratio of sector and benchmark gross returns.</w:t>
      </w:r>
    </w:p>
    <w:p>
      <w:pPr>
        <w:pStyle w:val="ListParagraph"/>
        <w:keepLines/>
        <w:ind w:left="240"/>
      </w:pPr>
      <w:r>
        <w:rPr>
          <w:b/>
          <w:color w:val="1F4E78"/>
        </w:rPr>
        <w:t xml:space="preserve">6. </w:t>
      </w:r>
      <w:r>
        <w:t xml:space="preserve">Publish independent rebased TRI levels for the FMCG comparison and stable summary statistics.</w:t>
      </w:r>
    </w:p>
    <w:p>
      <w:pPr>
        <w:pStyle w:val="Heading2"/>
        <w:keepNext/>
      </w:pPr>
      <w:r>
        <w:t xml:space="preserve">Lead/lag alignment</w:t>
      </w:r>
    </w:p>
    <w:p>
      <w:r>
        <w:t xml:space="preserve">capex_growth_series derives annual percentage changes from actual CapEx. For every fiscal end and fixed market window, the transform selects monthly returns strictly inside the registered boundaries, requires at least nine monthly observations, compounds them, and records a value at the CapEx fiscal-end date. Correlation pairs are assembled only from complete matching dates. Fiscal ends 2021 and 2022 are removed only in the registered pandemic sensitivity.</w:t>
      </w:r>
    </w:p>
    <w:p>
      <w:pPr>
        <w:pStyle w:val="Heading2"/>
        <w:keepNext/>
      </w:pPr>
      <w:r>
        <w:t xml:space="preserve">Corporate aggregation</w:t>
      </w:r>
    </w:p>
    <w:p>
      <w:r>
        <w:t xml:space="preserve">Records are sorted by company and date. pandas groupby.pct_change with fill_method=None calculates each company’s level growth. Infinite results are replaced by missing values. The median is then taken across available firms within the frozen group and reporting year. ROCE is a level proxy and is therefore not differenced before the median.</w:t>
      </w:r>
    </w:p>
    <w:p>
      <w:pPr>
        <w:pStyle w:val="Heading2"/>
        <w:keepNext/>
      </w:pPr>
      <w:r>
        <w:t xml:space="preserve">Fiscal bridge</w:t>
      </w:r>
    </w:p>
    <w:p>
      <w:r>
        <w:t xml:space="preserve">The actual CapEx expenditure-share CanonicalRecord in GovernmentMetrics is joined by exact fiscal-end date to the interest-expenditure CanonicalRecord in FiscalMetrics. The allocation ratio divides the two shares; a zero or missing interest denominator is omitted. Observation status is conservatively propagated from the non-actual input when applicable. Only then does build_fiscal_sustainability_payload construct the final JSON dictionary.</w:t>
      </w:r>
    </w:p>
    <w:p>
      <w:pPr>
        <w:pStyle w:val="Heading1"/>
        <w:keepNext/>
      </w:pPr>
      <w:r>
        <w:t xml:space="preserve">8. Full pipeline and analysis orchestration</w:t>
      </w:r>
    </w:p>
    <w:p>
      <w:pPr>
        <w:pStyle w:val="Heading2"/>
        <w:keepNext/>
      </w:pPr>
      <w:r>
        <w:t xml:space="preserve">Central ETL command</w:t>
      </w:r>
    </w:p>
    <w:p>
      <w:pPr>
        <w:pStyle w:val="Code"/>
        <w:keepLines/>
      </w:pPr>
      <w:r>
        <w:t xml:space="preserve">PYTHONPATH=scripts venv/bin/python scripts/build_capex_pipeline.py</w:t>
      </w:r>
    </w:p>
    <w:p>
      <w:r>
        <w:t xml:space="preserve">The central orchestrator runs one visible sequence: Extract, Transform, Validate, Load and Verify. Validation and verification are control gates around ETL rather than additional data layers. The central script is the only analytical executable for both full and targeted runs.</w:t>
      </w:r>
    </w:p>
    <w:p>
      <w:pPr>
        <w:pStyle w:val="Heading2"/>
        <w:keepNext/>
      </w:pPr>
      <w:r>
        <w:t xml:space="preserve">Step 1 — Extract</w:t>
      </w:r>
    </w:p>
    <w:p>
      <w:r>
        <w:t xml:space="preserve">run_pipeline selects live or offline acquisition. Live mode calls acquire_capex_sources with data/raw as the landing root. Provider-specific extractors download source documents, retain checksum- or date-based filenames, parse the relevant tables and return StructuralSources, AnalysisSources and DepthSources. extract_delivery_sources separately parses the tracked sources/capex_delivery_reference.json into DeliverySources. All four containers are placed inside one CapexSources object before Transform begins. Offline mode calls load_landed_capex_sources, selects the latest registered files already under data/raw and reruns the same PDF, HTML and JSON parsers in place. Raw files are evidence: they remain available if a later transform or validation step fails.</w:t>
      </w:r>
    </w:p>
    <w:p>
      <w:pPr>
        <w:pStyle w:val="Heading2"/>
        <w:keepNext/>
      </w:pPr>
      <w:r>
        <w:t xml:space="preserve">Step 2 — Transform</w:t>
      </w:r>
    </w:p>
    <w:p>
      <w:r>
        <w:t xml:space="preserve">build_capex_artifacts receives CapexSources and performs no network or filesystem access. It directly calls calculate_government_metrics, calculate_private_metrics and calculate_fiscal_metrics. These return GovernmentMetrics, PrivateMetrics and FiscalMetrics: frozen dataclasses containing CanonicalRecord tuples and provenance. calculate_private_metrics reads GovernmentMetrics records to build the lagged public-CapEx record. No intermediate metadata/series dictionary exists. build_capex_artifacts then directly calls all thirteen final builders: execution, allocation, delivery, production, sectors, correlations, private, summary, fiscal, corporate, quality, states and crowding-in. Downstream correlation, summary, fiscal-bridge and crowding-in calculations consume typed metrics or typed source observations directly. build_capex_artifacts returns exactly thirteen final-output dictionaries and performs no I/O.</w:t>
      </w:r>
    </w:p>
    <w:p>
      <w:pPr>
        <w:pStyle w:val="Heading2"/>
        <w:keepNext/>
      </w:pPr>
      <w:r>
        <w:t xml:space="preserve">Step 3 — Validate before loading</w:t>
      </w:r>
    </w:p>
    <w:p>
      <w:r>
        <w:t xml:space="preserve">_validate_all_artifacts first requires exactly the thirteen keys in OUTPUTS. _artifact_entries assigns each final payload its registered relative path and schema. validate_payload checks every complete dictionary against its Draft 2020-12 schema. json.dumps then performs a strict serialisation preflight with allow_nan=False. If any payload fails, no processed or public JSON is written; newly acquired immutable raw evidence is retained. Only after all thirteen pass does _select_artifact_entries apply --target.</w:t>
      </w:r>
    </w:p>
    <w:p>
      <w:pPr>
        <w:pStyle w:val="Heading2"/>
        <w:keepNext/>
      </w:pPr>
      <w:r>
        <w:t xml:space="preserve">Step 4 — Load</w:t>
      </w:r>
    </w:p>
    <w:p>
      <w:r>
        <w:t xml:space="preserve">With --target all, _publish_artifacts writes all thirteen validated payloads under data/processed and writes identical copies under frontend/public/data. An output target writes one processed file and its public copy. write_json_atomic serialises to a temporary sibling file, flushes it, calls fsync and replaces the destination with os.replace. Each JSON file is individually atomic, but a multi-file run is not a transaction and has no cross-file rollback.</w:t>
      </w:r>
    </w:p>
    <w:p>
      <w:pPr>
        <w:pStyle w:val="Heading2"/>
        <w:keepNext/>
      </w:pPr>
      <w:r>
        <w:t xml:space="preserve">Step 5 — Verify after loading</w:t>
      </w:r>
    </w:p>
    <w:p>
      <w:r>
        <w:t xml:space="preserve">_verify_written_artifacts reopens every selected processed file and validates it again. For selected final outputs it also compares the processed SHA-256 digest with the browser-facing copy. A mismatch or missing file fails the run visibly. Verification detects publication problems; it does not roll earlier writes back.</w:t>
      </w:r>
    </w:p>
    <w:p>
      <w:pPr>
        <w:pStyle w:val="Heading2"/>
        <w:keepNext/>
      </w:pPr>
      <w:r>
        <w:t xml:space="preserve">Layer boundary</w:t>
      </w:r>
    </w:p>
    <w:p>
      <w:r>
        <w:t xml:space="preserve">extractors/capex_sources.py contains network and landed-file parsing. models/capex_sources.py defines the typed values crossing into the calculation layer. models/capex_metrics.py defines the typed calculation boundary and transforms/capex_metrics.py constructs those metrics. builders/fiscal_outputs.py, market_outputs.py, real_economy_outputs.py and evaluation_outputs.py each expose one function per final output. capex_artifacts.py calls all thirteen functions explicitly. build_capex_pipeline.py owns validation and publication; json_export.py owns one-file atomic replacement.</w:t>
      </w:r>
    </w:p>
    <w:p>
      <w:pPr>
        <w:pStyle w:val="Heading2"/>
        <w:keepNext/>
      </w:pPr>
      <w:r>
        <w:t xml:space="preserve">Explicit call-graph rule</w:t>
      </w:r>
    </w:p>
    <w:p>
      <w:r>
        <w:t xml:space="preserve">Pipeline orchestration functions accept data and configuration values, not behavior. run_pipeline calls acquire_capex_sources or load_landed_capex_sources by name, then directly calls build_capex_artifacts, _validate_all_artifacts, _select_artifact_entries, _publish_artifacts and _verify_written_artifacts. _publish_artifacts directly calls write_json_atomic. Tests exercise these concrete stages with artifact data rather than injecting replacement functions. The production Python contains no lambdas, Callable dependencies or callback configuration.</w:t>
      </w:r>
    </w:p>
    <w:p>
      <w:pPr>
        <w:pStyle w:val="Heading2"/>
        <w:keepNext/>
      </w:pPr>
      <w:r>
        <w:t xml:space="preserve">Immutable-source replay</w:t>
      </w:r>
    </w:p>
    <w:p>
      <w:pPr>
        <w:pStyle w:val="Code"/>
        <w:keepLines/>
      </w:pPr>
      <w:r>
        <w:t xml:space="preserve">PYTHONPATH=scripts venv/bin/python scripts/build_capex_pipeline.py --offline</w:t>
      </w:r>
    </w:p>
    <w:p>
      <w:r>
        <w:t xml:space="preserve">Offline mode selects the latest immutable file for every registered source under data/raw, reads it in place, reruns the production parsers and executes the same transform, validation, load and verification path. It does not treat processed JSON as source input.</w:t>
      </w:r>
    </w:p>
    <w:p>
      <w:pPr>
        <w:pStyle w:val="Heading2"/>
        <w:keepNext/>
      </w:pPr>
      <w:r>
        <w:t xml:space="preserve">Targeted execution</w:t>
      </w:r>
    </w:p>
    <w:p>
      <w:pPr>
        <w:pStyle w:val="Code"/>
        <w:keepLines/>
      </w:pPr>
      <w:r>
        <w:t xml:space="preserve">PYTHONPATH=scripts venv/bin/python scripts/build_capex_pipeline.py --target output:execution</w:t>
      </w:r>
    </w:p>
    <w:p>
      <w:pPr>
        <w:pStyle w:val="Code"/>
        <w:keepLines/>
      </w:pPr>
      <w:r>
        <w:t xml:space="preserve">PYTHONPATH=scripts venv/bin/python scripts/build_capex_pipeline.py --offline --target output:quality</w:t>
      </w:r>
    </w:p>
    <w:p>
      <w:r>
        <w:t xml:space="preserve">The only target namespace is output:&lt;key&gt;; the default is all. Target selection does not create a shorter or different calculation path: every source dependency is acquired, the complete artifact graph is built, and all thirteen payloads validate. It limits only the Load and Verify steps. This preserves one call graph and prevents existing processed JSON from becoming a hidden transformation input.</w:t>
      </w:r>
    </w:p>
    <w:p>
      <w:pPr>
        <w:pStyle w:val="Heading1"/>
        <w:keepNext/>
      </w:pPr>
      <w:r>
        <w:t xml:space="preserve">9. Validation-first, per-file atomic publication</w:t>
      </w:r>
    </w:p>
    <w:p>
      <w:pPr>
        <w:pStyle w:val="ListParagraph"/>
        <w:keepLines/>
        <w:ind w:left="240"/>
      </w:pPr>
      <w:r>
        <w:rPr>
          <w:b/>
          <w:color w:val="1F4E78"/>
        </w:rPr>
        <w:t xml:space="preserve">1. </w:t>
      </w:r>
      <w:r>
        <w:t xml:space="preserve">Raw acquisition writes immutable source evidence directly under data/raw.</w:t>
      </w:r>
    </w:p>
    <w:p>
      <w:pPr>
        <w:pStyle w:val="ListParagraph"/>
        <w:keepLines/>
        <w:ind w:left="240"/>
      </w:pPr>
      <w:r>
        <w:rPr>
          <w:b/>
          <w:color w:val="1F4E78"/>
        </w:rPr>
        <w:t xml:space="preserve">2. </w:t>
      </w:r>
      <w:r>
        <w:t xml:space="preserve">All transforms and payload assembly finish in memory before output publication begins.</w:t>
      </w:r>
    </w:p>
    <w:p>
      <w:pPr>
        <w:pStyle w:val="ListParagraph"/>
        <w:keepLines/>
        <w:ind w:left="240"/>
      </w:pPr>
      <w:r>
        <w:rPr>
          <w:b/>
          <w:color w:val="1F4E78"/>
        </w:rPr>
        <w:t xml:space="preserve">3. </w:t>
      </w:r>
      <w:r>
        <w:t xml:space="preserve">The builder must return exactly all thirteen registered final CapEx keys.</w:t>
      </w:r>
    </w:p>
    <w:p>
      <w:pPr>
        <w:pStyle w:val="ListParagraph"/>
        <w:keepLines/>
        <w:ind w:left="240"/>
      </w:pPr>
      <w:r>
        <w:rPr>
          <w:b/>
          <w:color w:val="1F4E78"/>
        </w:rPr>
        <w:t xml:space="preserve">4. </w:t>
      </w:r>
      <w:r>
        <w:t xml:space="preserve">Every payload is schema-validated and strictly serialisation-tested with allow_nan=False.</w:t>
      </w:r>
    </w:p>
    <w:p>
      <w:pPr>
        <w:pStyle w:val="ListParagraph"/>
        <w:keepLines/>
        <w:ind w:left="240"/>
      </w:pPr>
      <w:r>
        <w:rPr>
          <w:b/>
          <w:color w:val="1F4E78"/>
        </w:rPr>
        <w:t xml:space="preserve">5. </w:t>
      </w:r>
      <w:r>
        <w:t xml:space="preserve">Each processed and public JSON uses temporary-file, fsync and os.replace publication.</w:t>
      </w:r>
    </w:p>
    <w:p>
      <w:pPr>
        <w:pStyle w:val="ListParagraph"/>
        <w:keepLines/>
        <w:ind w:left="240"/>
      </w:pPr>
      <w:r>
        <w:rPr>
          <w:b/>
          <w:color w:val="1F4E78"/>
        </w:rPr>
        <w:t xml:space="preserve">6. </w:t>
      </w:r>
      <w:r>
        <w:t xml:space="preserve">There is no backup tree or run-level rollback; a failure between files may leave a mixed output generation.</w:t>
      </w:r>
    </w:p>
    <w:p>
      <w:pPr>
        <w:pStyle w:val="ListParagraph"/>
        <w:keepLines/>
        <w:ind w:left="240"/>
      </w:pPr>
      <w:r>
        <w:rPr>
          <w:b/>
          <w:color w:val="1F4E78"/>
        </w:rPr>
        <w:t xml:space="preserve">7. </w:t>
      </w:r>
      <w:r>
        <w:t xml:space="preserve">The operator reruns the complete idempotent ETL after correcting any publication failure.</w:t>
      </w:r>
    </w:p>
    <w:p>
      <w:pPr>
        <w:pStyle w:val="ListParagraph"/>
        <w:keepLines/>
        <w:ind w:left="240"/>
      </w:pPr>
      <w:r>
        <w:rPr>
          <w:b/>
          <w:color w:val="1F4E78"/>
        </w:rPr>
        <w:t xml:space="preserve">8. </w:t>
      </w:r>
      <w:r>
        <w:t xml:space="preserve">Every final processed/public pair is revalidated and checked for equal SHA-256 content.</w:t>
      </w:r>
    </w:p>
    <w:p>
      <w:r>
        <w:t xml:space="preserve">This design deliberately favours an understandable validation gate and safe individual files over a filesystem approximation of a database transaction. Full and targeted publication both use the same write_json_atomic implementation in the central ETL.</w:t>
      </w:r>
    </w:p>
    <w:p>
      <w:pPr>
        <w:pStyle w:val="Heading1"/>
        <w:keepNext/>
      </w:pPr>
      <w:r>
        <w:t xml:space="preserve">10. Catalogue and frontend integration</w:t>
      </w:r>
    </w:p>
    <w:p>
      <w:pPr>
        <w:pStyle w:val="Heading2"/>
        <w:keepNext/>
      </w:pPr>
      <w:r>
        <w:t xml:space="preserve">Catalogue generation</w:t>
      </w:r>
    </w:p>
    <w:p>
      <w:r>
        <w:t xml:space="preserve">sync_focused_catalogue removes any previous generated capex-transmission section, registers twelve chart assets, builds eleven ordered stage indicators and validates the completed catalogue. The summary artifact is intentionally loaded by the CapexVerdict component rather than counted as a chart asset.</w:t>
      </w:r>
    </w:p>
    <w:tbl>
      <w:tblPr>
        <w:tblStyle w:val="ArchitectureTable"/>
        <w:tblW w:w="0" w:type="auto"/>
        <w:tblLayout w:type="fixed"/>
      </w:tblPr>
      <w:tblGrid>
        <w:gridCol w:w="2400"/>
        <w:gridCol w:w="2200"/>
        <w:gridCol w:w="4400"/>
      </w:tblGrid>
      <w:tr>
        <w:trPr>
          <w:tblHeader/>
          <w:cantSplit/>
        </w:trPr>
        <w:tc>
          <w:tcPr>
            <w:tcW w:w="2400" w:type="dxa"/>
            <w:shd w:val="clear" w:color="auto" w:fill="1F4E78"/>
          </w:tcPr>
          <w:p>
            <w:pPr>
              <w:pStyle w:val="TableText"/>
              <w:keepLines/>
            </w:pPr>
            <w:r>
              <w:rPr>
                <w:b/>
                <w:color w:val="FFFFFF"/>
                <w:sz w:val="15"/>
                <w:szCs w:val="15"/>
              </w:rPr>
              <w:t xml:space="preserve">Component</w:t>
            </w:r>
          </w:p>
        </w:tc>
        <w:tc>
          <w:tcPr>
            <w:tcW w:w="2200" w:type="dxa"/>
            <w:shd w:val="clear" w:color="auto" w:fill="1F4E78"/>
          </w:tcPr>
          <w:p>
            <w:pPr>
              <w:pStyle w:val="TableText"/>
              <w:keepLines/>
            </w:pPr>
            <w:r>
              <w:rPr>
                <w:b/>
                <w:color w:val="FFFFFF"/>
                <w:sz w:val="15"/>
                <w:szCs w:val="15"/>
              </w:rPr>
              <w:t xml:space="preserve">Schema</w:t>
            </w:r>
          </w:p>
        </w:tc>
        <w:tc>
          <w:tcPr>
            <w:tcW w:w="4400" w:type="dxa"/>
            <w:shd w:val="clear" w:color="auto" w:fill="1F4E78"/>
          </w:tcPr>
          <w:p>
            <w:pPr>
              <w:pStyle w:val="TableText"/>
              <w:keepLines/>
            </w:pPr>
            <w:r>
              <w:rPr>
                <w:b/>
                <w:color w:val="FFFFFF"/>
                <w:sz w:val="15"/>
                <w:szCs w:val="15"/>
              </w:rPr>
              <w:t xml:space="preserve">Responsibility</w:t>
            </w:r>
          </w:p>
        </w:tc>
      </w:tr>
      <w:tr>
        <w:trPr>
          <w:cantSplit/>
        </w:trPr>
        <w:tc>
          <w:tcPr>
            <w:tcW w:w="2400" w:type="dxa"/>
          </w:tcPr>
          <w:p>
            <w:pPr>
              <w:pStyle w:val="TableText"/>
              <w:keepLines/>
            </w:pPr>
            <w:r>
              <w:rPr>
                <w:sz w:val="15"/>
                <w:szCs w:val="15"/>
              </w:rPr>
              <w:t xml:space="preserve">ChartView</w:t>
            </w:r>
          </w:p>
        </w:tc>
        <w:tc>
          <w:tcPr>
            <w:tcW w:w="2200" w:type="dxa"/>
          </w:tcPr>
          <w:p>
            <w:pPr>
              <w:pStyle w:val="TableText"/>
              <w:keepLines/>
            </w:pPr>
            <w:r>
              <w:rPr>
                <w:sz w:val="15"/>
                <w:szCs w:val="15"/>
              </w:rPr>
              <w:t xml:space="preserve">dated_multi_series or market_performance</w:t>
            </w:r>
          </w:p>
        </w:tc>
        <w:tc>
          <w:tcPr>
            <w:tcW w:w="4400" w:type="dxa"/>
          </w:tcPr>
          <w:p>
            <w:pPr>
              <w:pStyle w:val="TableText"/>
              <w:keepLines/>
            </w:pPr>
            <w:r>
              <w:rPr>
                <w:sz w:val="15"/>
                <w:szCs w:val="15"/>
              </w:rPr>
              <w:t xml:space="preserve">General line rendering, stable series colours, toggles, tooltips and legends.</w:t>
            </w:r>
          </w:p>
        </w:tc>
      </w:tr>
      <w:tr>
        <w:trPr>
          <w:cantSplit/>
        </w:trPr>
        <w:tc>
          <w:tcPr>
            <w:tcW w:w="2400" w:type="dxa"/>
          </w:tcPr>
          <w:p>
            <w:pPr>
              <w:pStyle w:val="TableText"/>
              <w:keepLines/>
            </w:pPr>
            <w:r>
              <w:rPr>
                <w:sz w:val="15"/>
                <w:szCs w:val="15"/>
              </w:rPr>
              <w:t xml:space="preserve">CapexCorrelationView</w:t>
            </w:r>
          </w:p>
        </w:tc>
        <w:tc>
          <w:tcPr>
            <w:tcW w:w="2200" w:type="dxa"/>
          </w:tcPr>
          <w:p>
            <w:pPr>
              <w:pStyle w:val="TableText"/>
              <w:keepLines/>
            </w:pPr>
            <w:r>
              <w:rPr>
                <w:sz w:val="15"/>
                <w:szCs w:val="15"/>
              </w:rPr>
              <w:t xml:space="preserve">dated_multi_series</w:t>
            </w:r>
          </w:p>
        </w:tc>
        <w:tc>
          <w:tcPr>
            <w:tcW w:w="4400" w:type="dxa"/>
          </w:tcPr>
          <w:p>
            <w:pPr>
              <w:pStyle w:val="TableText"/>
              <w:keepLines/>
            </w:pPr>
            <w:r>
              <w:rPr>
                <w:sz w:val="15"/>
                <w:szCs w:val="15"/>
              </w:rPr>
              <w:t xml:space="preserve">Timing controls, heatmap, detailed and mini scatter plots, coefficients and fitted lines.</w:t>
            </w:r>
          </w:p>
        </w:tc>
      </w:tr>
      <w:tr>
        <w:trPr>
          <w:cantSplit/>
        </w:trPr>
        <w:tc>
          <w:tcPr>
            <w:tcW w:w="2400" w:type="dxa"/>
          </w:tcPr>
          <w:p>
            <w:pPr>
              <w:pStyle w:val="TableText"/>
              <w:keepLines/>
            </w:pPr>
            <w:r>
              <w:rPr>
                <w:sz w:val="15"/>
                <w:szCs w:val="15"/>
              </w:rPr>
              <w:t xml:space="preserve">CorporateFundamentalsView</w:t>
            </w:r>
          </w:p>
        </w:tc>
        <w:tc>
          <w:tcPr>
            <w:tcW w:w="2200" w:type="dxa"/>
          </w:tcPr>
          <w:p>
            <w:pPr>
              <w:pStyle w:val="TableText"/>
              <w:keepLines/>
            </w:pPr>
            <w:r>
              <w:rPr>
                <w:sz w:val="15"/>
                <w:szCs w:val="15"/>
              </w:rPr>
              <w:t xml:space="preserve">dated_multi_series</w:t>
            </w:r>
          </w:p>
        </w:tc>
        <w:tc>
          <w:tcPr>
            <w:tcW w:w="4400" w:type="dxa"/>
          </w:tcPr>
          <w:p>
            <w:pPr>
              <w:pStyle w:val="TableText"/>
              <w:keepLines/>
            </w:pPr>
            <w:r>
              <w:rPr>
                <w:sz w:val="15"/>
                <w:szCs w:val="15"/>
              </w:rPr>
              <w:t xml:space="preserve">Metric tabs, group-median bars and basket coverage.</w:t>
            </w:r>
          </w:p>
        </w:tc>
      </w:tr>
      <w:tr>
        <w:trPr>
          <w:cantSplit/>
        </w:trPr>
        <w:tc>
          <w:tcPr>
            <w:tcW w:w="2400" w:type="dxa"/>
          </w:tcPr>
          <w:p>
            <w:pPr>
              <w:pStyle w:val="TableText"/>
              <w:keepLines/>
            </w:pPr>
            <w:r>
              <w:rPr>
                <w:sz w:val="15"/>
                <w:szCs w:val="15"/>
              </w:rPr>
              <w:t xml:space="preserve">FiscalBridgeView</w:t>
            </w:r>
          </w:p>
        </w:tc>
        <w:tc>
          <w:tcPr>
            <w:tcW w:w="2200" w:type="dxa"/>
          </w:tcPr>
          <w:p>
            <w:pPr>
              <w:pStyle w:val="TableText"/>
              <w:keepLines/>
            </w:pPr>
            <w:r>
              <w:rPr>
                <w:sz w:val="15"/>
                <w:szCs w:val="15"/>
              </w:rPr>
              <w:t xml:space="preserve">dated_multi_series</w:t>
            </w:r>
          </w:p>
        </w:tc>
        <w:tc>
          <w:tcPr>
            <w:tcW w:w="4400" w:type="dxa"/>
          </w:tcPr>
          <w:p>
            <w:pPr>
              <w:pStyle w:val="TableText"/>
              <w:keepLines/>
            </w:pPr>
            <w:r>
              <w:rPr>
                <w:sz w:val="15"/>
                <w:szCs w:val="15"/>
              </w:rPr>
              <w:t xml:space="preserve">Allocation ratio, evidence chain and fiscal quadrant scatter.</w:t>
            </w:r>
          </w:p>
        </w:tc>
      </w:tr>
      <w:tr>
        <w:trPr>
          <w:cantSplit/>
        </w:trPr>
        <w:tc>
          <w:tcPr>
            <w:tcW w:w="2400" w:type="dxa"/>
          </w:tcPr>
          <w:p>
            <w:pPr>
              <w:pStyle w:val="TableText"/>
              <w:keepLines/>
            </w:pPr>
            <w:r>
              <w:rPr>
                <w:sz w:val="15"/>
                <w:szCs w:val="15"/>
              </w:rPr>
              <w:t xml:space="preserve">InvestmentQualityView</w:t>
            </w:r>
          </w:p>
        </w:tc>
        <w:tc>
          <w:tcPr>
            <w:tcW w:w="2200" w:type="dxa"/>
          </w:tcPr>
          <w:p>
            <w:pPr>
              <w:pStyle w:val="TableText"/>
              <w:keepLines/>
            </w:pPr>
            <w:r>
              <w:rPr>
                <w:sz w:val="15"/>
                <w:szCs w:val="15"/>
              </w:rPr>
              <w:t xml:space="preserve">dated_multi_series</w:t>
            </w:r>
          </w:p>
        </w:tc>
        <w:tc>
          <w:tcPr>
            <w:tcW w:w="4400" w:type="dxa"/>
          </w:tcPr>
          <w:p>
            <w:pPr>
              <w:pStyle w:val="TableText"/>
              <w:keepLines/>
            </w:pPr>
            <w:r>
              <w:rPr>
                <w:sz w:val="15"/>
                <w:szCs w:val="15"/>
              </w:rPr>
              <w:t xml:space="preserve">Sector/year delivery trends and latest-year delay/overrun map.</w:t>
            </w:r>
          </w:p>
        </w:tc>
      </w:tr>
      <w:tr>
        <w:trPr>
          <w:cantSplit/>
        </w:trPr>
        <w:tc>
          <w:tcPr>
            <w:tcW w:w="2400" w:type="dxa"/>
          </w:tcPr>
          <w:p>
            <w:pPr>
              <w:pStyle w:val="TableText"/>
              <w:keepLines/>
            </w:pPr>
            <w:r>
              <w:rPr>
                <w:sz w:val="15"/>
                <w:szCs w:val="15"/>
              </w:rPr>
              <w:t xml:space="preserve">CrowdingInView</w:t>
            </w:r>
          </w:p>
        </w:tc>
        <w:tc>
          <w:tcPr>
            <w:tcW w:w="2200" w:type="dxa"/>
          </w:tcPr>
          <w:p>
            <w:pPr>
              <w:pStyle w:val="TableText"/>
              <w:keepLines/>
            </w:pPr>
            <w:r>
              <w:rPr>
                <w:sz w:val="15"/>
                <w:szCs w:val="15"/>
              </w:rPr>
              <w:t xml:space="preserve">dated_multi_series</w:t>
            </w:r>
          </w:p>
        </w:tc>
        <w:tc>
          <w:tcPr>
            <w:tcW w:w="4400" w:type="dxa"/>
          </w:tcPr>
          <w:p>
            <w:pPr>
              <w:pStyle w:val="TableText"/>
              <w:keepLines/>
            </w:pPr>
            <w:r>
              <w:rPr>
                <w:sz w:val="15"/>
                <w:szCs w:val="15"/>
              </w:rPr>
              <w:t xml:space="preserve">Outcome/lag selection, sample gates, scatter and fitted line.</w:t>
            </w:r>
          </w:p>
        </w:tc>
      </w:tr>
      <w:tr>
        <w:trPr>
          <w:cantSplit/>
        </w:trPr>
        <w:tc>
          <w:tcPr>
            <w:tcW w:w="2400" w:type="dxa"/>
          </w:tcPr>
          <w:p>
            <w:pPr>
              <w:pStyle w:val="TableText"/>
              <w:keepLines/>
            </w:pPr>
            <w:r>
              <w:rPr>
                <w:sz w:val="15"/>
                <w:szCs w:val="15"/>
              </w:rPr>
              <w:t xml:space="preserve">StateCapexEvaluationView</w:t>
            </w:r>
          </w:p>
        </w:tc>
        <w:tc>
          <w:tcPr>
            <w:tcW w:w="2200" w:type="dxa"/>
          </w:tcPr>
          <w:p>
            <w:pPr>
              <w:pStyle w:val="TableText"/>
              <w:keepLines/>
            </w:pPr>
            <w:r>
              <w:rPr>
                <w:sz w:val="15"/>
                <w:szCs w:val="15"/>
              </w:rPr>
              <w:t xml:space="preserve">dated_multi_series</w:t>
            </w:r>
          </w:p>
        </w:tc>
        <w:tc>
          <w:tcPr>
            <w:tcW w:w="4400" w:type="dxa"/>
          </w:tcPr>
          <w:p>
            <w:pPr>
              <w:pStyle w:val="TableText"/>
              <w:keepLines/>
            </w:pPr>
            <w:r>
              <w:rPr>
                <w:sz w:val="15"/>
                <w:szCs w:val="15"/>
              </w:rPr>
              <w:t xml:space="preserve">State/year filtering and fixed-effects result interpretation.</w:t>
            </w:r>
          </w:p>
        </w:tc>
      </w:tr>
      <w:tr>
        <w:trPr>
          <w:cantSplit/>
        </w:trPr>
        <w:tc>
          <w:tcPr>
            <w:tcW w:w="2400" w:type="dxa"/>
          </w:tcPr>
          <w:p>
            <w:pPr>
              <w:pStyle w:val="TableText"/>
              <w:keepLines/>
            </w:pPr>
            <w:r>
              <w:rPr>
                <w:sz w:val="15"/>
                <w:szCs w:val="15"/>
              </w:rPr>
              <w:t xml:space="preserve">CapexScenarioLab</w:t>
            </w:r>
          </w:p>
        </w:tc>
        <w:tc>
          <w:tcPr>
            <w:tcW w:w="2200" w:type="dxa"/>
          </w:tcPr>
          <w:p>
            <w:pPr>
              <w:pStyle w:val="TableText"/>
              <w:keepLines/>
            </w:pPr>
            <w:r>
              <w:rPr>
                <w:sz w:val="15"/>
                <w:szCs w:val="15"/>
              </w:rPr>
              <w:t xml:space="preserve">dated_multi_series</w:t>
            </w:r>
          </w:p>
        </w:tc>
        <w:tc>
          <w:tcPr>
            <w:tcW w:w="4400" w:type="dxa"/>
          </w:tcPr>
          <w:p>
            <w:pPr>
              <w:pStyle w:val="TableText"/>
              <w:keepLines/>
            </w:pPr>
            <w:r>
              <w:rPr>
                <w:sz w:val="15"/>
                <w:szCs w:val="15"/>
              </w:rPr>
              <w:t xml:space="preserve">Dynamic baseline, Monte Carlo paths, tornado, frontier, backtest and KPIs.</w:t>
            </w:r>
          </w:p>
        </w:tc>
      </w:tr>
      <w:tr>
        <w:trPr>
          <w:cantSplit/>
        </w:trPr>
        <w:tc>
          <w:tcPr>
            <w:tcW w:w="2400" w:type="dxa"/>
          </w:tcPr>
          <w:p>
            <w:pPr>
              <w:pStyle w:val="TableText"/>
              <w:keepLines/>
            </w:pPr>
            <w:r>
              <w:rPr>
                <w:sz w:val="15"/>
                <w:szCs w:val="15"/>
              </w:rPr>
              <w:t xml:space="preserve">CapexVerdict</w:t>
            </w:r>
          </w:p>
        </w:tc>
        <w:tc>
          <w:tcPr>
            <w:tcW w:w="2200" w:type="dxa"/>
          </w:tcPr>
          <w:p>
            <w:pPr>
              <w:pStyle w:val="TableText"/>
              <w:keepLines/>
            </w:pPr>
            <w:r>
              <w:rPr>
                <w:sz w:val="15"/>
                <w:szCs w:val="15"/>
              </w:rPr>
              <w:t xml:space="preserve">capex_analysis_summary</w:t>
            </w:r>
          </w:p>
        </w:tc>
        <w:tc>
          <w:tcPr>
            <w:tcW w:w="4400" w:type="dxa"/>
          </w:tcPr>
          <w:p>
            <w:pPr>
              <w:pStyle w:val="TableText"/>
              <w:keepLines/>
            </w:pPr>
            <w:r>
              <w:rPr>
                <w:sz w:val="15"/>
                <w:szCs w:val="15"/>
              </w:rPr>
              <w:t xml:space="preserve">Directly loads and renders deterministic hypothesis statuses.</w:t>
            </w:r>
          </w:p>
        </w:tc>
      </w:tr>
      <w:tr>
        <w:trPr>
          <w:cantSplit/>
        </w:trPr>
        <w:tc>
          <w:tcPr>
            <w:tcW w:w="2400" w:type="dxa"/>
          </w:tcPr>
          <w:p>
            <w:pPr>
              <w:pStyle w:val="TableText"/>
              <w:keepLines/>
            </w:pPr>
            <w:r>
              <w:rPr>
                <w:sz w:val="15"/>
                <w:szCs w:val="15"/>
              </w:rPr>
              <w:t xml:space="preserve">SourcePanel</w:t>
            </w:r>
          </w:p>
        </w:tc>
        <w:tc>
          <w:tcPr>
            <w:tcW w:w="2200" w:type="dxa"/>
          </w:tcPr>
          <w:p>
            <w:pPr>
              <w:pStyle w:val="TableText"/>
              <w:keepLines/>
            </w:pPr>
            <w:r>
              <w:rPr>
                <w:sz w:val="15"/>
                <w:szCs w:val="15"/>
              </w:rPr>
              <w:t xml:space="preserve">Payload metadata</w:t>
            </w:r>
          </w:p>
        </w:tc>
        <w:tc>
          <w:tcPr>
            <w:tcW w:w="4400" w:type="dxa"/>
          </w:tcPr>
          <w:p>
            <w:pPr>
              <w:pStyle w:val="TableText"/>
              <w:keepLines/>
            </w:pPr>
            <w:r>
              <w:rPr>
                <w:sz w:val="15"/>
                <w:szCs w:val="15"/>
              </w:rPr>
              <w:t xml:space="preserve">Displays source and methodology provenance beside every chart.</w:t>
            </w:r>
          </w:p>
        </w:tc>
      </w:tr>
    </w:tbl>
    <w:p>
      <w:pPr>
        <w:spacing w:after="80"/>
      </w:pPr>
      <w:r>
        <w:t xml:space="preserve"/>
      </w:r>
    </w:p>
    <w:p>
      <w:pPr>
        <w:pStyle w:val="Heading2"/>
        <w:keepNext/>
      </w:pPr>
      <w:r>
        <w:t xml:space="preserve">Runtime loading</w:t>
      </w:r>
    </w:p>
    <w:p>
      <w:r>
        <w:t xml:space="preserve">useIndicatorData builds a React Query key from data_path and asset version, then loadStaticAsset fetches the browser JSON. detectSchema inspects structural discriminators. assertPayload verifies the catalogue’s declared schema, and assertAdapterMatchesSchema verifies the selected component. This is a runtime defence in addition to TypeScript and build-time AJV validation.</w:t>
      </w:r>
    </w:p>
    <w:p>
      <w:pPr>
        <w:pStyle w:val="Heading2"/>
        <w:keepNext/>
      </w:pPr>
      <w:r>
        <w:t xml:space="preserve">Stable colours and view state</w:t>
      </w:r>
    </w:p>
    <w:p>
      <w:r>
        <w:t xml:space="preserve">General line colours use the series’ position in the full registered key list, not the current visible list. A series therefore retains its colour after other lines are hidden and restored. ChartView is keyed by view ID so switching between allocation and delivery creates clean state rather than leaking visible keys across incompatible assets.</w:t>
      </w:r>
    </w:p>
    <w:p>
      <w:pPr>
        <w:pStyle w:val="Heading1"/>
        <w:keepNext/>
      </w:pPr>
      <w:r>
        <w:t xml:space="preserve">11. Scenario-lab implementation</w:t>
      </w:r>
    </w:p>
    <w:p>
      <w:r>
        <w:t xml:space="preserve">CapexScenarioLab remains a frontend calculation so analysts receive instant feedback without server state. Presets are immutable parameter objects; moving a range input marks the state Custom. useMemo recalculates the deterministic path, 1,200 fixed-seed draws, break-even multiplier, sensitivity ranking and historical one-step backtest whenever an assumption or debt baseline changes.</w:t>
      </w:r>
    </w:p>
    <w:p>
      <w:pPr>
        <w:pStyle w:val="Code"/>
        <w:keepLines/>
      </w:pPr>
      <w:r>
        <w:t xml:space="preserve">delivered = capex × execution</w:t>
      </w:r>
    </w:p>
    <w:p>
      <w:pPr>
        <w:pStyle w:val="Code"/>
        <w:keepLines/>
      </w:pPr>
      <w:r>
        <w:t xml:space="preserve">productive = delivered / (1 + overrun)</w:t>
      </w:r>
    </w:p>
    <w:p>
      <w:pPr>
        <w:pStyle w:val="Code"/>
        <w:keepLines/>
      </w:pPr>
      <w:r>
        <w:t xml:space="preserve">annualImpact = productive × (multiplier + crowdIn)</w:t>
      </w:r>
    </w:p>
    <w:p>
      <w:pPr>
        <w:pStyle w:val="Code"/>
        <w:keepLines/>
      </w:pPr>
      <w:r>
        <w:t xml:space="preserve">baselineDebtₜ = baselineDebtₜ₋₁ × (1+interest)/(1+growth) − primaryBalance</w:t>
      </w:r>
    </w:p>
    <w:p>
      <w:pPr>
        <w:pStyle w:val="Code"/>
        <w:keepLines/>
      </w:pPr>
      <w:r>
        <w:t xml:space="preserve">incrementalDebtₜ = incrementalDebtₜ₋₁ × (1+interest)/(1+growth) + delivered×borrowingShare − benefitₜ×revenueShare</w:t>
      </w:r>
    </w:p>
    <w:p>
      <w:pPr>
        <w:pStyle w:val="Code"/>
        <w:keepLines/>
      </w:pPr>
      <w:r>
        <w:t xml:space="preserve">scenarioDebtₜ = (baselineDebtₜ + incrementalDebtₜ) / (1 + cumulativeGDPₜ/100)</w:t>
      </w:r>
    </w:p>
    <w:p>
      <w:r>
        <w:t xml:space="preserve">latestSettled filters out budget and estimate statuses before selecting the starting debt observation. The component does not mutate or publish data. It renders a conditional scenario against a dynamic debt baseline. Parameter values and results disappear on page reload because no persistence is intended.</w:t>
      </w:r>
    </w:p>
    <w:p>
      <w:pPr>
        <w:keepLines/>
        <w:spacing w:before="120" w:after="160"/>
        <w:ind w:left="180"/>
        <w:pBdr>
          <w:left w:val="single" w:sz="18" w:space="10" w:color="A33D4A"/>
        </w:pBdr>
        <w:shd w:val="clear" w:color="auto" w:fill="FFF1F2"/>
      </w:pPr>
      <w:r>
        <w:rPr>
          <w:b/>
          <w:color w:val="A33D4A"/>
        </w:rPr>
        <w:t xml:space="preserve">Model versioning recommendation  </w:t>
      </w:r>
      <w:r>
        <w:t xml:space="preserve">Before the model is used in a formal published forecast, move preset/range definitions and formula-version metadata into a validated scenario-model contract, add unit tests around a shared pure calculation module, estimate correlated parameter distributions, and expose a downloadable assumption/result record.</w:t>
      </w:r>
    </w:p>
    <w:p>
      <w:pPr>
        <w:pStyle w:val="Heading1"/>
        <w:keepNext/>
      </w:pPr>
      <w:r>
        <w:t xml:space="preserve">12. Testing and verification</w:t>
      </w:r>
    </w:p>
    <w:tbl>
      <w:tblPr>
        <w:tblStyle w:val="ArchitectureTable"/>
        <w:tblW w:w="0" w:type="auto"/>
        <w:tblLayout w:type="fixed"/>
      </w:tblPr>
      <w:tblGrid>
        <w:gridCol w:w="1800"/>
        <w:gridCol w:w="4400"/>
        <w:gridCol w:w="2800"/>
      </w:tblGrid>
      <w:tr>
        <w:trPr>
          <w:tblHeader/>
          <w:cantSplit/>
        </w:trPr>
        <w:tc>
          <w:tcPr>
            <w:tcW w:w="1800" w:type="dxa"/>
            <w:shd w:val="clear" w:color="auto" w:fill="1F4E78"/>
          </w:tcPr>
          <w:p>
            <w:pPr>
              <w:pStyle w:val="TableText"/>
              <w:keepLines/>
            </w:pPr>
            <w:r>
              <w:rPr>
                <w:b/>
                <w:color w:val="FFFFFF"/>
                <w:sz w:val="14"/>
                <w:szCs w:val="14"/>
              </w:rPr>
              <w:t xml:space="preserve">Check</w:t>
            </w:r>
          </w:p>
        </w:tc>
        <w:tc>
          <w:tcPr>
            <w:tcW w:w="4400" w:type="dxa"/>
            <w:shd w:val="clear" w:color="auto" w:fill="1F4E78"/>
          </w:tcPr>
          <w:p>
            <w:pPr>
              <w:pStyle w:val="TableText"/>
              <w:keepLines/>
            </w:pPr>
            <w:r>
              <w:rPr>
                <w:b/>
                <w:color w:val="FFFFFF"/>
                <w:sz w:val="14"/>
                <w:szCs w:val="14"/>
              </w:rPr>
              <w:t xml:space="preserve">Command</w:t>
            </w:r>
          </w:p>
        </w:tc>
        <w:tc>
          <w:tcPr>
            <w:tcW w:w="2800" w:type="dxa"/>
            <w:shd w:val="clear" w:color="auto" w:fill="1F4E78"/>
          </w:tcPr>
          <w:p>
            <w:pPr>
              <w:pStyle w:val="TableText"/>
              <w:keepLines/>
            </w:pPr>
            <w:r>
              <w:rPr>
                <w:b/>
                <w:color w:val="FFFFFF"/>
                <w:sz w:val="14"/>
                <w:szCs w:val="14"/>
              </w:rPr>
              <w:t xml:space="preserve">What it protects</w:t>
            </w:r>
          </w:p>
        </w:tc>
      </w:tr>
      <w:tr>
        <w:trPr>
          <w:cantSplit/>
        </w:trPr>
        <w:tc>
          <w:tcPr>
            <w:tcW w:w="1800" w:type="dxa"/>
          </w:tcPr>
          <w:p>
            <w:pPr>
              <w:pStyle w:val="TableText"/>
              <w:keepLines/>
            </w:pPr>
            <w:r>
              <w:rPr>
                <w:sz w:val="14"/>
                <w:szCs w:val="14"/>
              </w:rPr>
              <w:t xml:space="preserve">Backend suite</w:t>
            </w:r>
          </w:p>
        </w:tc>
        <w:tc>
          <w:tcPr>
            <w:tcW w:w="4400" w:type="dxa"/>
          </w:tcPr>
          <w:p>
            <w:pPr>
              <w:pStyle w:val="TableText"/>
              <w:keepLines/>
            </w:pPr>
            <w:r>
              <w:rPr>
                <w:sz w:val="14"/>
                <w:szCs w:val="14"/>
              </w:rPr>
              <w:t xml:space="preserve">PYTHONPATH=scripts venv/bin/python -m unittest discover -s tests -p 'test_*.py'</w:t>
            </w:r>
          </w:p>
        </w:tc>
        <w:tc>
          <w:tcPr>
            <w:tcW w:w="2800" w:type="dxa"/>
          </w:tcPr>
          <w:p>
            <w:pPr>
              <w:pStyle w:val="TableText"/>
              <w:keepLines/>
            </w:pPr>
            <w:r>
              <w:rPr>
                <w:sz w:val="14"/>
                <w:szCs w:val="14"/>
              </w:rPr>
              <w:t xml:space="preserve">Tests cover CapEx transforms, registered lag windows, source parsers, schemas and the CapEx-only publication boundary.</w:t>
            </w:r>
          </w:p>
        </w:tc>
      </w:tr>
      <w:tr>
        <w:trPr>
          <w:cantSplit/>
        </w:trPr>
        <w:tc>
          <w:tcPr>
            <w:tcW w:w="1800" w:type="dxa"/>
          </w:tcPr>
          <w:p>
            <w:pPr>
              <w:pStyle w:val="TableText"/>
              <w:keepLines/>
            </w:pPr>
            <w:r>
              <w:rPr>
                <w:sz w:val="14"/>
                <w:szCs w:val="14"/>
              </w:rPr>
              <w:t xml:space="preserve">Static-data validation</w:t>
            </w:r>
          </w:p>
        </w:tc>
        <w:tc>
          <w:tcPr>
            <w:tcW w:w="4400" w:type="dxa"/>
          </w:tcPr>
          <w:p>
            <w:pPr>
              <w:pStyle w:val="TableText"/>
              <w:keepLines/>
            </w:pPr>
            <w:r>
              <w:rPr>
                <w:sz w:val="14"/>
                <w:szCs w:val="14"/>
              </w:rPr>
              <w:t xml:space="preserve">cd frontend &amp;&amp; npm run validate:data</w:t>
            </w:r>
          </w:p>
        </w:tc>
        <w:tc>
          <w:tcPr>
            <w:tcW w:w="2800" w:type="dxa"/>
          </w:tcPr>
          <w:p>
            <w:pPr>
              <w:pStyle w:val="TableText"/>
              <w:keepLines/>
            </w:pPr>
            <w:r>
              <w:rPr>
                <w:sz w:val="14"/>
                <w:szCs w:val="14"/>
              </w:rPr>
              <w:t xml:space="preserve">Catalogue schema, all referenced assets, adapter/schema compatibility, metadata coverage and duplicates.</w:t>
            </w:r>
          </w:p>
        </w:tc>
      </w:tr>
      <w:tr>
        <w:trPr>
          <w:cantSplit/>
        </w:trPr>
        <w:tc>
          <w:tcPr>
            <w:tcW w:w="1800" w:type="dxa"/>
          </w:tcPr>
          <w:p>
            <w:pPr>
              <w:pStyle w:val="TableText"/>
              <w:keepLines/>
            </w:pPr>
            <w:r>
              <w:rPr>
                <w:sz w:val="14"/>
                <w:szCs w:val="14"/>
              </w:rPr>
              <w:t xml:space="preserve">Type checking</w:t>
            </w:r>
          </w:p>
        </w:tc>
        <w:tc>
          <w:tcPr>
            <w:tcW w:w="4400" w:type="dxa"/>
          </w:tcPr>
          <w:p>
            <w:pPr>
              <w:pStyle w:val="TableText"/>
              <w:keepLines/>
            </w:pPr>
            <w:r>
              <w:rPr>
                <w:sz w:val="14"/>
                <w:szCs w:val="14"/>
              </w:rPr>
              <w:t xml:space="preserve">cd frontend &amp;&amp; npx tsc --noEmit</w:t>
            </w:r>
          </w:p>
        </w:tc>
        <w:tc>
          <w:tcPr>
            <w:tcW w:w="2800" w:type="dxa"/>
          </w:tcPr>
          <w:p>
            <w:pPr>
              <w:pStyle w:val="TableText"/>
              <w:keepLines/>
            </w:pPr>
            <w:r>
              <w:rPr>
                <w:sz w:val="14"/>
                <w:szCs w:val="14"/>
              </w:rPr>
              <w:t xml:space="preserve">TypeScript component and payload compatibility.</w:t>
            </w:r>
          </w:p>
        </w:tc>
      </w:tr>
      <w:tr>
        <w:trPr>
          <w:cantSplit/>
        </w:trPr>
        <w:tc>
          <w:tcPr>
            <w:tcW w:w="1800" w:type="dxa"/>
          </w:tcPr>
          <w:p>
            <w:pPr>
              <w:pStyle w:val="TableText"/>
              <w:keepLines/>
            </w:pPr>
            <w:r>
              <w:rPr>
                <w:sz w:val="14"/>
                <w:szCs w:val="14"/>
              </w:rPr>
              <w:t xml:space="preserve">Lint</w:t>
            </w:r>
          </w:p>
        </w:tc>
        <w:tc>
          <w:tcPr>
            <w:tcW w:w="4400" w:type="dxa"/>
          </w:tcPr>
          <w:p>
            <w:pPr>
              <w:pStyle w:val="TableText"/>
              <w:keepLines/>
            </w:pPr>
            <w:r>
              <w:rPr>
                <w:sz w:val="14"/>
                <w:szCs w:val="14"/>
              </w:rPr>
              <w:t xml:space="preserve">cd frontend &amp;&amp; npm run lint</w:t>
            </w:r>
          </w:p>
        </w:tc>
        <w:tc>
          <w:tcPr>
            <w:tcW w:w="2800" w:type="dxa"/>
          </w:tcPr>
          <w:p>
            <w:pPr>
              <w:pStyle w:val="TableText"/>
              <w:keepLines/>
            </w:pPr>
            <w:r>
              <w:rPr>
                <w:sz w:val="14"/>
                <w:szCs w:val="14"/>
              </w:rPr>
              <w:t xml:space="preserve">Frontend correctness and dead-code checks.</w:t>
            </w:r>
          </w:p>
        </w:tc>
      </w:tr>
      <w:tr>
        <w:trPr>
          <w:cantSplit/>
        </w:trPr>
        <w:tc>
          <w:tcPr>
            <w:tcW w:w="1800" w:type="dxa"/>
          </w:tcPr>
          <w:p>
            <w:pPr>
              <w:pStyle w:val="TableText"/>
              <w:keepLines/>
            </w:pPr>
            <w:r>
              <w:rPr>
                <w:sz w:val="14"/>
                <w:szCs w:val="14"/>
              </w:rPr>
              <w:t xml:space="preserve">Production build</w:t>
            </w:r>
          </w:p>
        </w:tc>
        <w:tc>
          <w:tcPr>
            <w:tcW w:w="4400" w:type="dxa"/>
          </w:tcPr>
          <w:p>
            <w:pPr>
              <w:pStyle w:val="TableText"/>
              <w:keepLines/>
            </w:pPr>
            <w:r>
              <w:rPr>
                <w:sz w:val="14"/>
                <w:szCs w:val="14"/>
              </w:rPr>
              <w:t xml:space="preserve">cd frontend &amp;&amp; npm run build</w:t>
            </w:r>
          </w:p>
        </w:tc>
        <w:tc>
          <w:tcPr>
            <w:tcW w:w="2800" w:type="dxa"/>
          </w:tcPr>
          <w:p>
            <w:pPr>
              <w:pStyle w:val="TableText"/>
              <w:keepLines/>
            </w:pPr>
            <w:r>
              <w:rPr>
                <w:sz w:val="14"/>
                <w:szCs w:val="14"/>
              </w:rPr>
              <w:t xml:space="preserve">Runs data validation and creates optimised frontend/dist.</w:t>
            </w:r>
          </w:p>
        </w:tc>
      </w:tr>
      <w:tr>
        <w:trPr>
          <w:cantSplit/>
        </w:trPr>
        <w:tc>
          <w:tcPr>
            <w:tcW w:w="1800" w:type="dxa"/>
          </w:tcPr>
          <w:p>
            <w:pPr>
              <w:pStyle w:val="TableText"/>
              <w:keepLines/>
            </w:pPr>
            <w:r>
              <w:rPr>
                <w:sz w:val="14"/>
                <w:szCs w:val="14"/>
              </w:rPr>
              <w:t xml:space="preserve">Whitespace/conflict check</w:t>
            </w:r>
          </w:p>
        </w:tc>
        <w:tc>
          <w:tcPr>
            <w:tcW w:w="4400" w:type="dxa"/>
          </w:tcPr>
          <w:p>
            <w:pPr>
              <w:pStyle w:val="TableText"/>
              <w:keepLines/>
            </w:pPr>
            <w:r>
              <w:rPr>
                <w:sz w:val="14"/>
                <w:szCs w:val="14"/>
              </w:rPr>
              <w:t xml:space="preserve">git diff --check</w:t>
            </w:r>
          </w:p>
        </w:tc>
        <w:tc>
          <w:tcPr>
            <w:tcW w:w="2800" w:type="dxa"/>
          </w:tcPr>
          <w:p>
            <w:pPr>
              <w:pStyle w:val="TableText"/>
              <w:keepLines/>
            </w:pPr>
            <w:r>
              <w:rPr>
                <w:sz w:val="14"/>
                <w:szCs w:val="14"/>
              </w:rPr>
              <w:t xml:space="preserve">Trailing whitespace and unresolved patch formatting.</w:t>
            </w:r>
          </w:p>
        </w:tc>
      </w:tr>
    </w:tbl>
    <w:p>
      <w:pPr>
        <w:spacing w:after="80"/>
      </w:pPr>
      <w:r>
        <w:t xml:space="preserve"/>
      </w:r>
    </w:p>
    <w:p>
      <w:r>
        <w:t xml:space="preserve">At generation time all 35 backend tests pass, 12 static assets and one catalogue section validate, TypeScript and lint pass, and the Vite production build succeeds. The remaining notice is a bundle-size warning: the main JavaScript chunk is approximately 653 KB minified and 196 KB gzip.</w:t>
      </w:r>
    </w:p>
    <w:p>
      <w:pPr>
        <w:pStyle w:val="Heading1"/>
        <w:keepNext/>
      </w:pPr>
      <w:r>
        <w:t xml:space="preserve">13. Build and deployment runbook</w:t>
      </w:r>
    </w:p>
    <w:p>
      <w:pPr>
        <w:pStyle w:val="Heading2"/>
        <w:keepNext/>
      </w:pPr>
      <w:r>
        <w:t xml:space="preserve">Prerequisites</w:t>
      </w:r>
    </w:p>
    <w:p>
      <w:pPr>
        <w:pStyle w:val="ListParagraph"/>
        <w:keepLines/>
        <w:ind w:left="360"/>
      </w:pPr>
      <w:r>
        <w:rPr>
          <w:b/>
          <w:color w:val="D97706"/>
        </w:rPr>
        <w:t xml:space="preserve">•</w:t>
      </w:r>
      <w:r>
        <w:t xml:space="preserve">  Python environment with dependencies from requirements/requirements.txt.</w:t>
      </w:r>
    </w:p>
    <w:p>
      <w:pPr>
        <w:pStyle w:val="ListParagraph"/>
        <w:keepLines/>
        <w:ind w:left="360"/>
      </w:pPr>
      <w:r>
        <w:rPr>
          <w:b/>
          <w:color w:val="D97706"/>
        </w:rPr>
        <w:t xml:space="preserve">•</w:t>
      </w:r>
      <w:r>
        <w:t xml:space="preserve">  Node dependencies installed in frontend/.</w:t>
      </w:r>
    </w:p>
    <w:p>
      <w:pPr>
        <w:pStyle w:val="ListParagraph"/>
        <w:keepLines/>
        <w:ind w:left="360"/>
      </w:pPr>
      <w:r>
        <w:rPr>
          <w:b/>
          <w:color w:val="D97706"/>
        </w:rPr>
        <w:t xml:space="preserve">•</w:t>
      </w:r>
      <w:r>
        <w:t xml:space="preserve">  pdftotext available for the broader official-PDF extraction pipeline.</w:t>
      </w:r>
    </w:p>
    <w:p>
      <w:pPr>
        <w:pStyle w:val="ListParagraph"/>
        <w:keepLines/>
        <w:ind w:left="360"/>
      </w:pPr>
      <w:r>
        <w:rPr>
          <w:b/>
          <w:color w:val="D97706"/>
        </w:rPr>
        <w:t xml:space="preserve">•</w:t>
      </w:r>
      <w:r>
        <w:t xml:space="preserve">  Network access for live mode, or a complete immutable data/raw landing for --offline mode.</w:t>
      </w:r>
    </w:p>
    <w:p>
      <w:pPr>
        <w:pStyle w:val="Heading2"/>
        <w:keepNext/>
      </w:pPr>
      <w:r>
        <w:t xml:space="preserve">Recommended full refresh</w:t>
      </w:r>
    </w:p>
    <w:p>
      <w:pPr>
        <w:pStyle w:val="Code"/>
        <w:keepLines/>
      </w:pPr>
      <w:r>
        <w:t xml:space="preserve">PYTHONPATH=scripts venv/bin/python scripts/build_capex_pipeline.py</w:t>
      </w:r>
    </w:p>
    <w:p>
      <w:pPr>
        <w:pStyle w:val="Code"/>
        <w:keepLines/>
      </w:pPr>
      <w:r>
        <w:t xml:space="preserve">PYTHONPATH=scripts venv/bin/python scripts/sync_focused_catalogue.py</w:t>
      </w:r>
    </w:p>
    <w:p>
      <w:pPr>
        <w:pStyle w:val="Code"/>
        <w:keepLines/>
      </w:pPr>
      <w:r>
        <w:t xml:space="preserve">cd frontend &amp;&amp; npm run validate:data &amp;&amp; npx tsc --noEmit &amp;&amp; npm run lint &amp;&amp; npm run build</w:t>
      </w:r>
    </w:p>
    <w:p>
      <w:r>
        <w:t xml:space="preserve">The pipeline command performs live acquisition by default. Use --offline for a deterministic replay of the immutable raw landing. Both modes use the same pure builders, validation and publication functions. Catalogue synchronisation updates versions and availability after successful publication.</w:t>
      </w:r>
    </w:p>
    <w:p>
      <w:pPr>
        <w:pStyle w:val="Heading2"/>
        <w:keepNext/>
      </w:pPr>
      <w:r>
        <w:t xml:space="preserve">Static deployment</w:t>
      </w:r>
    </w:p>
    <w:p>
      <w:pPr>
        <w:pStyle w:val="ListParagraph"/>
        <w:keepLines/>
        <w:ind w:left="240"/>
      </w:pPr>
      <w:r>
        <w:rPr>
          <w:b/>
          <w:color w:val="1F4E78"/>
        </w:rPr>
        <w:t xml:space="preserve">1. </w:t>
      </w:r>
      <w:r>
        <w:t xml:space="preserve">Deploy the complete frontend/dist directory to a static host.</w:t>
      </w:r>
    </w:p>
    <w:p>
      <w:pPr>
        <w:pStyle w:val="ListParagraph"/>
        <w:keepLines/>
        <w:ind w:left="240"/>
      </w:pPr>
      <w:r>
        <w:rPr>
          <w:b/>
          <w:color w:val="1F4E78"/>
        </w:rPr>
        <w:t xml:space="preserve">2. </w:t>
      </w:r>
      <w:r>
        <w:t xml:space="preserve">Configure unknown application routes such as /research/capex-transmission to fall back to index.html.</w:t>
      </w:r>
    </w:p>
    <w:p>
      <w:pPr>
        <w:pStyle w:val="ListParagraph"/>
        <w:keepLines/>
        <w:ind w:left="240"/>
      </w:pPr>
      <w:r>
        <w:rPr>
          <w:b/>
          <w:color w:val="1F4E78"/>
        </w:rPr>
        <w:t xml:space="preserve">3. </w:t>
      </w:r>
      <w:r>
        <w:t xml:space="preserve">Preserve /data paths and JSON MIME types.</w:t>
      </w:r>
    </w:p>
    <w:p>
      <w:pPr>
        <w:pStyle w:val="ListParagraph"/>
        <w:keepLines/>
        <w:ind w:left="240"/>
      </w:pPr>
      <w:r>
        <w:rPr>
          <w:b/>
          <w:color w:val="1F4E78"/>
        </w:rPr>
        <w:t xml:space="preserve">4. </w:t>
      </w:r>
      <w:r>
        <w:t xml:space="preserve">Do not deploy frontend/src or data/processed as runtime dependencies; the browser needs only compiled assets and published public data.</w:t>
      </w:r>
    </w:p>
    <w:p>
      <w:pPr>
        <w:pStyle w:val="ListParagraph"/>
        <w:keepLines/>
        <w:ind w:left="240"/>
      </w:pPr>
      <w:r>
        <w:rPr>
          <w:b/>
          <w:color w:val="1F4E78"/>
        </w:rPr>
        <w:t xml:space="preserve">5. </w:t>
      </w:r>
      <w:r>
        <w:t xml:space="preserve">Run a smoke test against the production URL: load the CapEx lens, switch every view, change correlation controls and move every scenario slider.</w:t>
      </w:r>
    </w:p>
    <w:p>
      <w:pPr>
        <w:keepLines/>
        <w:spacing w:before="120" w:after="160"/>
        <w:ind w:left="180"/>
        <w:pBdr>
          <w:left w:val="single" w:sz="18" w:space="10" w:color="D97706"/>
        </w:pBdr>
        <w:shd w:val="clear" w:color="auto" w:fill="FFF7E6"/>
      </w:pPr>
      <w:r>
        <w:rPr>
          <w:b/>
          <w:color w:val="D97706"/>
        </w:rPr>
        <w:t xml:space="preserve">No platform is currently encoded  </w:t>
      </w:r>
      <w:r>
        <w:t xml:space="preserve">The repository contains no Vercel, Netlify, container or Sites hosting configuration. This guide therefore documents a platform-neutral static deployment. Platform-specific cache headers, access controls and rollback must be configured by the selected host.</w:t>
      </w:r>
    </w:p>
    <w:p>
      <w:pPr>
        <w:pStyle w:val="Heading1"/>
        <w:keepNext/>
      </w:pPr>
      <w:r>
        <w:t xml:space="preserve">14. Operational failure modes</w:t>
      </w:r>
    </w:p>
    <w:tbl>
      <w:tblPr>
        <w:tblStyle w:val="ArchitectureTable"/>
        <w:tblW w:w="0" w:type="auto"/>
        <w:tblLayout w:type="fixed"/>
      </w:tblPr>
      <w:tblGrid>
        <w:gridCol w:w="2200"/>
        <w:gridCol w:w="3300"/>
        <w:gridCol w:w="3500"/>
      </w:tblGrid>
      <w:tr>
        <w:trPr>
          <w:tblHeader/>
          <w:cantSplit/>
        </w:trPr>
        <w:tc>
          <w:tcPr>
            <w:tcW w:w="2200" w:type="dxa"/>
            <w:shd w:val="clear" w:color="auto" w:fill="1F4E78"/>
          </w:tcPr>
          <w:p>
            <w:pPr>
              <w:pStyle w:val="TableText"/>
              <w:keepLines/>
            </w:pPr>
            <w:r>
              <w:rPr>
                <w:b/>
                <w:color w:val="FFFFFF"/>
                <w:sz w:val="14"/>
                <w:szCs w:val="14"/>
              </w:rPr>
              <w:t xml:space="preserve">Failure</w:t>
            </w:r>
          </w:p>
        </w:tc>
        <w:tc>
          <w:tcPr>
            <w:tcW w:w="3300" w:type="dxa"/>
            <w:shd w:val="clear" w:color="auto" w:fill="1F4E78"/>
          </w:tcPr>
          <w:p>
            <w:pPr>
              <w:pStyle w:val="TableText"/>
              <w:keepLines/>
            </w:pPr>
            <w:r>
              <w:rPr>
                <w:b/>
                <w:color w:val="FFFFFF"/>
                <w:sz w:val="14"/>
                <w:szCs w:val="14"/>
              </w:rPr>
              <w:t xml:space="preserve">Expected behaviour</w:t>
            </w:r>
          </w:p>
        </w:tc>
        <w:tc>
          <w:tcPr>
            <w:tcW w:w="3500" w:type="dxa"/>
            <w:shd w:val="clear" w:color="auto" w:fill="1F4E78"/>
          </w:tcPr>
          <w:p>
            <w:pPr>
              <w:pStyle w:val="TableText"/>
              <w:keepLines/>
            </w:pPr>
            <w:r>
              <w:rPr>
                <w:b/>
                <w:color w:val="FFFFFF"/>
                <w:sz w:val="14"/>
                <w:szCs w:val="14"/>
              </w:rPr>
              <w:t xml:space="preserve">Operator action</w:t>
            </w:r>
          </w:p>
        </w:tc>
      </w:tr>
      <w:tr>
        <w:trPr>
          <w:cantSplit/>
        </w:trPr>
        <w:tc>
          <w:tcPr>
            <w:tcW w:w="2200" w:type="dxa"/>
          </w:tcPr>
          <w:p>
            <w:pPr>
              <w:pStyle w:val="TableText"/>
              <w:keepLines/>
            </w:pPr>
            <w:r>
              <w:rPr>
                <w:sz w:val="14"/>
                <w:szCs w:val="14"/>
              </w:rPr>
              <w:t xml:space="preserve">Official Nifty endpoint changes</w:t>
            </w:r>
          </w:p>
        </w:tc>
        <w:tc>
          <w:tcPr>
            <w:tcW w:w="3300" w:type="dxa"/>
          </w:tcPr>
          <w:p>
            <w:pPr>
              <w:pStyle w:val="TableText"/>
              <w:keepLines/>
            </w:pPr>
            <w:r>
              <w:rPr>
                <w:sz w:val="14"/>
                <w:szCs w:val="14"/>
              </w:rPr>
              <w:t xml:space="preserve">Extractor raises on HTTP or unexpected response type; no processed replacement.</w:t>
            </w:r>
          </w:p>
        </w:tc>
        <w:tc>
          <w:tcPr>
            <w:tcW w:w="3500" w:type="dxa"/>
          </w:tcPr>
          <w:p>
            <w:pPr>
              <w:pStyle w:val="TableText"/>
              <w:keepLines/>
            </w:pPr>
            <w:r>
              <w:rPr>
                <w:sz w:val="14"/>
                <w:szCs w:val="14"/>
              </w:rPr>
              <w:t xml:space="preserve">Inspect landed/request contract; update extractor without weakening required-market checks.</w:t>
            </w:r>
          </w:p>
        </w:tc>
      </w:tr>
      <w:tr>
        <w:trPr>
          <w:cantSplit/>
        </w:trPr>
        <w:tc>
          <w:tcPr>
            <w:tcW w:w="2200" w:type="dxa"/>
          </w:tcPr>
          <w:p>
            <w:pPr>
              <w:pStyle w:val="TableText"/>
              <w:keepLines/>
            </w:pPr>
            <w:r>
              <w:rPr>
                <w:sz w:val="14"/>
                <w:szCs w:val="14"/>
              </w:rPr>
              <w:t xml:space="preserve">Corporate provider missing a line item</w:t>
            </w:r>
          </w:p>
        </w:tc>
        <w:tc>
          <w:tcPr>
            <w:tcW w:w="3300" w:type="dxa"/>
          </w:tcPr>
          <w:p>
            <w:pPr>
              <w:pStyle w:val="TableText"/>
              <w:keepLines/>
            </w:pPr>
            <w:r>
              <w:rPr>
                <w:sz w:val="14"/>
                <w:szCs w:val="14"/>
              </w:rPr>
              <w:t xml:space="preserve">Fallback labels are tried; absent values remain null and coverage may shrink.</w:t>
            </w:r>
          </w:p>
        </w:tc>
        <w:tc>
          <w:tcPr>
            <w:tcW w:w="3500" w:type="dxa"/>
          </w:tcPr>
          <w:p>
            <w:pPr>
              <w:pStyle w:val="TableText"/>
              <w:keepLines/>
            </w:pPr>
            <w:r>
              <w:rPr>
                <w:sz w:val="14"/>
                <w:szCs w:val="14"/>
              </w:rPr>
              <w:t xml:space="preserve">Compare against company annual reports; do not substitute unrelated metrics.</w:t>
            </w:r>
          </w:p>
        </w:tc>
      </w:tr>
      <w:tr>
        <w:trPr>
          <w:cantSplit/>
        </w:trPr>
        <w:tc>
          <w:tcPr>
            <w:tcW w:w="2200" w:type="dxa"/>
          </w:tcPr>
          <w:p>
            <w:pPr>
              <w:pStyle w:val="TableText"/>
              <w:keepLines/>
            </w:pPr>
            <w:r>
              <w:rPr>
                <w:sz w:val="14"/>
                <w:szCs w:val="14"/>
              </w:rPr>
              <w:t xml:space="preserve">Budget table definition changes</w:t>
            </w:r>
          </w:p>
        </w:tc>
        <w:tc>
          <w:tcPr>
            <w:tcW w:w="3300" w:type="dxa"/>
          </w:tcPr>
          <w:p>
            <w:pPr>
              <w:pStyle w:val="TableText"/>
              <w:keepLines/>
            </w:pPr>
            <w:r>
              <w:rPr>
                <w:sz w:val="14"/>
                <w:szCs w:val="14"/>
              </w:rPr>
              <w:t xml:space="preserve">Frozen series remains last valid; manual refresh must reconcile the capital column.</w:t>
            </w:r>
          </w:p>
        </w:tc>
        <w:tc>
          <w:tcPr>
            <w:tcW w:w="3500" w:type="dxa"/>
          </w:tcPr>
          <w:p>
            <w:pPr>
              <w:pStyle w:val="TableText"/>
              <w:keepLines/>
            </w:pPr>
            <w:r>
              <w:rPr>
                <w:sz w:val="14"/>
                <w:szCs w:val="14"/>
              </w:rPr>
              <w:t xml:space="preserve">Add a new source vintage and regression assertion.</w:t>
            </w:r>
          </w:p>
        </w:tc>
      </w:tr>
      <w:tr>
        <w:trPr>
          <w:cantSplit/>
        </w:trPr>
        <w:tc>
          <w:tcPr>
            <w:tcW w:w="2200" w:type="dxa"/>
          </w:tcPr>
          <w:p>
            <w:pPr>
              <w:pStyle w:val="TableText"/>
              <w:keepLines/>
            </w:pPr>
            <w:r>
              <w:rPr>
                <w:sz w:val="14"/>
                <w:szCs w:val="14"/>
              </w:rPr>
              <w:t xml:space="preserve">Schema validation fails</w:t>
            </w:r>
          </w:p>
        </w:tc>
        <w:tc>
          <w:tcPr>
            <w:tcW w:w="3300" w:type="dxa"/>
          </w:tcPr>
          <w:p>
            <w:pPr>
              <w:pStyle w:val="TableText"/>
              <w:keepLines/>
            </w:pPr>
            <w:r>
              <w:rPr>
                <w:sz w:val="14"/>
                <w:szCs w:val="14"/>
              </w:rPr>
              <w:t xml:space="preserve">No processed or public JSON is written; any newly landed raw evidence remains available.</w:t>
            </w:r>
          </w:p>
        </w:tc>
        <w:tc>
          <w:tcPr>
            <w:tcW w:w="3500" w:type="dxa"/>
          </w:tcPr>
          <w:p>
            <w:pPr>
              <w:pStyle w:val="TableText"/>
              <w:keepLines/>
            </w:pPr>
            <w:r>
              <w:rPr>
                <w:sz w:val="14"/>
                <w:szCs w:val="14"/>
              </w:rPr>
              <w:t xml:space="preserve">Correct metadata, units, statuses or transform output; never hand-edit public JSON.</w:t>
            </w:r>
          </w:p>
        </w:tc>
      </w:tr>
      <w:tr>
        <w:trPr>
          <w:cantSplit/>
        </w:trPr>
        <w:tc>
          <w:tcPr>
            <w:tcW w:w="2200" w:type="dxa"/>
          </w:tcPr>
          <w:p>
            <w:pPr>
              <w:pStyle w:val="TableText"/>
              <w:keepLines/>
            </w:pPr>
            <w:r>
              <w:rPr>
                <w:sz w:val="14"/>
                <w:szCs w:val="14"/>
              </w:rPr>
              <w:t xml:space="preserve">JSON replacement fails</w:t>
            </w:r>
          </w:p>
        </w:tc>
        <w:tc>
          <w:tcPr>
            <w:tcW w:w="3300" w:type="dxa"/>
          </w:tcPr>
          <w:p>
            <w:pPr>
              <w:pStyle w:val="TableText"/>
              <w:keepLines/>
            </w:pPr>
            <w:r>
              <w:rPr>
                <w:sz w:val="14"/>
                <w:szCs w:val="14"/>
              </w:rPr>
              <w:t xml:space="preserve">The current file remains valid, but files published earlier in the loop are not rolled back.</w:t>
            </w:r>
          </w:p>
        </w:tc>
        <w:tc>
          <w:tcPr>
            <w:tcW w:w="3500" w:type="dxa"/>
          </w:tcPr>
          <w:p>
            <w:pPr>
              <w:pStyle w:val="TableText"/>
              <w:keepLines/>
            </w:pPr>
            <w:r>
              <w:rPr>
                <w:sz w:val="14"/>
                <w:szCs w:val="14"/>
              </w:rPr>
              <w:t xml:space="preserve">Inspect filesystem permissions, correct the failure and rerun the complete ETL.</w:t>
            </w:r>
          </w:p>
        </w:tc>
      </w:tr>
      <w:tr>
        <w:trPr>
          <w:cantSplit/>
        </w:trPr>
        <w:tc>
          <w:tcPr>
            <w:tcW w:w="2200" w:type="dxa"/>
          </w:tcPr>
          <w:p>
            <w:pPr>
              <w:pStyle w:val="TableText"/>
              <w:keepLines/>
            </w:pPr>
            <w:r>
              <w:rPr>
                <w:sz w:val="14"/>
                <w:szCs w:val="14"/>
              </w:rPr>
              <w:t xml:space="preserve">Catalogue references wrong adapter</w:t>
            </w:r>
          </w:p>
        </w:tc>
        <w:tc>
          <w:tcPr>
            <w:tcW w:w="3300" w:type="dxa"/>
          </w:tcPr>
          <w:p>
            <w:pPr>
              <w:pStyle w:val="TableText"/>
              <w:keepLines/>
            </w:pPr>
            <w:r>
              <w:rPr>
                <w:sz w:val="14"/>
                <w:szCs w:val="14"/>
              </w:rPr>
              <w:t xml:space="preserve">Frontend validator and runtime guard fail.</w:t>
            </w:r>
          </w:p>
        </w:tc>
        <w:tc>
          <w:tcPr>
            <w:tcW w:w="3500" w:type="dxa"/>
          </w:tcPr>
          <w:p>
            <w:pPr>
              <w:pStyle w:val="TableText"/>
              <w:keepLines/>
            </w:pPr>
            <w:r>
              <w:rPr>
                <w:sz w:val="14"/>
                <w:szCs w:val="14"/>
              </w:rPr>
              <w:t xml:space="preserve">Update types, schema enum, validator map and MetricPanel dispatch together.</w:t>
            </w:r>
          </w:p>
        </w:tc>
      </w:tr>
      <w:tr>
        <w:trPr>
          <w:cantSplit/>
        </w:trPr>
        <w:tc>
          <w:tcPr>
            <w:tcW w:w="2200" w:type="dxa"/>
          </w:tcPr>
          <w:p>
            <w:pPr>
              <w:pStyle w:val="TableText"/>
              <w:keepLines/>
            </w:pPr>
            <w:r>
              <w:rPr>
                <w:sz w:val="14"/>
                <w:szCs w:val="14"/>
              </w:rPr>
              <w:t xml:space="preserve">Browser cache serves older data</w:t>
            </w:r>
          </w:p>
        </w:tc>
        <w:tc>
          <w:tcPr>
            <w:tcW w:w="3300" w:type="dxa"/>
          </w:tcPr>
          <w:p>
            <w:pPr>
              <w:pStyle w:val="TableText"/>
              <w:keepLines/>
            </w:pPr>
            <w:r>
              <w:rPr>
                <w:sz w:val="14"/>
                <w:szCs w:val="14"/>
              </w:rPr>
              <w:t xml:space="preserve">Asset version normally changes with catalogue generation.</w:t>
            </w:r>
          </w:p>
        </w:tc>
        <w:tc>
          <w:tcPr>
            <w:tcW w:w="3500" w:type="dxa"/>
          </w:tcPr>
          <w:p>
            <w:pPr>
              <w:pStyle w:val="TableText"/>
              <w:keepLines/>
            </w:pPr>
            <w:r>
              <w:rPr>
                <w:sz w:val="14"/>
                <w:szCs w:val="14"/>
              </w:rPr>
              <w:t xml:space="preserve">Verify catalogue version and host cache headers; invalidate static cache if required.</w:t>
            </w:r>
          </w:p>
        </w:tc>
      </w:tr>
      <w:tr>
        <w:trPr>
          <w:cantSplit/>
        </w:trPr>
        <w:tc>
          <w:tcPr>
            <w:tcW w:w="2200" w:type="dxa"/>
          </w:tcPr>
          <w:p>
            <w:pPr>
              <w:pStyle w:val="TableText"/>
              <w:keepLines/>
            </w:pPr>
            <w:r>
              <w:rPr>
                <w:sz w:val="14"/>
                <w:szCs w:val="14"/>
              </w:rPr>
              <w:t xml:space="preserve">Scenario result looks implausible</w:t>
            </w:r>
          </w:p>
        </w:tc>
        <w:tc>
          <w:tcPr>
            <w:tcW w:w="3300" w:type="dxa"/>
          </w:tcPr>
          <w:p>
            <w:pPr>
              <w:pStyle w:val="TableText"/>
              <w:keepLines/>
            </w:pPr>
            <w:r>
              <w:rPr>
                <w:sz w:val="14"/>
                <w:szCs w:val="14"/>
              </w:rPr>
              <w:t xml:space="preserve">No backend failure occurs because inputs are user assumptions.</w:t>
            </w:r>
          </w:p>
        </w:tc>
        <w:tc>
          <w:tcPr>
            <w:tcW w:w="3500" w:type="dxa"/>
          </w:tcPr>
          <w:p>
            <w:pPr>
              <w:pStyle w:val="TableText"/>
              <w:keepLines/>
            </w:pPr>
            <w:r>
              <w:rPr>
                <w:sz w:val="14"/>
                <w:szCs w:val="14"/>
              </w:rPr>
              <w:t xml:space="preserve">Review every assumption, especially multiplier, lag, financing and nominal growth; treat as a scenario.</w:t>
            </w:r>
          </w:p>
        </w:tc>
      </w:tr>
    </w:tbl>
    <w:p>
      <w:pPr>
        <w:spacing w:after="80"/>
      </w:pPr>
      <w:r>
        <w:t xml:space="preserve"/>
      </w:r>
    </w:p>
    <w:p>
      <w:pPr>
        <w:pStyle w:val="Heading1"/>
        <w:keepNext/>
      </w:pPr>
      <w:r>
        <w:t xml:space="preserve">15. Technical debt and recommended next work</w:t>
      </w:r>
    </w:p>
    <w:tbl>
      <w:tblPr>
        <w:tblStyle w:val="ArchitectureTable"/>
        <w:tblW w:w="0" w:type="auto"/>
        <w:tblLayout w:type="fixed"/>
      </w:tblPr>
      <w:tblGrid>
        <w:gridCol w:w="3000"/>
        <w:gridCol w:w="6000"/>
      </w:tblGrid>
      <w:tr>
        <w:trPr>
          <w:tblHeader/>
          <w:cantSplit/>
        </w:trPr>
        <w:tc>
          <w:tcPr>
            <w:tcW w:w="3000" w:type="dxa"/>
            <w:shd w:val="clear" w:color="auto" w:fill="1F4E78"/>
          </w:tcPr>
          <w:p>
            <w:pPr>
              <w:pStyle w:val="TableText"/>
              <w:keepLines/>
            </w:pPr>
            <w:r>
              <w:rPr>
                <w:b/>
                <w:color w:val="FFFFFF"/>
                <w:sz w:val="18"/>
                <w:szCs w:val="18"/>
              </w:rPr>
              <w:t xml:space="preserve">Recommendation</w:t>
            </w:r>
          </w:p>
        </w:tc>
        <w:tc>
          <w:tcPr>
            <w:tcW w:w="6000" w:type="dxa"/>
            <w:shd w:val="clear" w:color="auto" w:fill="1F4E78"/>
          </w:tcPr>
          <w:p>
            <w:pPr>
              <w:pStyle w:val="TableText"/>
              <w:keepLines/>
            </w:pPr>
            <w:r>
              <w:rPr>
                <w:b/>
                <w:color w:val="FFFFFF"/>
                <w:sz w:val="18"/>
                <w:szCs w:val="18"/>
              </w:rPr>
              <w:t xml:space="preserve">Implementation direction</w:t>
            </w:r>
          </w:p>
        </w:tc>
      </w:tr>
      <w:tr>
        <w:trPr>
          <w:cantSplit/>
        </w:trPr>
        <w:tc>
          <w:tcPr>
            <w:tcW w:w="3000" w:type="dxa"/>
          </w:tcPr>
          <w:p>
            <w:pPr>
              <w:pStyle w:val="TableText"/>
              <w:keepLines/>
            </w:pPr>
            <w:r>
              <w:rPr>
                <w:sz w:val="18"/>
                <w:szCs w:val="18"/>
              </w:rPr>
              <w:t xml:space="preserve">Automate reference-source acquisition</w:t>
            </w:r>
          </w:p>
        </w:tc>
        <w:tc>
          <w:tcPr>
            <w:tcW w:w="6000" w:type="dxa"/>
          </w:tcPr>
          <w:p>
            <w:pPr>
              <w:pStyle w:val="TableText"/>
              <w:keepLines/>
            </w:pPr>
            <w:r>
              <w:rPr>
                <w:sz w:val="18"/>
                <w:szCs w:val="18"/>
              </w:rPr>
              <w:t xml:space="preserve">Replace the manual Statement 3, MoRTH, Railways and IIP transcriptions with document extractors, dated raw landing and table-identity checks while retaining the same typed boundary.</w:t>
            </w:r>
          </w:p>
        </w:tc>
      </w:tr>
      <w:tr>
        <w:trPr>
          <w:cantSplit/>
        </w:trPr>
        <w:tc>
          <w:tcPr>
            <w:tcW w:w="3000" w:type="dxa"/>
          </w:tcPr>
          <w:p>
            <w:pPr>
              <w:pStyle w:val="TableText"/>
              <w:keepLines/>
            </w:pPr>
            <w:r>
              <w:rPr>
                <w:sz w:val="18"/>
                <w:szCs w:val="18"/>
              </w:rPr>
              <w:t xml:space="preserve">Version the scenario model</w:t>
            </w:r>
          </w:p>
        </w:tc>
        <w:tc>
          <w:tcPr>
            <w:tcW w:w="6000" w:type="dxa"/>
          </w:tcPr>
          <w:p>
            <w:pPr>
              <w:pStyle w:val="TableText"/>
              <w:keepLines/>
            </w:pPr>
            <w:r>
              <w:rPr>
                <w:sz w:val="18"/>
                <w:szCs w:val="18"/>
              </w:rPr>
              <w:t xml:space="preserve">Move the implemented parameters, uncertainty ranges and formulas into a schema-valid model definition and a pure calculation module shared by tests and UI.</w:t>
            </w:r>
          </w:p>
        </w:tc>
      </w:tr>
      <w:tr>
        <w:trPr>
          <w:cantSplit/>
        </w:trPr>
        <w:tc>
          <w:tcPr>
            <w:tcW w:w="3000" w:type="dxa"/>
          </w:tcPr>
          <w:p>
            <w:pPr>
              <w:pStyle w:val="TableText"/>
              <w:keepLines/>
            </w:pPr>
            <w:r>
              <w:rPr>
                <w:sz w:val="18"/>
                <w:szCs w:val="18"/>
              </w:rPr>
              <w:t xml:space="preserve">Test frontend interactions</w:t>
            </w:r>
          </w:p>
        </w:tc>
        <w:tc>
          <w:tcPr>
            <w:tcW w:w="6000" w:type="dxa"/>
          </w:tcPr>
          <w:p>
            <w:pPr>
              <w:pStyle w:val="TableText"/>
              <w:keepLines/>
            </w:pPr>
            <w:r>
              <w:rPr>
                <w:sz w:val="18"/>
                <w:szCs w:val="18"/>
              </w:rPr>
              <w:t xml:space="preserve">Add component tests for direction switching, series colour stability, unit separation and preset/custom model transitions.</w:t>
            </w:r>
          </w:p>
        </w:tc>
      </w:tr>
      <w:tr>
        <w:trPr>
          <w:cantSplit/>
        </w:trPr>
        <w:tc>
          <w:tcPr>
            <w:tcW w:w="3000" w:type="dxa"/>
          </w:tcPr>
          <w:p>
            <w:pPr>
              <w:pStyle w:val="TableText"/>
              <w:keepLines/>
            </w:pPr>
            <w:r>
              <w:rPr>
                <w:sz w:val="18"/>
                <w:szCs w:val="18"/>
              </w:rPr>
              <w:t xml:space="preserve">Catalogue the summary</w:t>
            </w:r>
          </w:p>
        </w:tc>
        <w:tc>
          <w:tcPr>
            <w:tcW w:w="6000" w:type="dxa"/>
          </w:tcPr>
          <w:p>
            <w:pPr>
              <w:pStyle w:val="TableText"/>
              <w:keepLines/>
            </w:pPr>
            <w:r>
              <w:rPr>
                <w:sz w:val="18"/>
                <w:szCs w:val="18"/>
              </w:rPr>
              <w:t xml:space="preserve">Register analysis-summary as an explicit asset and load it through the static client instead of a direct fetch.</w:t>
            </w:r>
          </w:p>
        </w:tc>
      </w:tr>
      <w:tr>
        <w:trPr>
          <w:cantSplit/>
        </w:trPr>
        <w:tc>
          <w:tcPr>
            <w:tcW w:w="3000" w:type="dxa"/>
          </w:tcPr>
          <w:p>
            <w:pPr>
              <w:pStyle w:val="TableText"/>
              <w:keepLines/>
            </w:pPr>
            <w:r>
              <w:rPr>
                <w:sz w:val="18"/>
                <w:szCs w:val="18"/>
              </w:rPr>
              <w:t xml:space="preserve">Code-split specialised views</w:t>
            </w:r>
          </w:p>
        </w:tc>
        <w:tc>
          <w:tcPr>
            <w:tcW w:w="6000" w:type="dxa"/>
          </w:tcPr>
          <w:p>
            <w:pPr>
              <w:pStyle w:val="TableText"/>
              <w:keepLines/>
            </w:pPr>
            <w:r>
              <w:rPr>
                <w:sz w:val="18"/>
                <w:szCs w:val="18"/>
              </w:rPr>
              <w:t xml:space="preserve">Lazy-load correlation, corporate, fiscal and scenario components to address the Vite bundle warning.</w:t>
            </w:r>
          </w:p>
        </w:tc>
      </w:tr>
      <w:tr>
        <w:trPr>
          <w:cantSplit/>
        </w:trPr>
        <w:tc>
          <w:tcPr>
            <w:tcW w:w="3000" w:type="dxa"/>
          </w:tcPr>
          <w:p>
            <w:pPr>
              <w:pStyle w:val="TableText"/>
              <w:keepLines/>
            </w:pPr>
            <w:r>
              <w:rPr>
                <w:sz w:val="18"/>
                <w:szCs w:val="18"/>
              </w:rPr>
              <w:t xml:space="preserve">Add deployment configuration</w:t>
            </w:r>
          </w:p>
        </w:tc>
        <w:tc>
          <w:tcPr>
            <w:tcW w:w="6000" w:type="dxa"/>
          </w:tcPr>
          <w:p>
            <w:pPr>
              <w:pStyle w:val="TableText"/>
              <w:keepLines/>
            </w:pPr>
            <w:r>
              <w:rPr>
                <w:sz w:val="18"/>
                <w:szCs w:val="18"/>
              </w:rPr>
              <w:t xml:space="preserve">Choose a static host, encode SPA fallback/cache policy and add production smoke checks.</w:t>
            </w:r>
          </w:p>
        </w:tc>
      </w:tr>
      <w:tr>
        <w:trPr>
          <w:cantSplit/>
        </w:trPr>
        <w:tc>
          <w:tcPr>
            <w:tcW w:w="3000" w:type="dxa"/>
          </w:tcPr>
          <w:p>
            <w:pPr>
              <w:pStyle w:val="TableText"/>
              <w:keepLines/>
            </w:pPr>
            <w:r>
              <w:rPr>
                <w:sz w:val="18"/>
                <w:szCs w:val="18"/>
              </w:rPr>
              <w:t xml:space="preserve">Improve provenance granularity</w:t>
            </w:r>
          </w:p>
        </w:tc>
        <w:tc>
          <w:tcPr>
            <w:tcW w:w="6000" w:type="dxa"/>
          </w:tcPr>
          <w:p>
            <w:pPr>
              <w:pStyle w:val="TableText"/>
              <w:keepLines/>
            </w:pPr>
            <w:r>
              <w:rPr>
                <w:sz w:val="18"/>
                <w:szCs w:val="18"/>
              </w:rPr>
              <w:t xml:space="preserve">Attach source-document snapshot/checksum references to manually transcribed metadata and, where useful, individual observations.</w:t>
            </w:r>
          </w:p>
        </w:tc>
      </w:tr>
      <w:tr>
        <w:trPr>
          <w:cantSplit/>
        </w:trPr>
        <w:tc>
          <w:tcPr>
            <w:tcW w:w="3000" w:type="dxa"/>
          </w:tcPr>
          <w:p>
            <w:pPr>
              <w:pStyle w:val="TableText"/>
              <w:keepLines/>
            </w:pPr>
            <w:r>
              <w:rPr>
                <w:sz w:val="18"/>
                <w:szCs w:val="18"/>
              </w:rPr>
              <w:t xml:space="preserve">Extend statistical governance</w:t>
            </w:r>
          </w:p>
        </w:tc>
        <w:tc>
          <w:tcPr>
            <w:tcW w:w="6000" w:type="dxa"/>
          </w:tcPr>
          <w:p>
            <w:pPr>
              <w:pStyle w:val="TableText"/>
              <w:keepLines/>
            </w:pPr>
            <w:r>
              <w:rPr>
                <w:sz w:val="18"/>
                <w:szCs w:val="18"/>
              </w:rPr>
              <w:t xml:space="preserve">Pre-register any inferential extension; avoid choosing lags or exclusions after viewing coefficients.</w:t>
            </w:r>
          </w:p>
        </w:tc>
      </w:tr>
    </w:tbl>
    <w:p>
      <w:pPr>
        <w:spacing w:after="80"/>
      </w:pPr>
      <w:r>
        <w:t xml:space="preserve"/>
      </w:r>
    </w:p>
    <w:p>
      <w:pPr>
        <w:pStyle w:val="Heading1"/>
        <w:keepNext/>
      </w:pPr>
      <w:r>
        <w:t xml:space="preserve">16. File-level implementation index</w:t>
      </w:r>
    </w:p>
    <w:tbl>
      <w:tblPr>
        <w:tblStyle w:val="ArchitectureTable"/>
        <w:tblW w:w="0" w:type="auto"/>
        <w:tblLayout w:type="fixed"/>
      </w:tblPr>
      <w:tblGrid>
        <w:gridCol w:w="3900"/>
        <w:gridCol w:w="5100"/>
      </w:tblGrid>
      <w:tr>
        <w:trPr>
          <w:tblHeader/>
          <w:cantSplit/>
        </w:trPr>
        <w:tc>
          <w:tcPr>
            <w:tcW w:w="3900" w:type="dxa"/>
            <w:shd w:val="clear" w:color="auto" w:fill="1F4E78"/>
          </w:tcPr>
          <w:p>
            <w:pPr>
              <w:pStyle w:val="TableText"/>
              <w:keepLines/>
            </w:pPr>
            <w:r>
              <w:rPr>
                <w:b/>
                <w:color w:val="FFFFFF"/>
                <w:sz w:val="14"/>
                <w:szCs w:val="14"/>
              </w:rPr>
              <w:t xml:space="preserve">File</w:t>
            </w:r>
          </w:p>
        </w:tc>
        <w:tc>
          <w:tcPr>
            <w:tcW w:w="5100" w:type="dxa"/>
            <w:shd w:val="clear" w:color="auto" w:fill="1F4E78"/>
          </w:tcPr>
          <w:p>
            <w:pPr>
              <w:pStyle w:val="TableText"/>
              <w:keepLines/>
            </w:pPr>
            <w:r>
              <w:rPr>
                <w:b/>
                <w:color w:val="FFFFFF"/>
                <w:sz w:val="14"/>
                <w:szCs w:val="14"/>
              </w:rPr>
              <w:t xml:space="preserve">Reason to inspect it</w:t>
            </w:r>
          </w:p>
        </w:tc>
      </w:tr>
      <w:tr>
        <w:trPr>
          <w:cantSplit/>
        </w:trPr>
        <w:tc>
          <w:tcPr>
            <w:tcW w:w="3900" w:type="dxa"/>
          </w:tcPr>
          <w:p>
            <w:pPr>
              <w:pStyle w:val="TableText"/>
              <w:keepLines/>
            </w:pPr>
            <w:r>
              <w:rPr>
                <w:sz w:val="14"/>
                <w:szCs w:val="14"/>
              </w:rPr>
              <w:t xml:space="preserve">scripts/config/capex_analysis.py</w:t>
            </w:r>
          </w:p>
        </w:tc>
        <w:tc>
          <w:tcPr>
            <w:tcW w:w="5100" w:type="dxa"/>
          </w:tcPr>
          <w:p>
            <w:pPr>
              <w:pStyle w:val="TableText"/>
              <w:keepLines/>
            </w:pPr>
            <w:r>
              <w:rPr>
                <w:sz w:val="14"/>
                <w:szCs w:val="14"/>
              </w:rPr>
              <w:t xml:space="preserve">Frozen research entities, roles, lags and output paths.</w:t>
            </w:r>
          </w:p>
        </w:tc>
      </w:tr>
      <w:tr>
        <w:trPr>
          <w:cantSplit/>
        </w:trPr>
        <w:tc>
          <w:tcPr>
            <w:tcW w:w="3900" w:type="dxa"/>
          </w:tcPr>
          <w:p>
            <w:pPr>
              <w:pStyle w:val="TableText"/>
              <w:keepLines/>
            </w:pPr>
            <w:r>
              <w:rPr>
                <w:sz w:val="14"/>
                <w:szCs w:val="14"/>
              </w:rPr>
              <w:t xml:space="preserve">scripts/build_capex_pipeline.py</w:t>
            </w:r>
          </w:p>
        </w:tc>
        <w:tc>
          <w:tcPr>
            <w:tcW w:w="5100" w:type="dxa"/>
          </w:tcPr>
          <w:p>
            <w:pPr>
              <w:pStyle w:val="TableText"/>
              <w:keepLines/>
            </w:pPr>
            <w:r>
              <w:rPr>
                <w:sz w:val="14"/>
                <w:szCs w:val="14"/>
              </w:rPr>
              <w:t xml:space="preserve">Sole full and targeted ETL entry point.</w:t>
            </w:r>
          </w:p>
        </w:tc>
      </w:tr>
      <w:tr>
        <w:trPr>
          <w:cantSplit/>
        </w:trPr>
        <w:tc>
          <w:tcPr>
            <w:tcW w:w="3900" w:type="dxa"/>
          </w:tcPr>
          <w:p>
            <w:pPr>
              <w:pStyle w:val="TableText"/>
              <w:keepLines/>
            </w:pPr>
            <w:r>
              <w:rPr>
                <w:sz w:val="14"/>
                <w:szCs w:val="14"/>
              </w:rPr>
              <w:t xml:space="preserve">scripts/extractors/capex_sources.py</w:t>
            </w:r>
          </w:p>
        </w:tc>
        <w:tc>
          <w:tcPr>
            <w:tcW w:w="5100" w:type="dxa"/>
          </w:tcPr>
          <w:p>
            <w:pPr>
              <w:pStyle w:val="TableText"/>
              <w:keepLines/>
            </w:pPr>
            <w:r>
              <w:rPr>
                <w:sz w:val="14"/>
                <w:szCs w:val="14"/>
              </w:rPr>
              <w:t xml:space="preserve">Live acquisition and immutable raw replay.</w:t>
            </w:r>
          </w:p>
        </w:tc>
      </w:tr>
      <w:tr>
        <w:trPr>
          <w:cantSplit/>
        </w:trPr>
        <w:tc>
          <w:tcPr>
            <w:tcW w:w="3900" w:type="dxa"/>
          </w:tcPr>
          <w:p>
            <w:pPr>
              <w:pStyle w:val="TableText"/>
              <w:keepLines/>
            </w:pPr>
            <w:r>
              <w:rPr>
                <w:sz w:val="14"/>
                <w:szCs w:val="14"/>
              </w:rPr>
              <w:t xml:space="preserve">scripts/extractors/delivery_reference.py</w:t>
            </w:r>
          </w:p>
        </w:tc>
        <w:tc>
          <w:tcPr>
            <w:tcW w:w="5100" w:type="dxa"/>
          </w:tcPr>
          <w:p>
            <w:pPr>
              <w:pStyle w:val="TableText"/>
              <w:keepLines/>
            </w:pPr>
            <w:r>
              <w:rPr>
                <w:sz w:val="14"/>
                <w:szCs w:val="14"/>
              </w:rPr>
              <w:t xml:space="preserve">Typed extraction and validation of tracked manual source observations.</w:t>
            </w:r>
          </w:p>
        </w:tc>
      </w:tr>
      <w:tr>
        <w:trPr>
          <w:cantSplit/>
        </w:trPr>
        <w:tc>
          <w:tcPr>
            <w:tcW w:w="3900" w:type="dxa"/>
          </w:tcPr>
          <w:p>
            <w:pPr>
              <w:pStyle w:val="TableText"/>
              <w:keepLines/>
            </w:pPr>
            <w:r>
              <w:rPr>
                <w:sz w:val="14"/>
                <w:szCs w:val="14"/>
              </w:rPr>
              <w:t xml:space="preserve">sources/capex_delivery_reference.json</w:t>
            </w:r>
          </w:p>
        </w:tc>
        <w:tc>
          <w:tcPr>
            <w:tcW w:w="5100" w:type="dxa"/>
          </w:tcPr>
          <w:p>
            <w:pPr>
              <w:pStyle w:val="TableText"/>
              <w:keepLines/>
            </w:pPr>
            <w:r>
              <w:rPr>
                <w:sz w:val="14"/>
                <w:szCs w:val="14"/>
              </w:rPr>
              <w:t xml:space="preserve">Version-controlled source input for allocation, delivery and IIP.</w:t>
            </w:r>
          </w:p>
        </w:tc>
      </w:tr>
      <w:tr>
        <w:trPr>
          <w:cantSplit/>
        </w:trPr>
        <w:tc>
          <w:tcPr>
            <w:tcW w:w="3900" w:type="dxa"/>
          </w:tcPr>
          <w:p>
            <w:pPr>
              <w:pStyle w:val="TableText"/>
              <w:keepLines/>
            </w:pPr>
            <w:r>
              <w:rPr>
                <w:sz w:val="14"/>
                <w:szCs w:val="14"/>
              </w:rPr>
              <w:t xml:space="preserve">scripts/models/capex_sources.py</w:t>
            </w:r>
          </w:p>
        </w:tc>
        <w:tc>
          <w:tcPr>
            <w:tcW w:w="5100" w:type="dxa"/>
          </w:tcPr>
          <w:p>
            <w:pPr>
              <w:pStyle w:val="TableText"/>
              <w:keepLines/>
            </w:pPr>
            <w:r>
              <w:rPr>
                <w:sz w:val="14"/>
                <w:szCs w:val="14"/>
              </w:rPr>
              <w:t xml:space="preserve">Typed extraction-to-builder boundary.</w:t>
            </w:r>
          </w:p>
        </w:tc>
      </w:tr>
      <w:tr>
        <w:trPr>
          <w:cantSplit/>
        </w:trPr>
        <w:tc>
          <w:tcPr>
            <w:tcW w:w="3900" w:type="dxa"/>
          </w:tcPr>
          <w:p>
            <w:pPr>
              <w:pStyle w:val="TableText"/>
              <w:keepLines/>
            </w:pPr>
            <w:r>
              <w:rPr>
                <w:sz w:val="14"/>
                <w:szCs w:val="14"/>
              </w:rPr>
              <w:t xml:space="preserve">scripts/models/capex_metrics.py</w:t>
            </w:r>
          </w:p>
        </w:tc>
        <w:tc>
          <w:tcPr>
            <w:tcW w:w="5100" w:type="dxa"/>
          </w:tcPr>
          <w:p>
            <w:pPr>
              <w:pStyle w:val="TableText"/>
              <w:keepLines/>
            </w:pPr>
            <w:r>
              <w:rPr>
                <w:sz w:val="14"/>
                <w:szCs w:val="14"/>
              </w:rPr>
              <w:t xml:space="preserve">Typed calculation-to-final-builder boundary.</w:t>
            </w:r>
          </w:p>
        </w:tc>
      </w:tr>
      <w:tr>
        <w:trPr>
          <w:cantSplit/>
        </w:trPr>
        <w:tc>
          <w:tcPr>
            <w:tcW w:w="3900" w:type="dxa"/>
          </w:tcPr>
          <w:p>
            <w:pPr>
              <w:pStyle w:val="TableText"/>
              <w:keepLines/>
            </w:pPr>
            <w:r>
              <w:rPr>
                <w:sz w:val="14"/>
                <w:szCs w:val="14"/>
              </w:rPr>
              <w:t xml:space="preserve">scripts/transforms/capex_metrics.py</w:t>
            </w:r>
          </w:p>
        </w:tc>
        <w:tc>
          <w:tcPr>
            <w:tcW w:w="5100" w:type="dxa"/>
          </w:tcPr>
          <w:p>
            <w:pPr>
              <w:pStyle w:val="TableText"/>
              <w:keepLines/>
            </w:pPr>
            <w:r>
              <w:rPr>
                <w:sz w:val="14"/>
                <w:szCs w:val="14"/>
              </w:rPr>
              <w:t xml:space="preserve">Government, private and fiscal metric construction without JSON shaping.</w:t>
            </w:r>
          </w:p>
        </w:tc>
      </w:tr>
      <w:tr>
        <w:trPr>
          <w:cantSplit/>
        </w:trPr>
        <w:tc>
          <w:tcPr>
            <w:tcW w:w="3900" w:type="dxa"/>
          </w:tcPr>
          <w:p>
            <w:pPr>
              <w:pStyle w:val="TableText"/>
              <w:keepLines/>
            </w:pPr>
            <w:r>
              <w:rPr>
                <w:sz w:val="14"/>
                <w:szCs w:val="14"/>
              </w:rPr>
              <w:t xml:space="preserve">scripts/builders/capex_artifacts.py</w:t>
            </w:r>
          </w:p>
        </w:tc>
        <w:tc>
          <w:tcPr>
            <w:tcW w:w="5100" w:type="dxa"/>
          </w:tcPr>
          <w:p>
            <w:pPr>
              <w:pStyle w:val="TableText"/>
              <w:keepLines/>
            </w:pPr>
            <w:r>
              <w:rPr>
                <w:sz w:val="14"/>
                <w:szCs w:val="14"/>
              </w:rPr>
              <w:t xml:space="preserve">Explicit direct call graph for all thirteen final artifacts.</w:t>
            </w:r>
          </w:p>
        </w:tc>
      </w:tr>
      <w:tr>
        <w:trPr>
          <w:cantSplit/>
        </w:trPr>
        <w:tc>
          <w:tcPr>
            <w:tcW w:w="3900" w:type="dxa"/>
          </w:tcPr>
          <w:p>
            <w:pPr>
              <w:pStyle w:val="TableText"/>
              <w:keepLines/>
            </w:pPr>
            <w:r>
              <w:rPr>
                <w:sz w:val="14"/>
                <w:szCs w:val="14"/>
              </w:rPr>
              <w:t xml:space="preserve">scripts/builders/fiscal_outputs.py</w:t>
            </w:r>
          </w:p>
        </w:tc>
        <w:tc>
          <w:tcPr>
            <w:tcW w:w="5100" w:type="dxa"/>
          </w:tcPr>
          <w:p>
            <w:pPr>
              <w:pStyle w:val="TableText"/>
              <w:keepLines/>
            </w:pPr>
            <w:r>
              <w:rPr>
                <w:sz w:val="14"/>
                <w:szCs w:val="14"/>
              </w:rPr>
              <w:t xml:space="preserve">Execution and fiscal final payload builders.</w:t>
            </w:r>
          </w:p>
        </w:tc>
      </w:tr>
      <w:tr>
        <w:trPr>
          <w:cantSplit/>
        </w:trPr>
        <w:tc>
          <w:tcPr>
            <w:tcW w:w="3900" w:type="dxa"/>
          </w:tcPr>
          <w:p>
            <w:pPr>
              <w:pStyle w:val="TableText"/>
              <w:keepLines/>
            </w:pPr>
            <w:r>
              <w:rPr>
                <w:sz w:val="14"/>
                <w:szCs w:val="14"/>
              </w:rPr>
              <w:t xml:space="preserve">scripts/builders/market_outputs.py</w:t>
            </w:r>
          </w:p>
        </w:tc>
        <w:tc>
          <w:tcPr>
            <w:tcW w:w="5100" w:type="dxa"/>
          </w:tcPr>
          <w:p>
            <w:pPr>
              <w:pStyle w:val="TableText"/>
              <w:keepLines/>
            </w:pPr>
            <w:r>
              <w:rPr>
                <w:sz w:val="14"/>
                <w:szCs w:val="14"/>
              </w:rPr>
              <w:t xml:space="preserve">Sector-performance and correlation final payload builders.</w:t>
            </w:r>
          </w:p>
        </w:tc>
      </w:tr>
      <w:tr>
        <w:trPr>
          <w:cantSplit/>
        </w:trPr>
        <w:tc>
          <w:tcPr>
            <w:tcW w:w="3900" w:type="dxa"/>
          </w:tcPr>
          <w:p>
            <w:pPr>
              <w:pStyle w:val="TableText"/>
              <w:keepLines/>
            </w:pPr>
            <w:r>
              <w:rPr>
                <w:sz w:val="14"/>
                <w:szCs w:val="14"/>
              </w:rPr>
              <w:t xml:space="preserve">scripts/builders/real_economy_outputs.py</w:t>
            </w:r>
          </w:p>
        </w:tc>
        <w:tc>
          <w:tcPr>
            <w:tcW w:w="5100" w:type="dxa"/>
          </w:tcPr>
          <w:p>
            <w:pPr>
              <w:pStyle w:val="TableText"/>
              <w:keepLines/>
            </w:pPr>
            <w:r>
              <w:rPr>
                <w:sz w:val="14"/>
                <w:szCs w:val="14"/>
              </w:rPr>
              <w:t xml:space="preserve">Allocation, delivery, production, private and corporate final payload builders.</w:t>
            </w:r>
          </w:p>
        </w:tc>
      </w:tr>
      <w:tr>
        <w:trPr>
          <w:cantSplit/>
        </w:trPr>
        <w:tc>
          <w:tcPr>
            <w:tcW w:w="3900" w:type="dxa"/>
          </w:tcPr>
          <w:p>
            <w:pPr>
              <w:pStyle w:val="TableText"/>
              <w:keepLines/>
            </w:pPr>
            <w:r>
              <w:rPr>
                <w:sz w:val="14"/>
                <w:szCs w:val="14"/>
              </w:rPr>
              <w:t xml:space="preserve">scripts/builders/evaluation_outputs.py</w:t>
            </w:r>
          </w:p>
        </w:tc>
        <w:tc>
          <w:tcPr>
            <w:tcW w:w="5100" w:type="dxa"/>
          </w:tcPr>
          <w:p>
            <w:pPr>
              <w:pStyle w:val="TableText"/>
              <w:keepLines/>
            </w:pPr>
            <w:r>
              <w:rPr>
                <w:sz w:val="14"/>
                <w:szCs w:val="14"/>
              </w:rPr>
              <w:t xml:space="preserve">Quality, state, crowding-in and summary final payload builders.</w:t>
            </w:r>
          </w:p>
        </w:tc>
      </w:tr>
      <w:tr>
        <w:trPr>
          <w:cantSplit/>
        </w:trPr>
        <w:tc>
          <w:tcPr>
            <w:tcW w:w="3900" w:type="dxa"/>
          </w:tcPr>
          <w:p>
            <w:pPr>
              <w:pStyle w:val="TableText"/>
              <w:keepLines/>
            </w:pPr>
            <w:r>
              <w:rPr>
                <w:sz w:val="14"/>
                <w:szCs w:val="14"/>
              </w:rPr>
              <w:t xml:space="preserve">scripts/transforms/capex_analysis.py</w:t>
            </w:r>
          </w:p>
        </w:tc>
        <w:tc>
          <w:tcPr>
            <w:tcW w:w="5100" w:type="dxa"/>
          </w:tcPr>
          <w:p>
            <w:pPr>
              <w:pStyle w:val="TableText"/>
              <w:keepLines/>
            </w:pPr>
            <w:r>
              <w:rPr>
                <w:sz w:val="14"/>
                <w:szCs w:val="14"/>
              </w:rPr>
              <w:t xml:space="preserve">Market, correlation, fiscal-summary and alignment logic.</w:t>
            </w:r>
          </w:p>
        </w:tc>
      </w:tr>
      <w:tr>
        <w:trPr>
          <w:cantSplit/>
        </w:trPr>
        <w:tc>
          <w:tcPr>
            <w:tcW w:w="3900" w:type="dxa"/>
          </w:tcPr>
          <w:p>
            <w:pPr>
              <w:pStyle w:val="TableText"/>
              <w:keepLines/>
            </w:pPr>
            <w:r>
              <w:rPr>
                <w:sz w:val="14"/>
                <w:szCs w:val="14"/>
              </w:rPr>
              <w:t xml:space="preserve">scripts/transforms/capex_depth.py</w:t>
            </w:r>
          </w:p>
        </w:tc>
        <w:tc>
          <w:tcPr>
            <w:tcW w:w="5100" w:type="dxa"/>
          </w:tcPr>
          <w:p>
            <w:pPr>
              <w:pStyle w:val="TableText"/>
              <w:keepLines/>
            </w:pPr>
            <w:r>
              <w:rPr>
                <w:sz w:val="14"/>
                <w:szCs w:val="14"/>
              </w:rPr>
              <w:t xml:space="preserve">Project-quality parsing, state fixed effects and crowding-in gates.</w:t>
            </w:r>
          </w:p>
        </w:tc>
      </w:tr>
      <w:tr>
        <w:trPr>
          <w:cantSplit/>
        </w:trPr>
        <w:tc>
          <w:tcPr>
            <w:tcW w:w="3900" w:type="dxa"/>
          </w:tcPr>
          <w:p>
            <w:pPr>
              <w:pStyle w:val="TableText"/>
              <w:keepLines/>
            </w:pPr>
            <w:r>
              <w:rPr>
                <w:sz w:val="14"/>
                <w:szCs w:val="14"/>
              </w:rPr>
              <w:t xml:space="preserve">scripts/transforms/corporate_fundamentals.py</w:t>
            </w:r>
          </w:p>
        </w:tc>
        <w:tc>
          <w:tcPr>
            <w:tcW w:w="5100" w:type="dxa"/>
          </w:tcPr>
          <w:p>
            <w:pPr>
              <w:pStyle w:val="TableText"/>
              <w:keepLines/>
            </w:pPr>
            <w:r>
              <w:rPr>
                <w:sz w:val="14"/>
                <w:szCs w:val="14"/>
              </w:rPr>
              <w:t xml:space="preserve">Company growth and group medians.</w:t>
            </w:r>
          </w:p>
        </w:tc>
      </w:tr>
      <w:tr>
        <w:trPr>
          <w:cantSplit/>
        </w:trPr>
        <w:tc>
          <w:tcPr>
            <w:tcW w:w="3900" w:type="dxa"/>
          </w:tcPr>
          <w:p>
            <w:pPr>
              <w:pStyle w:val="TableText"/>
              <w:keepLines/>
            </w:pPr>
            <w:r>
              <w:rPr>
                <w:sz w:val="14"/>
                <w:szCs w:val="14"/>
              </w:rPr>
              <w:t xml:space="preserve">scripts/sync_focused_catalogue.py</w:t>
            </w:r>
          </w:p>
        </w:tc>
        <w:tc>
          <w:tcPr>
            <w:tcW w:w="5100" w:type="dxa"/>
          </w:tcPr>
          <w:p>
            <w:pPr>
              <w:pStyle w:val="TableText"/>
              <w:keepLines/>
            </w:pPr>
            <w:r>
              <w:rPr>
                <w:sz w:val="14"/>
                <w:szCs w:val="14"/>
              </w:rPr>
              <w:t xml:space="preserve">Full narrative order and presentation configuration.</w:t>
            </w:r>
          </w:p>
        </w:tc>
      </w:tr>
      <w:tr>
        <w:trPr>
          <w:cantSplit/>
        </w:trPr>
        <w:tc>
          <w:tcPr>
            <w:tcW w:w="3900" w:type="dxa"/>
          </w:tcPr>
          <w:p>
            <w:pPr>
              <w:pStyle w:val="TableText"/>
              <w:keepLines/>
            </w:pPr>
            <w:r>
              <w:rPr>
                <w:sz w:val="14"/>
                <w:szCs w:val="14"/>
              </w:rPr>
              <w:t xml:space="preserve">schemas/dated_multi_series.schema.json</w:t>
            </w:r>
          </w:p>
        </w:tc>
        <w:tc>
          <w:tcPr>
            <w:tcW w:w="5100" w:type="dxa"/>
          </w:tcPr>
          <w:p>
            <w:pPr>
              <w:pStyle w:val="TableText"/>
              <w:keepLines/>
            </w:pPr>
            <w:r>
              <w:rPr>
                <w:sz w:val="14"/>
                <w:szCs w:val="14"/>
              </w:rPr>
              <w:t xml:space="preserve">Primary chart-data contract.</w:t>
            </w:r>
          </w:p>
        </w:tc>
      </w:tr>
      <w:tr>
        <w:trPr>
          <w:cantSplit/>
        </w:trPr>
        <w:tc>
          <w:tcPr>
            <w:tcW w:w="3900" w:type="dxa"/>
          </w:tcPr>
          <w:p>
            <w:pPr>
              <w:pStyle w:val="TableText"/>
              <w:keepLines/>
            </w:pPr>
            <w:r>
              <w:rPr>
                <w:sz w:val="14"/>
                <w:szCs w:val="14"/>
              </w:rPr>
              <w:t xml:space="preserve">schemas/market_performance.schema.json</w:t>
            </w:r>
          </w:p>
        </w:tc>
        <w:tc>
          <w:tcPr>
            <w:tcW w:w="5100" w:type="dxa"/>
          </w:tcPr>
          <w:p>
            <w:pPr>
              <w:pStyle w:val="TableText"/>
              <w:keepLines/>
            </w:pPr>
            <w:r>
              <w:rPr>
                <w:sz w:val="14"/>
                <w:szCs w:val="14"/>
              </w:rPr>
              <w:t xml:space="preserve">Market-data contract.</w:t>
            </w:r>
          </w:p>
        </w:tc>
      </w:tr>
      <w:tr>
        <w:trPr>
          <w:cantSplit/>
        </w:trPr>
        <w:tc>
          <w:tcPr>
            <w:tcW w:w="3900" w:type="dxa"/>
          </w:tcPr>
          <w:p>
            <w:pPr>
              <w:pStyle w:val="TableText"/>
              <w:keepLines/>
            </w:pPr>
            <w:r>
              <w:rPr>
                <w:sz w:val="14"/>
                <w:szCs w:val="14"/>
              </w:rPr>
              <w:t xml:space="preserve">schemas/capex_analysis_summary.schema.json</w:t>
            </w:r>
          </w:p>
        </w:tc>
        <w:tc>
          <w:tcPr>
            <w:tcW w:w="5100" w:type="dxa"/>
          </w:tcPr>
          <w:p>
            <w:pPr>
              <w:pStyle w:val="TableText"/>
              <w:keepLines/>
            </w:pPr>
            <w:r>
              <w:rPr>
                <w:sz w:val="14"/>
                <w:szCs w:val="14"/>
              </w:rPr>
              <w:t xml:space="preserve">Verdict contract.</w:t>
            </w:r>
          </w:p>
        </w:tc>
      </w:tr>
      <w:tr>
        <w:trPr>
          <w:cantSplit/>
        </w:trPr>
        <w:tc>
          <w:tcPr>
            <w:tcW w:w="3900" w:type="dxa"/>
          </w:tcPr>
          <w:p>
            <w:pPr>
              <w:pStyle w:val="TableText"/>
              <w:keepLines/>
            </w:pPr>
            <w:r>
              <w:rPr>
                <w:sz w:val="14"/>
                <w:szCs w:val="14"/>
              </w:rPr>
              <w:t xml:space="preserve">frontend/src/components/CapexCorrelationView.tsx</w:t>
            </w:r>
          </w:p>
        </w:tc>
        <w:tc>
          <w:tcPr>
            <w:tcW w:w="5100" w:type="dxa"/>
          </w:tcPr>
          <w:p>
            <w:pPr>
              <w:pStyle w:val="TableText"/>
              <w:keepLines/>
            </w:pPr>
            <w:r>
              <w:rPr>
                <w:sz w:val="14"/>
                <w:szCs w:val="14"/>
              </w:rPr>
              <w:t xml:space="preserve">Lead/lag explorer and fitted-line UI.</w:t>
            </w:r>
          </w:p>
        </w:tc>
      </w:tr>
      <w:tr>
        <w:trPr>
          <w:cantSplit/>
        </w:trPr>
        <w:tc>
          <w:tcPr>
            <w:tcW w:w="3900" w:type="dxa"/>
          </w:tcPr>
          <w:p>
            <w:pPr>
              <w:pStyle w:val="TableText"/>
              <w:keepLines/>
            </w:pPr>
            <w:r>
              <w:rPr>
                <w:sz w:val="14"/>
                <w:szCs w:val="14"/>
              </w:rPr>
              <w:t xml:space="preserve">frontend/src/components/CorporateFundamentalsView.tsx</w:t>
            </w:r>
          </w:p>
        </w:tc>
        <w:tc>
          <w:tcPr>
            <w:tcW w:w="5100" w:type="dxa"/>
          </w:tcPr>
          <w:p>
            <w:pPr>
              <w:pStyle w:val="TableText"/>
              <w:keepLines/>
            </w:pPr>
            <w:r>
              <w:rPr>
                <w:sz w:val="14"/>
                <w:szCs w:val="14"/>
              </w:rPr>
              <w:t xml:space="preserve">Corporate case-study UI.</w:t>
            </w:r>
          </w:p>
        </w:tc>
      </w:tr>
      <w:tr>
        <w:trPr>
          <w:cantSplit/>
        </w:trPr>
        <w:tc>
          <w:tcPr>
            <w:tcW w:w="3900" w:type="dxa"/>
          </w:tcPr>
          <w:p>
            <w:pPr>
              <w:pStyle w:val="TableText"/>
              <w:keepLines/>
            </w:pPr>
            <w:r>
              <w:rPr>
                <w:sz w:val="14"/>
                <w:szCs w:val="14"/>
              </w:rPr>
              <w:t xml:space="preserve">frontend/src/components/FiscalBridgeView.tsx</w:t>
            </w:r>
          </w:p>
        </w:tc>
        <w:tc>
          <w:tcPr>
            <w:tcW w:w="5100" w:type="dxa"/>
          </w:tcPr>
          <w:p>
            <w:pPr>
              <w:pStyle w:val="TableText"/>
              <w:keepLines/>
            </w:pPr>
            <w:r>
              <w:rPr>
                <w:sz w:val="14"/>
                <w:szCs w:val="14"/>
              </w:rPr>
              <w:t xml:space="preserve">Fiscal quadrant UI.</w:t>
            </w:r>
          </w:p>
        </w:tc>
      </w:tr>
      <w:tr>
        <w:trPr>
          <w:cantSplit/>
        </w:trPr>
        <w:tc>
          <w:tcPr>
            <w:tcW w:w="3900" w:type="dxa"/>
          </w:tcPr>
          <w:p>
            <w:pPr>
              <w:pStyle w:val="TableText"/>
              <w:keepLines/>
            </w:pPr>
            <w:r>
              <w:rPr>
                <w:sz w:val="14"/>
                <w:szCs w:val="14"/>
              </w:rPr>
              <w:t xml:space="preserve">frontend/src/components/InvestmentQualityView.tsx</w:t>
            </w:r>
          </w:p>
        </w:tc>
        <w:tc>
          <w:tcPr>
            <w:tcW w:w="5100" w:type="dxa"/>
          </w:tcPr>
          <w:p>
            <w:pPr>
              <w:pStyle w:val="TableText"/>
              <w:keepLines/>
            </w:pPr>
            <w:r>
              <w:rPr>
                <w:sz w:val="14"/>
                <w:szCs w:val="14"/>
              </w:rPr>
              <w:t xml:space="preserve">Sector delivery-quality explorer.</w:t>
            </w:r>
          </w:p>
        </w:tc>
      </w:tr>
      <w:tr>
        <w:trPr>
          <w:cantSplit/>
        </w:trPr>
        <w:tc>
          <w:tcPr>
            <w:tcW w:w="3900" w:type="dxa"/>
          </w:tcPr>
          <w:p>
            <w:pPr>
              <w:pStyle w:val="TableText"/>
              <w:keepLines/>
            </w:pPr>
            <w:r>
              <w:rPr>
                <w:sz w:val="14"/>
                <w:szCs w:val="14"/>
              </w:rPr>
              <w:t xml:space="preserve">frontend/src/components/CrowdingInView.tsx</w:t>
            </w:r>
          </w:p>
        </w:tc>
        <w:tc>
          <w:tcPr>
            <w:tcW w:w="5100" w:type="dxa"/>
          </w:tcPr>
          <w:p>
            <w:pPr>
              <w:pStyle w:val="TableText"/>
              <w:keepLines/>
            </w:pPr>
            <w:r>
              <w:rPr>
                <w:sz w:val="14"/>
                <w:szCs w:val="14"/>
              </w:rPr>
              <w:t xml:space="preserve">Distributed-lag evidence ladder.</w:t>
            </w:r>
          </w:p>
        </w:tc>
      </w:tr>
      <w:tr>
        <w:trPr>
          <w:cantSplit/>
        </w:trPr>
        <w:tc>
          <w:tcPr>
            <w:tcW w:w="3900" w:type="dxa"/>
          </w:tcPr>
          <w:p>
            <w:pPr>
              <w:pStyle w:val="TableText"/>
              <w:keepLines/>
            </w:pPr>
            <w:r>
              <w:rPr>
                <w:sz w:val="14"/>
                <w:szCs w:val="14"/>
              </w:rPr>
              <w:t xml:space="preserve">frontend/src/components/StateCapexEvaluationView.tsx</w:t>
            </w:r>
          </w:p>
        </w:tc>
        <w:tc>
          <w:tcPr>
            <w:tcW w:w="5100" w:type="dxa"/>
          </w:tcPr>
          <w:p>
            <w:pPr>
              <w:pStyle w:val="TableText"/>
              <w:keepLines/>
            </w:pPr>
            <w:r>
              <w:rPr>
                <w:sz w:val="14"/>
                <w:szCs w:val="14"/>
              </w:rPr>
              <w:t xml:space="preserve">State panel explorer.</w:t>
            </w:r>
          </w:p>
        </w:tc>
      </w:tr>
      <w:tr>
        <w:trPr>
          <w:cantSplit/>
        </w:trPr>
        <w:tc>
          <w:tcPr>
            <w:tcW w:w="3900" w:type="dxa"/>
          </w:tcPr>
          <w:p>
            <w:pPr>
              <w:pStyle w:val="TableText"/>
              <w:keepLines/>
            </w:pPr>
            <w:r>
              <w:rPr>
                <w:sz w:val="14"/>
                <w:szCs w:val="14"/>
              </w:rPr>
              <w:t xml:space="preserve">frontend/src/components/CapexScenarioLab.tsx</w:t>
            </w:r>
          </w:p>
        </w:tc>
        <w:tc>
          <w:tcPr>
            <w:tcW w:w="5100" w:type="dxa"/>
          </w:tcPr>
          <w:p>
            <w:pPr>
              <w:pStyle w:val="TableText"/>
              <w:keepLines/>
            </w:pPr>
            <w:r>
              <w:rPr>
                <w:sz w:val="14"/>
                <w:szCs w:val="14"/>
              </w:rPr>
              <w:t xml:space="preserve">Interactive five-year model.</w:t>
            </w:r>
          </w:p>
        </w:tc>
      </w:tr>
      <w:tr>
        <w:trPr>
          <w:cantSplit/>
        </w:trPr>
        <w:tc>
          <w:tcPr>
            <w:tcW w:w="3900" w:type="dxa"/>
          </w:tcPr>
          <w:p>
            <w:pPr>
              <w:pStyle w:val="TableText"/>
              <w:keepLines/>
            </w:pPr>
            <w:r>
              <w:rPr>
                <w:sz w:val="14"/>
                <w:szCs w:val="14"/>
              </w:rPr>
              <w:t xml:space="preserve">frontend/src/components/MetricPanel.tsx</w:t>
            </w:r>
          </w:p>
        </w:tc>
        <w:tc>
          <w:tcPr>
            <w:tcW w:w="5100" w:type="dxa"/>
          </w:tcPr>
          <w:p>
            <w:pPr>
              <w:pStyle w:val="TableText"/>
              <w:keepLines/>
            </w:pPr>
            <w:r>
              <w:rPr>
                <w:sz w:val="14"/>
                <w:szCs w:val="14"/>
              </w:rPr>
              <w:t xml:space="preserve">Specialised component dispatch.</w:t>
            </w:r>
          </w:p>
        </w:tc>
      </w:tr>
      <w:tr>
        <w:trPr>
          <w:cantSplit/>
        </w:trPr>
        <w:tc>
          <w:tcPr>
            <w:tcW w:w="3900" w:type="dxa"/>
          </w:tcPr>
          <w:p>
            <w:pPr>
              <w:pStyle w:val="TableText"/>
              <w:keepLines/>
            </w:pPr>
            <w:r>
              <w:rPr>
                <w:sz w:val="14"/>
                <w:szCs w:val="14"/>
              </w:rPr>
              <w:t xml:space="preserve">frontend/src/data/runtimeGuards.ts</w:t>
            </w:r>
          </w:p>
        </w:tc>
        <w:tc>
          <w:tcPr>
            <w:tcW w:w="5100" w:type="dxa"/>
          </w:tcPr>
          <w:p>
            <w:pPr>
              <w:pStyle w:val="TableText"/>
              <w:keepLines/>
            </w:pPr>
            <w:r>
              <w:rPr>
                <w:sz w:val="14"/>
                <w:szCs w:val="14"/>
              </w:rPr>
              <w:t xml:space="preserve">Runtime schema and adapter checks.</w:t>
            </w:r>
          </w:p>
        </w:tc>
      </w:tr>
      <w:tr>
        <w:trPr>
          <w:cantSplit/>
        </w:trPr>
        <w:tc>
          <w:tcPr>
            <w:tcW w:w="3900" w:type="dxa"/>
          </w:tcPr>
          <w:p>
            <w:pPr>
              <w:pStyle w:val="TableText"/>
              <w:keepLines/>
            </w:pPr>
            <w:r>
              <w:rPr>
                <w:sz w:val="14"/>
                <w:szCs w:val="14"/>
              </w:rPr>
              <w:t xml:space="preserve">frontend/scripts/validate-public-data.mjs</w:t>
            </w:r>
          </w:p>
        </w:tc>
        <w:tc>
          <w:tcPr>
            <w:tcW w:w="5100" w:type="dxa"/>
          </w:tcPr>
          <w:p>
            <w:pPr>
              <w:pStyle w:val="TableText"/>
              <w:keepLines/>
            </w:pPr>
            <w:r>
              <w:rPr>
                <w:sz w:val="14"/>
                <w:szCs w:val="14"/>
              </w:rPr>
              <w:t xml:space="preserve">Build-time catalogue and asset validation.</w:t>
            </w:r>
          </w:p>
        </w:tc>
      </w:tr>
      <w:tr>
        <w:trPr>
          <w:cantSplit/>
        </w:trPr>
        <w:tc>
          <w:tcPr>
            <w:tcW w:w="3900" w:type="dxa"/>
          </w:tcPr>
          <w:p>
            <w:pPr>
              <w:pStyle w:val="TableText"/>
              <w:keepLines/>
            </w:pPr>
            <w:r>
              <w:rPr>
                <w:sz w:val="14"/>
                <w:szCs w:val="14"/>
              </w:rPr>
              <w:t xml:space="preserve">tests/test_capex_analysis.py</w:t>
            </w:r>
          </w:p>
        </w:tc>
        <w:tc>
          <w:tcPr>
            <w:tcW w:w="5100" w:type="dxa"/>
          </w:tcPr>
          <w:p>
            <w:pPr>
              <w:pStyle w:val="TableText"/>
              <w:keepLines/>
            </w:pPr>
            <w:r>
              <w:rPr>
                <w:sz w:val="14"/>
                <w:szCs w:val="14"/>
              </w:rPr>
              <w:t xml:space="preserve">Market, timing, summary and company regression tests.</w:t>
            </w:r>
          </w:p>
        </w:tc>
      </w:tr>
      <w:tr>
        <w:trPr>
          <w:cantSplit/>
        </w:trPr>
        <w:tc>
          <w:tcPr>
            <w:tcW w:w="3900" w:type="dxa"/>
          </w:tcPr>
          <w:p>
            <w:pPr>
              <w:pStyle w:val="TableText"/>
              <w:keepLines/>
            </w:pPr>
            <w:r>
              <w:rPr>
                <w:sz w:val="14"/>
                <w:szCs w:val="14"/>
              </w:rPr>
              <w:t xml:space="preserve">tests/test_capex_delivery.py</w:t>
            </w:r>
          </w:p>
        </w:tc>
        <w:tc>
          <w:tcPr>
            <w:tcW w:w="5100" w:type="dxa"/>
          </w:tcPr>
          <w:p>
            <w:pPr>
              <w:pStyle w:val="TableText"/>
              <w:keepLines/>
            </w:pPr>
            <w:r>
              <w:rPr>
                <w:sz w:val="14"/>
                <w:szCs w:val="14"/>
              </w:rPr>
              <w:t xml:space="preserve">Unit separation, exact source observations and output registration.</w:t>
            </w:r>
          </w:p>
        </w:tc>
      </w:tr>
      <w:tr>
        <w:trPr>
          <w:cantSplit/>
        </w:trPr>
        <w:tc>
          <w:tcPr>
            <w:tcW w:w="3900" w:type="dxa"/>
          </w:tcPr>
          <w:p>
            <w:pPr>
              <w:pStyle w:val="TableText"/>
              <w:keepLines/>
            </w:pPr>
            <w:r>
              <w:rPr>
                <w:sz w:val="14"/>
                <w:szCs w:val="14"/>
              </w:rPr>
              <w:t xml:space="preserve">tests/test_capex_depth.py</w:t>
            </w:r>
          </w:p>
        </w:tc>
        <w:tc>
          <w:tcPr>
            <w:tcW w:w="5100" w:type="dxa"/>
          </w:tcPr>
          <w:p>
            <w:pPr>
              <w:pStyle w:val="TableText"/>
              <w:keepLines/>
            </w:pPr>
            <w:r>
              <w:rPr>
                <w:sz w:val="14"/>
                <w:szCs w:val="14"/>
              </w:rPr>
              <w:t xml:space="preserve">Quality/state/crowding-in contracts, evidence gates and public routes.</w:t>
            </w:r>
          </w:p>
        </w:tc>
      </w:tr>
      <w:tr>
        <w:trPr>
          <w:cantSplit/>
        </w:trPr>
        <w:tc>
          <w:tcPr>
            <w:tcW w:w="3900" w:type="dxa"/>
          </w:tcPr>
          <w:p>
            <w:pPr>
              <w:pStyle w:val="TableText"/>
              <w:keepLines/>
            </w:pPr>
            <w:r>
              <w:rPr>
                <w:sz w:val="14"/>
                <w:szCs w:val="14"/>
              </w:rPr>
              <w:t xml:space="preserve">tests/test_capex_pipeline.py</w:t>
            </w:r>
          </w:p>
        </w:tc>
        <w:tc>
          <w:tcPr>
            <w:tcW w:w="5100" w:type="dxa"/>
          </w:tcPr>
          <w:p>
            <w:pPr>
              <w:pStyle w:val="TableText"/>
              <w:keepLines/>
            </w:pPr>
            <w:r>
              <w:rPr>
                <w:sz w:val="14"/>
                <w:szCs w:val="14"/>
              </w:rPr>
              <w:t xml:space="preserve">Layer boundaries, complete-set prevalidation, publication and processed/public parity.</w:t>
            </w:r>
          </w:p>
        </w:tc>
      </w:tr>
    </w:tbl>
    <w:p>
      <w:pPr>
        <w:spacing w:after="80"/>
      </w:pPr>
      <w:r>
        <w:t xml:space="preserve"/>
      </w:r>
    </w:p>
    <w:p>
      <w:pPr>
        <w:jc w:val="center"/>
        <w:spacing w:before="360"/>
      </w:pPr>
      <w:r>
        <w:rPr>
          <w:i/>
          <w:color w:val="64748B"/>
        </w:rPr>
        <w:t xml:space="preserve">End of technical guide.</w:t>
      </w:r>
    </w:p>
    <w:sectPr>
      <w:headerReference w:type="default" r:id="rId3"/>
      <w:footerReference w:type="default" r:id="rId4"/>
      <w:pgSz w:w="11906" w:h="16838"/>
      <w:pgMar w:top="1134" w:right="900" w:bottom="1134" w:left="900" w:header="560" w:footer="560"/>
    </w:sectPr>
  </w:body>
</w:document>
</file>

<file path=word/fontTable.xml><?xml version="1.0" encoding="utf-8"?>
<w:fonts xmlns:w="http://schemas.openxmlformats.org/wordprocessingml/2006/main">
  <w:font w:name="Aptos"/>
  <w:font w:name="Aptos Display"/>
  <w:font w:name="Cascadia Mono"/>
</w:fonts>
</file>

<file path=word/footer1.xml><?xml version="1.0" encoding="utf-8"?>
<w:ftr xmlns:w="http://schemas.openxmlformats.org/wordprocessingml/2006/main">
  <w:p>
    <w:pPr>
      <w:jc w:val="center"/>
    </w:pPr>
    <w:r>
      <w:rPr>
        <w:color w:val="64748B"/>
        <w:sz w:val="17"/>
      </w:rPr>
      <w:t>India public CapEx transmission  •  </w:t>
    </w:r>
    <w:fldSimple w:instr="PAGE">
      <w:r>
        <w:rPr>
          <w:color w:val="64748B"/>
          <w:sz w:val="17"/>
        </w:rPr>
        <w:t>1</w:t>
      </w:r>
    </w:fldSimple>
  </w:p>
</w:ftr>
</file>

<file path=word/header1.xml><?xml version="1.0" encoding="utf-8"?>
<w:hdr xmlns:w="http://schemas.openxmlformats.org/wordprocessingml/2006/main">
  <w:p>
    <w:pPr>
      <w:jc w:val="right"/>
      <w:pBdr>
        <w:bottom w:val="single" w:sz="4" w:space="5" w:color="CBD5E1"/>
      </w:pBdr>
    </w:pPr>
    <w:r>
      <w:rPr>
        <w:color w:val="64748B"/>
        <w:sz w:val="17"/>
      </w:rPr>
      <w:t>CapEx transmission  |  Technical implementation guide</w:t>
    </w:r>
  </w:p>
</w:hd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docDefaults>
    <w:rPrDefault>
      <w:rPr>
        <w:rFonts w:ascii="Aptos" w:hAnsi="Aptos"/>
        <w:sz w:val="21"/>
      </w:rPr>
    </w:rPrDefault>
    <w:pPrDefault>
      <w:pPr>
        <w:spacing w:after="140"/>
      </w:pPr>
    </w:pPrDefault>
  </w:docDefaults>
  <w:style w:type="character" w:default="1" w:styleId="DefaultParagraphFont">
    <w:name w:val="Default Paragraph Font"/>
  </w:style>
  <w:style w:type="table" w:default="1" w:styleId="TableNormal">
    <w:name w:val="Normal Table"/>
  </w:style>
  <w:style w:type="paragraph" w:default="1" w:styleId="Normal">
    <w:name w:val="Normal"/>
  </w:style>
  <w:style w:type="paragraph" w:styleId="Title">
    <w:name w:val="Title"/>
    <w:basedOn w:val="Normal"/>
    <w:rPr>
      <w:b/>
      <w:color w:val="17324D"/>
      <w:sz w:val="58"/>
    </w:rPr>
  </w:style>
  <w:style w:type="paragraph" w:styleId="Subtitle">
    <w:name w:val="Subtitle"/>
    <w:basedOn w:val="Normal"/>
    <w:rPr>
      <w:color w:val="64748B"/>
      <w:sz w:val="28"/>
    </w:rPr>
  </w:style>
  <w:style w:type="paragraph" w:styleId="Heading1">
    <w:name w:val="heading 1"/>
    <w:basedOn w:val="Normal"/>
    <w:pPr>
      <w:outlineLvl w:val="0"/>
    </w:pPr>
    <w:rPr>
      <w:b/>
      <w:color w:val="17324D"/>
      <w:sz w:val="38"/>
    </w:rPr>
  </w:style>
  <w:style w:type="paragraph" w:styleId="Heading2">
    <w:name w:val="heading 2"/>
    <w:basedOn w:val="Normal"/>
    <w:pPr>
      <w:outlineLvl w:val="1"/>
    </w:pPr>
    <w:rPr>
      <w:b/>
      <w:color w:val="1F4E78"/>
      <w:sz w:val="29"/>
    </w:rPr>
  </w:style>
  <w:style w:type="paragraph" w:styleId="Heading3">
    <w:name w:val="heading 3"/>
    <w:basedOn w:val="Normal"/>
    <w:pPr>
      <w:outlineLvl w:val="2"/>
    </w:pPr>
    <w:rPr>
      <w:b/>
      <w:color w:val="2E7D6B"/>
      <w:sz w:val="23"/>
    </w:rPr>
  </w:style>
  <w:style w:type="paragraph" w:styleId="ListParagraph">
    <w:name w:val="List Paragraph"/>
    <w:basedOn w:val="Normal"/>
  </w:style>
  <w:style w:type="paragraph" w:styleId="Code">
    <w:name w:val="Code"/>
    <w:basedOn w:val="Normal"/>
    <w:pPr>
      <w:shd w:val="clear" w:fill="F1F5F9"/>
    </w:pPr>
    <w:rPr>
      <w:rFonts w:ascii="Cascadia Mono" w:hAnsi="Cascadia Mono"/>
      <w:sz w:val="18"/>
    </w:rPr>
  </w:style>
  <w:style w:type="paragraph" w:styleId="TableText">
    <w:name w:val="Table Text"/>
    <w:basedOn w:val="Normal"/>
  </w:style>
  <w:style w:type="character" w:styleId="Hyperlink">
    <w:name w:val="Hyperlink"/>
    <w:rPr>
      <w:color w:val="0563C1"/>
      <w:u w:val="single"/>
    </w:rPr>
  </w:style>
  <w:style w:type="table" w:styleId="ArchitectureTable">
    <w:name w:val="Architecture Table"/>
    <w:basedOn w:val="TableNormal"/>
    <w:tblPr>
      <w:tblBorders>
        <w:top w:val="single" w:sz="4" w:color="CBD5E1"/>
        <w:left w:val="single" w:sz="4" w:color="CBD5E1"/>
        <w:bottom w:val="single" w:sz="4" w:color="CBD5E1"/>
        <w:right w:val="single" w:sz="4" w:color="CBD5E1"/>
        <w:insideH w:val="single" w:sz="4" w:color="CBD5E1"/>
        <w:insideV w:val="single" w:sz="4" w:color="CBD5E1"/>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header" Target="header1.xml"/>
<Relationship Id="rId4" Type="http://schemas.openxmlformats.org/officeDocument/2006/relationships/footer" Target="footer1.xml"/>
<Relationship Id="rId5" Type="http://schemas.openxmlformats.org/officeDocument/2006/relationships/fontTable" Target="fontTable.xml"/>

</Relationships>
</file>

<file path=docProps/app.xml><?xml version="1.0" encoding="utf-8"?>
<Properties xmlns="http://schemas.openxmlformats.org/officeDocument/2006/extended-properties">
  <Application>2026DB documentation generator</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India’s Public CapEx Transmission: Technical Guide</dc:title>
  <dc:subject>India public capital-expenditure transmission research</dc:subject>
  <dc:creator>2026DB project</dc:creator>
  <cp:lastModifiedBy>Codex</cp:lastModifiedBy>
  <dcterms:created xsi:type="dcterms:W3CDTF">2026-08-06T13:19:06.431911+00:00</dcterms:created>
  <dcterms:modified xsi:type="dcterms:W3CDTF">2026-08-06T13:19:06.431911+00:00</dcterms:modified>
  <cp:keywords>India; public capital expenditure; fiscal policy; investment; Nifty; debt sustainability; methodology</cp:keywords>
</cp:coreProperties>
</file>