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jc w:val="left"/>
      </w:pPr>
      <w:r>
        <w:rPr>
          <w:rFonts w:ascii="Liberation Sans" w:hAnsi="Liberation Sans"/>
          <w:b/>
          <w:color w:val="17324D"/>
          <w:sz w:val="60"/>
        </w:rPr>
        <w:t>India Structural Growth &amp; Resilience Analysis</w:t>
      </w:r>
    </w:p>
    <w:p>
      <w:pPr>
        <w:spacing w:after="400"/>
      </w:pPr>
      <w:r>
        <w:rPr>
          <w:rFonts w:ascii="Liberation Sans" w:hAnsi="Liberation Sans"/>
          <w:color w:val="0F766E"/>
          <w:sz w:val="30"/>
        </w:rPr>
        <w:t>Focused research roadmap, data architecture and delivery plan</w:t>
      </w:r>
    </w:p>
    <w:p>
      <w:pPr>
        <w:spacing w:after="360"/>
        <w:pBdr>
          <w:bottom w:val="single" w:sz="18" w:space="1" w:color="0F766E"/>
        </w:pBdr>
      </w:pPr>
    </w:p>
    <w:tbl>
      <w:tblPr>
        <w:tblW w:type="auto" w:w="0"/>
        <w:jc w:val="center"/>
        <w:tblLayout w:type="fixed"/>
        <w:tblLook w:firstColumn="1" w:firstRow="1" w:lastColumn="0" w:lastRow="0" w:noHBand="0" w:noVBand="1" w:val="04A0"/>
      </w:tblPr>
      <w:tblGrid>
        <w:gridCol w:w="173"/>
        <w:gridCol w:w="9432"/>
      </w:tblGrid>
      <w:tr>
        <w:tc>
          <w:tcPr>
            <w:tcW w:type="dxa" w:w="4917"/>
            <w:shd w:fill="17324D"/>
            <w:tcMar>
              <w:top w:w="40" w:type="dxa"/>
              <w:start w:w="20" w:type="dxa"/>
              <w:bottom w:w="40" w:type="dxa"/>
              <w:end w:w="20" w:type="dxa"/>
            </w:tcMar>
            <w:tcBorders>
              <w:top w:val="nil"/>
              <w:left w:val="nil"/>
              <w:bottom w:val="nil"/>
              <w:right w:val="nil"/>
            </w:tcBorders>
          </w:tcPr>
          <w:p/>
        </w:tc>
        <w:tc>
          <w:tcPr>
            <w:tcW w:type="dxa" w:w="4917"/>
            <w:shd w:fill="EEF3FB"/>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17324D"/>
                <w:sz w:val="21"/>
              </w:rPr>
              <w:t>Central research question</w:t>
            </w:r>
          </w:p>
          <w:p>
            <w:pPr>
              <w:spacing w:after="0"/>
            </w:pPr>
            <w:r>
              <w:rPr>
                <w:rFonts w:ascii="Liberation Sans" w:hAnsi="Liberation Sans"/>
                <w:color w:val="1F2937"/>
                <w:sz w:val="20"/>
              </w:rPr>
              <w:t>Is India developing the domestic financial, physical and human capacity required for sustained growth, while remaining fiscally and externally resilient?</w:t>
            </w:r>
          </w:p>
        </w:tc>
      </w:tr>
    </w:tbl>
    <w:p>
      <w:pPr>
        <w:spacing w:after="20"/>
      </w:pPr>
    </w:p>
    <w:p>
      <w:pPr>
        <w:spacing w:before="0" w:after="120" w:line="259" w:lineRule="auto"/>
      </w:pPr>
      <w:r>
        <w:rPr>
          <w:rFonts w:ascii="Liberation Sans" w:hAnsi="Liberation Sans"/>
          <w:i w:val="0"/>
          <w:color w:val="1F2937"/>
          <w:sz w:val="21"/>
        </w:rPr>
        <w:t>This document narrows the project from a broad indicator dashboard to seven connected analytical sections. Each section tests a specific mechanism, uses one primary chart and one supporting view, and ends with an explicit limitation. The purpose is to reach a defensible conclusion rather than to display every available statistic.</w:t>
      </w:r>
    </w:p>
    <w:p>
      <w:pPr>
        <w:spacing w:before="360" w:after="0"/>
      </w:pPr>
      <w:r>
        <w:rPr>
          <w:rFonts w:ascii="Liberation Sans" w:hAnsi="Liberation Sans"/>
          <w:i/>
          <w:color w:val="475569"/>
          <w:sz w:val="21"/>
        </w:rPr>
        <w:t>Prepared for implementation in the existing Python-to-static-JSON-to-React architecture</w:t>
      </w:r>
    </w:p>
    <w:p>
      <w:pPr>
        <w:spacing w:before="60"/>
      </w:pPr>
      <w:r>
        <w:rPr>
          <w:rFonts w:ascii="Liberation Sans" w:hAnsi="Liberation Sans"/>
          <w:color w:val="475569"/>
          <w:sz w:val="19"/>
        </w:rPr>
        <w:t>Planning version: 2026-07-21</w:t>
      </w:r>
    </w:p>
    <w:p>
      <w:r>
        <w:br w:type="page"/>
      </w:r>
    </w:p>
    <w:p>
      <w:pPr>
        <w:pStyle w:val="Heading1"/>
        <w:keepNext/>
        <w:spacing w:before="200" w:after="100"/>
      </w:pPr>
      <w:r>
        <w:rPr>
          <w:rFonts w:ascii="Liberation Sans" w:hAnsi="Liberation Sans"/>
          <w:b/>
          <w:color w:val="17324D"/>
          <w:sz w:val="40"/>
        </w:rPr>
        <w:t>1. Executive summary</w:t>
      </w:r>
    </w:p>
    <w:p>
      <w:pPr>
        <w:spacing w:before="0" w:after="120" w:line="259" w:lineRule="auto"/>
      </w:pPr>
      <w:r>
        <w:rPr>
          <w:rFonts w:ascii="Liberation Sans" w:hAnsi="Liberation Sans"/>
          <w:i w:val="0"/>
          <w:color w:val="1F2937"/>
          <w:sz w:val="21"/>
        </w:rPr>
        <w:t>The revised project has seven analytical sections. Six test India’s structural growth model; the seventh examines whether domestic institutions buffer Indian markets during global shocks. The sections are designed to work together, not to operate as seven independent mini-projects.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403"/>
            <w:shd w:fill="17324D"/>
            <w:vAlign w:val="center"/>
            <w:tcMar>
              <w:top w:w="80" w:type="dxa"/>
              <w:start w:w="90" w:type="dxa"/>
              <w:bottom w:w="80" w:type="dxa"/>
              <w:end w:w="90" w:type="dxa"/>
            </w:tcMar>
          </w:tcPr>
          <w:p>
            <w:pPr>
              <w:jc w:val="left"/>
            </w:pPr>
            <w:r>
              <w:rPr>
                <w:rFonts w:ascii="Liberation Sans" w:hAnsi="Liberation Sans"/>
                <w:b/>
                <w:color w:val="FFFFFF"/>
                <w:sz w:val="17"/>
              </w:rPr>
              <w:t>#</w:t>
            </w:r>
          </w:p>
        </w:tc>
        <w:tc>
          <w:tcPr>
            <w:tcW w:type="dxa" w:w="1987"/>
            <w:shd w:fill="17324D"/>
            <w:vAlign w:val="center"/>
            <w:tcMar>
              <w:top w:w="80" w:type="dxa"/>
              <w:start w:w="90" w:type="dxa"/>
              <w:bottom w:w="80" w:type="dxa"/>
              <w:end w:w="90" w:type="dxa"/>
            </w:tcMar>
          </w:tcPr>
          <w:p>
            <w:pPr>
              <w:jc w:val="left"/>
            </w:pPr>
            <w:r>
              <w:rPr>
                <w:rFonts w:ascii="Liberation Sans" w:hAnsi="Liberation Sans"/>
                <w:b/>
                <w:color w:val="FFFFFF"/>
                <w:sz w:val="17"/>
              </w:rPr>
              <w:t>Section</w:t>
            </w:r>
          </w:p>
        </w:tc>
        <w:tc>
          <w:tcPr>
            <w:tcW w:type="dxa" w:w="4104"/>
            <w:shd w:fill="17324D"/>
            <w:vAlign w:val="center"/>
            <w:tcMar>
              <w:top w:w="80" w:type="dxa"/>
              <w:start w:w="90" w:type="dxa"/>
              <w:bottom w:w="80" w:type="dxa"/>
              <w:end w:w="90" w:type="dxa"/>
            </w:tcMar>
          </w:tcPr>
          <w:p>
            <w:pPr>
              <w:jc w:val="left"/>
            </w:pPr>
            <w:r>
              <w:rPr>
                <w:rFonts w:ascii="Liberation Sans" w:hAnsi="Liberation Sans"/>
                <w:b/>
                <w:color w:val="FFFFFF"/>
                <w:sz w:val="17"/>
              </w:rPr>
              <w:t>Core question</w:t>
            </w:r>
          </w:p>
        </w:tc>
        <w:tc>
          <w:tcPr>
            <w:tcW w:type="dxa" w:w="3053"/>
            <w:shd w:fill="17324D"/>
            <w:vAlign w:val="center"/>
            <w:tcMar>
              <w:top w:w="80" w:type="dxa"/>
              <w:start w:w="90" w:type="dxa"/>
              <w:bottom w:w="80" w:type="dxa"/>
              <w:end w:w="90" w:type="dxa"/>
            </w:tcMar>
          </w:tcPr>
          <w:p>
            <w:pPr>
              <w:jc w:val="left"/>
            </w:pPr>
            <w:r>
              <w:rPr>
                <w:rFonts w:ascii="Liberation Sans" w:hAnsi="Liberation Sans"/>
                <w:b/>
                <w:color w:val="FFFFFF"/>
                <w:sz w:val="17"/>
              </w:rPr>
              <w:t>Primary evidence</w:t>
            </w:r>
          </w:p>
        </w:tc>
      </w:tr>
      <w:tr>
        <w:tc>
          <w:tcPr>
            <w:tcW w:type="dxa" w:w="40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1</w:t>
            </w:r>
          </w:p>
        </w:tc>
        <w:tc>
          <w:tcPr>
            <w:tcW w:type="dxa" w:w="1987"/>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Digital integration and tax capacity</w:t>
            </w:r>
          </w:p>
        </w:tc>
        <w:tc>
          <w:tcPr>
            <w:tcW w:type="dxa" w:w="410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Is UPI becoming embedded in everyday economic activity, and is wider digital integration accompanied by stronger tax capacity?</w:t>
            </w:r>
          </w:p>
        </w:tc>
        <w:tc>
          <w:tcPr>
            <w:tcW w:type="dxa" w:w="305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UPI per capita; UPI value/GDP; GST growth vs nominal GDP</w:t>
            </w:r>
          </w:p>
        </w:tc>
      </w:tr>
      <w:tr>
        <w:tc>
          <w:tcPr>
            <w:tcW w:type="dxa" w:w="40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2</w:t>
            </w:r>
          </w:p>
        </w:tc>
        <w:tc>
          <w:tcPr>
            <w:tcW w:type="dxa" w:w="1987"/>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Government investment and execution</w:t>
            </w:r>
          </w:p>
        </w:tc>
        <w:tc>
          <w:tcPr>
            <w:tcW w:type="dxa" w:w="4104"/>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Is public spending shifting toward productive infrastructure, and are announced plans actually delivered?</w:t>
            </w:r>
          </w:p>
        </w:tc>
        <w:tc>
          <w:tcPr>
            <w:tcW w:type="dxa" w:w="305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CapEx/GDP; CapEx/total spend; execution ratio</w:t>
            </w:r>
          </w:p>
        </w:tc>
      </w:tr>
      <w:tr>
        <w:tc>
          <w:tcPr>
            <w:tcW w:type="dxa" w:w="40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3</w:t>
            </w:r>
          </w:p>
        </w:tc>
        <w:tc>
          <w:tcPr>
            <w:tcW w:type="dxa" w:w="1987"/>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Private investment and crowding-in</w:t>
            </w:r>
          </w:p>
        </w:tc>
        <w:tc>
          <w:tcPr>
            <w:tcW w:type="dxa" w:w="410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Is public infrastructure investment encouraging firms to expand productive capacity?</w:t>
            </w:r>
          </w:p>
        </w:tc>
        <w:tc>
          <w:tcPr>
            <w:tcW w:type="dxa" w:w="305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Private GFCF/GDP; private share of GFCF; capacity utilisation</w:t>
            </w:r>
          </w:p>
        </w:tc>
      </w:tr>
      <w:tr>
        <w:tc>
          <w:tcPr>
            <w:tcW w:type="dxa" w:w="40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4</w:t>
            </w:r>
          </w:p>
        </w:tc>
        <w:tc>
          <w:tcPr>
            <w:tcW w:type="dxa" w:w="1987"/>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Fiscal capacity and debt sustainability</w:t>
            </w:r>
          </w:p>
        </w:tc>
        <w:tc>
          <w:tcPr>
            <w:tcW w:type="dxa" w:w="4104"/>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Can India sustain higher investment without debt service crowding out future development spending?</w:t>
            </w:r>
          </w:p>
        </w:tc>
        <w:tc>
          <w:tcPr>
            <w:tcW w:type="dxa" w:w="305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General-government debt/GDP; interest/revenue; primary balance</w:t>
            </w:r>
          </w:p>
        </w:tc>
      </w:tr>
      <w:tr>
        <w:tc>
          <w:tcPr>
            <w:tcW w:type="dxa" w:w="40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5</w:t>
            </w:r>
          </w:p>
        </w:tc>
        <w:tc>
          <w:tcPr>
            <w:tcW w:type="dxa" w:w="1987"/>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External competitiveness and resilience</w:t>
            </w:r>
          </w:p>
        </w:tc>
        <w:tc>
          <w:tcPr>
            <w:tcW w:type="dxa" w:w="410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Is domestic growth being achieved without a persistent deterioration in external price competitiveness?</w:t>
            </w:r>
          </w:p>
        </w:tc>
        <w:tc>
          <w:tcPr>
            <w:tcW w:type="dxa" w:w="305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REER; REER deviation; current account/GDP; non-oil exports</w:t>
            </w:r>
          </w:p>
        </w:tc>
      </w:tr>
      <w:tr>
        <w:tc>
          <w:tcPr>
            <w:tcW w:type="dxa" w:w="40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6</w:t>
            </w:r>
          </w:p>
        </w:tc>
        <w:tc>
          <w:tcPr>
            <w:tcW w:type="dxa" w:w="1987"/>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Human-capital and employment conversion</w:t>
            </w:r>
          </w:p>
        </w:tc>
        <w:tc>
          <w:tcPr>
            <w:tcW w:type="dxa" w:w="4104"/>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Is expanding higher education translating into productive employment?</w:t>
            </w:r>
          </w:p>
        </w:tc>
        <w:tc>
          <w:tcPr>
            <w:tcW w:type="dxa" w:w="305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Tertiary GER; graduate unemployment; one employment-quality measure</w:t>
            </w:r>
          </w:p>
        </w:tc>
      </w:tr>
      <w:tr>
        <w:tc>
          <w:tcPr>
            <w:tcW w:type="dxa" w:w="40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7</w:t>
            </w:r>
          </w:p>
        </w:tc>
        <w:tc>
          <w:tcPr>
            <w:tcW w:type="dxa" w:w="1987"/>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Domestic capital buffer against global shocks</w:t>
            </w:r>
          </w:p>
        </w:tc>
        <w:tc>
          <w:tcPr>
            <w:tcW w:type="dxa" w:w="410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Has DII growth reduced Indian equity markets’ sensitivity to foreign portfolio outflows?</w:t>
            </w:r>
          </w:p>
        </w:tc>
        <w:tc>
          <w:tcPr>
            <w:tcW w:type="dxa" w:w="305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DII/FPI flows; offset ratio; Nifty drawdown; event studies</w:t>
            </w:r>
          </w:p>
        </w:tc>
      </w:tr>
    </w:tbl>
    <w:p>
      <w:pPr>
        <w:spacing w:after="20"/>
      </w:pPr>
    </w:p>
    <w:tbl>
      <w:tblPr>
        <w:tblW w:type="auto" w:w="0"/>
        <w:jc w:val="center"/>
        <w:tblLayout w:type="fixed"/>
        <w:tblLook w:firstColumn="1" w:firstRow="1" w:lastColumn="0" w:lastRow="0" w:noHBand="0" w:noVBand="1" w:val="04A0"/>
      </w:tblPr>
      <w:tblGrid>
        <w:gridCol w:w="173"/>
        <w:gridCol w:w="9432"/>
      </w:tblGrid>
      <w:tr>
        <w:tc>
          <w:tcPr>
            <w:tcW w:type="dxa" w:w="4917"/>
            <w:shd w:fill="D97706"/>
            <w:tcMar>
              <w:top w:w="40" w:type="dxa"/>
              <w:start w:w="20" w:type="dxa"/>
              <w:bottom w:w="40" w:type="dxa"/>
              <w:end w:w="20" w:type="dxa"/>
            </w:tcMar>
            <w:tcBorders>
              <w:top w:val="nil"/>
              <w:left w:val="nil"/>
              <w:bottom w:val="nil"/>
              <w:right w:val="nil"/>
            </w:tcBorders>
          </w:tcPr>
          <w:p/>
        </w:tc>
        <w:tc>
          <w:tcPr>
            <w:tcW w:type="dxa" w:w="4917"/>
            <w:shd w:fill="FFF4E5"/>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D97706"/>
                <w:sz w:val="21"/>
              </w:rPr>
              <w:t>Scope discipline</w:t>
            </w:r>
          </w:p>
          <w:p>
            <w:pPr>
              <w:spacing w:after="0"/>
            </w:pPr>
            <w:r>
              <w:rPr>
                <w:rFonts w:ascii="Liberation Sans" w:hAnsi="Liberation Sans"/>
                <w:color w:val="1F2937"/>
                <w:sz w:val="20"/>
              </w:rPr>
              <w:t>The project should stop at these seven sections. Supporting measures are allowed only when they test the same mechanism. They should not become additional headline chapters.</w:t>
            </w:r>
          </w:p>
        </w:tc>
      </w:tr>
    </w:tbl>
    <w:p>
      <w:pPr>
        <w:spacing w:after="20"/>
      </w:pPr>
    </w:p>
    <w:p>
      <w:pPr>
        <w:spacing w:before="80" w:after="60"/>
        <w:jc w:val="center"/>
      </w:pPr>
      <w:r>
        <w:drawing>
          <wp:inline xmlns:a="http://schemas.openxmlformats.org/drawingml/2006/main" xmlns:pic="http://schemas.openxmlformats.org/drawingml/2006/picture">
            <wp:extent cx="6035040" cy="5923200"/>
            <wp:docPr id="1" name="Picture 1" descr="Image: image1.png"/>
            <wp:cNvGraphicFramePr>
              <a:graphicFrameLocks noChangeAspect="1"/>
            </wp:cNvGraphicFramePr>
            <a:graphic>
              <a:graphicData uri="http://schemas.openxmlformats.org/drawingml/2006/picture">
                <pic:pic>
                  <pic:nvPicPr>
                    <pic:cNvPr id="0" name="sections.png"/>
                    <pic:cNvPicPr/>
                  </pic:nvPicPr>
                  <pic:blipFill>
                    <a:blip r:embed="rId11"/>
                    <a:stretch>
                      <a:fillRect/>
                    </a:stretch>
                  </pic:blipFill>
                  <pic:spPr>
                    <a:xfrm>
                      <a:off x="0" y="0"/>
                      <a:ext cx="6035040" cy="5923200"/>
                    </a:xfrm>
                    <a:prstGeom prst="rect"/>
                  </pic:spPr>
                </pic:pic>
              </a:graphicData>
            </a:graphic>
          </wp:inline>
        </w:drawing>
      </w:r>
    </w:p>
    <w:p>
      <w:pPr>
        <w:spacing w:after="160"/>
        <w:jc w:val="center"/>
      </w:pPr>
      <w:r>
        <w:rPr>
          <w:rFonts w:ascii="Liberation Sans" w:hAnsi="Liberation Sans"/>
          <w:i/>
          <w:color w:val="475569"/>
          <w:sz w:val="17"/>
        </w:rPr>
        <w:t>Figure 1. The seven sections are organised around domestic capacity, binding constraints and resilience to external shocks.</w:t>
      </w:r>
    </w:p>
    <w:p>
      <w:r>
        <w:br w:type="page"/>
      </w:r>
    </w:p>
    <w:p>
      <w:pPr>
        <w:pStyle w:val="Heading1"/>
        <w:keepNext/>
        <w:spacing w:before="200" w:after="100"/>
      </w:pPr>
      <w:r>
        <w:rPr>
          <w:rFonts w:ascii="Liberation Sans" w:hAnsi="Liberation Sans"/>
          <w:b/>
          <w:color w:val="17324D"/>
          <w:sz w:val="40"/>
        </w:rPr>
        <w:t>2. Analytical narrative</w:t>
      </w:r>
    </w:p>
    <w:p>
      <w:pPr>
        <w:spacing w:before="0" w:after="120" w:line="259" w:lineRule="auto"/>
      </w:pPr>
      <w:r>
        <w:rPr>
          <w:rFonts w:ascii="Liberation Sans" w:hAnsi="Liberation Sans"/>
          <w:i w:val="0"/>
          <w:color w:val="1F2937"/>
          <w:sz w:val="21"/>
        </w:rPr>
        <w:t>The sections form a single chain of reasoning. Digital infrastructure may deepen participation in the formal financial system. Government capital expenditure may improve physical infrastructure, but its success depends on execution and on whether private firms respond. Public investment is constrained by debt and interest costs. Human-capital expansion matters only if education converts into useful employment. REER and the current account test the external constraint. DII/FPI analysis tests whether India’s domestic capital base reduces the transmission of global financial shocks.</w:t>
      </w:r>
    </w:p>
    <w:tbl>
      <w:tblPr>
        <w:tblW w:type="auto" w:w="0"/>
        <w:jc w:val="center"/>
        <w:tblLayout w:type="fixed"/>
        <w:tblLook w:firstColumn="1" w:firstRow="1" w:lastColumn="0" w:lastRow="0" w:noHBand="0" w:noVBand="1" w:val="04A0"/>
      </w:tblPr>
      <w:tblGrid>
        <w:gridCol w:w="173"/>
        <w:gridCol w:w="9432"/>
      </w:tblGrid>
      <w:tr>
        <w:tc>
          <w:tcPr>
            <w:tcW w:type="dxa" w:w="4917"/>
            <w:shd w:fill="0F766E"/>
            <w:tcMar>
              <w:top w:w="40" w:type="dxa"/>
              <w:start w:w="20" w:type="dxa"/>
              <w:bottom w:w="40" w:type="dxa"/>
              <w:end w:w="20" w:type="dxa"/>
            </w:tcMar>
            <w:tcBorders>
              <w:top w:val="nil"/>
              <w:left w:val="nil"/>
              <w:bottom w:val="nil"/>
              <w:right w:val="nil"/>
            </w:tcBorders>
          </w:tcPr>
          <w:p/>
        </w:tc>
        <w:tc>
          <w:tcPr>
            <w:tcW w:type="dxa" w:w="4917"/>
            <w:shd w:fill="E8F5F2"/>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0F766E"/>
                <w:sz w:val="21"/>
              </w:rPr>
              <w:t>What a strong conclusion could look like</w:t>
            </w:r>
          </w:p>
          <w:p>
            <w:pPr>
              <w:spacing w:after="0"/>
            </w:pPr>
            <w:r>
              <w:rPr>
                <w:rFonts w:ascii="Liberation Sans" w:hAnsi="Liberation Sans"/>
                <w:color w:val="1F2937"/>
                <w:sz w:val="20"/>
              </w:rPr>
              <w:t>India may show clear progress in digital and financial infrastructure while still facing weaker private-investment response, employment conversion or external-competitiveness pressures. The analysis does not need to conclude that every dimension is improving.</w:t>
            </w:r>
          </w:p>
        </w:tc>
      </w:tr>
    </w:tbl>
    <w:p>
      <w:pPr>
        <w:spacing w:after="20"/>
      </w:pP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944"/>
            <w:shd w:fill="17324D"/>
            <w:vAlign w:val="center"/>
            <w:tcMar>
              <w:top w:w="80" w:type="dxa"/>
              <w:start w:w="90" w:type="dxa"/>
              <w:bottom w:w="80" w:type="dxa"/>
              <w:end w:w="90" w:type="dxa"/>
            </w:tcMar>
          </w:tcPr>
          <w:p>
            <w:pPr>
              <w:jc w:val="left"/>
            </w:pPr>
            <w:r>
              <w:rPr>
                <w:rFonts w:ascii="Liberation Sans" w:hAnsi="Liberation Sans"/>
                <w:b/>
                <w:color w:val="FFFFFF"/>
                <w:sz w:val="17"/>
              </w:rPr>
              <w:t>Mechanism</w:t>
            </w:r>
          </w:p>
        </w:tc>
        <w:tc>
          <w:tcPr>
            <w:tcW w:type="dxa" w:w="3744"/>
            <w:shd w:fill="17324D"/>
            <w:vAlign w:val="center"/>
            <w:tcMar>
              <w:top w:w="80" w:type="dxa"/>
              <w:start w:w="90" w:type="dxa"/>
              <w:bottom w:w="80" w:type="dxa"/>
              <w:end w:w="90" w:type="dxa"/>
            </w:tcMar>
          </w:tcPr>
          <w:p>
            <w:pPr>
              <w:jc w:val="left"/>
            </w:pPr>
            <w:r>
              <w:rPr>
                <w:rFonts w:ascii="Liberation Sans" w:hAnsi="Liberation Sans"/>
                <w:b/>
                <w:color w:val="FFFFFF"/>
                <w:sz w:val="17"/>
              </w:rPr>
              <w:t>What it may indicate</w:t>
            </w:r>
          </w:p>
        </w:tc>
        <w:tc>
          <w:tcPr>
            <w:tcW w:type="dxa" w:w="4248"/>
            <w:shd w:fill="17324D"/>
            <w:vAlign w:val="center"/>
            <w:tcMar>
              <w:top w:w="80" w:type="dxa"/>
              <w:start w:w="90" w:type="dxa"/>
              <w:bottom w:w="80" w:type="dxa"/>
              <w:end w:w="90" w:type="dxa"/>
            </w:tcMar>
          </w:tcPr>
          <w:p>
            <w:pPr>
              <w:jc w:val="left"/>
            </w:pPr>
            <w:r>
              <w:rPr>
                <w:rFonts w:ascii="Liberation Sans" w:hAnsi="Liberation Sans"/>
                <w:b/>
                <w:color w:val="FFFFFF"/>
                <w:sz w:val="17"/>
              </w:rPr>
              <w:t>Main caution</w:t>
            </w:r>
          </w:p>
        </w:tc>
      </w:tr>
      <w:tr>
        <w:tc>
          <w:tcPr>
            <w:tcW w:type="dxa" w:w="194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Digital integration</w:t>
            </w:r>
          </w:p>
        </w:tc>
        <w:tc>
          <w:tcPr>
            <w:tcW w:type="dxa" w:w="374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Broader transaction access and lower payment friction</w:t>
            </w:r>
          </w:p>
        </w:tc>
        <w:tc>
          <w:tcPr>
            <w:tcW w:type="dxa" w:w="424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GST and recorded activity do not prove causation</w:t>
            </w:r>
          </w:p>
        </w:tc>
      </w:tr>
      <w:tr>
        <w:tc>
          <w:tcPr>
            <w:tcW w:type="dxa" w:w="1944"/>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Government CapEx</w:t>
            </w:r>
          </w:p>
        </w:tc>
        <w:tc>
          <w:tcPr>
            <w:tcW w:type="dxa" w:w="3744"/>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More productive public assets and infrastructure</w:t>
            </w:r>
          </w:p>
        </w:tc>
        <w:tc>
          <w:tcPr>
            <w:tcW w:type="dxa" w:w="424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Announced budgets can diverge from actual delivery</w:t>
            </w:r>
          </w:p>
        </w:tc>
      </w:tr>
      <w:tr>
        <w:tc>
          <w:tcPr>
            <w:tcW w:type="dxa" w:w="194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Private investment</w:t>
            </w:r>
          </w:p>
        </w:tc>
        <w:tc>
          <w:tcPr>
            <w:tcW w:type="dxa" w:w="374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Crowding-in and expansion of productive capacity</w:t>
            </w:r>
          </w:p>
        </w:tc>
        <w:tc>
          <w:tcPr>
            <w:tcW w:type="dxa" w:w="424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Investment may follow demand rather than infrastructure</w:t>
            </w:r>
          </w:p>
        </w:tc>
      </w:tr>
      <w:tr>
        <w:tc>
          <w:tcPr>
            <w:tcW w:type="dxa" w:w="1944"/>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Debt and interest burden</w:t>
            </w:r>
          </w:p>
        </w:tc>
        <w:tc>
          <w:tcPr>
            <w:tcW w:type="dxa" w:w="3744"/>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Available fiscal space for sustained investment</w:t>
            </w:r>
          </w:p>
        </w:tc>
        <w:tc>
          <w:tcPr>
            <w:tcW w:type="dxa" w:w="424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Debt stock alone misses servicing pressure</w:t>
            </w:r>
          </w:p>
        </w:tc>
      </w:tr>
      <w:tr>
        <w:tc>
          <w:tcPr>
            <w:tcW w:type="dxa" w:w="194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Human capital</w:t>
            </w:r>
          </w:p>
        </w:tc>
        <w:tc>
          <w:tcPr>
            <w:tcW w:type="dxa" w:w="374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Larger skilled labour pool</w:t>
            </w:r>
          </w:p>
        </w:tc>
        <w:tc>
          <w:tcPr>
            <w:tcW w:type="dxa" w:w="424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Enrolment does not guarantee quality or employment</w:t>
            </w:r>
          </w:p>
        </w:tc>
      </w:tr>
      <w:tr>
        <w:tc>
          <w:tcPr>
            <w:tcW w:type="dxa" w:w="1944"/>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REER and current account</w:t>
            </w:r>
          </w:p>
        </w:tc>
        <w:tc>
          <w:tcPr>
            <w:tcW w:type="dxa" w:w="3744"/>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External price competitiveness and funding resilience</w:t>
            </w:r>
          </w:p>
        </w:tc>
        <w:tc>
          <w:tcPr>
            <w:tcW w:type="dxa" w:w="424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REER is not a direct fair-value estimate</w:t>
            </w:r>
          </w:p>
        </w:tc>
      </w:tr>
      <w:tr>
        <w:tc>
          <w:tcPr>
            <w:tcW w:type="dxa" w:w="194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DII/FPI buffer</w:t>
            </w:r>
          </w:p>
        </w:tc>
        <w:tc>
          <w:tcPr>
            <w:tcW w:type="dxa" w:w="3744"/>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Lower dependence on reversible foreign portfolio capital</w:t>
            </w:r>
          </w:p>
        </w:tc>
        <w:tc>
          <w:tcPr>
            <w:tcW w:type="dxa" w:w="424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Stability is not immunity or correct valuation</w:t>
            </w:r>
          </w:p>
        </w:tc>
      </w:tr>
    </w:tbl>
    <w:p>
      <w:pPr>
        <w:spacing w:after="20"/>
      </w:pPr>
    </w:p>
    <w:p>
      <w:r>
        <w:br w:type="page"/>
      </w:r>
    </w:p>
    <w:p>
      <w:pPr>
        <w:pStyle w:val="Heading1"/>
        <w:keepNext/>
        <w:spacing w:before="200" w:after="100"/>
      </w:pPr>
      <w:r>
        <w:rPr>
          <w:rFonts w:ascii="Liberation Sans" w:hAnsi="Liberation Sans"/>
          <w:b/>
          <w:color w:val="17324D"/>
          <w:sz w:val="40"/>
        </w:rPr>
        <w:t>3. Detailed section plans</w:t>
      </w:r>
    </w:p>
    <w:p>
      <w:pPr>
        <w:spacing w:before="0" w:after="120" w:line="259" w:lineRule="auto"/>
      </w:pPr>
      <w:r>
        <w:rPr>
          <w:rFonts w:ascii="Liberation Sans" w:hAnsi="Liberation Sans"/>
          <w:i w:val="0"/>
          <w:color w:val="1F2937"/>
          <w:sz w:val="21"/>
        </w:rPr>
        <w:t>Every analytical section should follow the same frontend and research template: a clear question, one primary chart, one supporting view or toggle, two or three headline values, a short interpretation, a limitations panel, and source/methodology details.</w:t>
      </w:r>
    </w:p>
    <w:p>
      <w:pPr>
        <w:pStyle w:val="Heading2"/>
        <w:keepNext/>
        <w:spacing w:before="140" w:after="100"/>
      </w:pPr>
      <w:r>
        <w:rPr>
          <w:rFonts w:ascii="Liberation Sans" w:hAnsi="Liberation Sans"/>
          <w:b/>
          <w:color w:val="0F766E"/>
          <w:sz w:val="30"/>
        </w:rPr>
        <w:t>3.1 Digital integration and tax capacity</w:t>
      </w:r>
    </w:p>
    <w:tbl>
      <w:tblPr>
        <w:tblW w:type="auto" w:w="0"/>
        <w:jc w:val="center"/>
        <w:tblLayout w:type="fixed"/>
        <w:tblLook w:firstColumn="1" w:firstRow="1" w:lastColumn="0" w:lastRow="0" w:noHBand="0" w:noVBand="1" w:val="04A0"/>
      </w:tblPr>
      <w:tblGrid>
        <w:gridCol w:w="173"/>
        <w:gridCol w:w="9432"/>
      </w:tblGrid>
      <w:tr>
        <w:tc>
          <w:tcPr>
            <w:tcW w:type="dxa" w:w="4917"/>
            <w:shd w:fill="355C9A"/>
            <w:tcMar>
              <w:top w:w="40" w:type="dxa"/>
              <w:start w:w="20" w:type="dxa"/>
              <w:bottom w:w="40" w:type="dxa"/>
              <w:end w:w="20" w:type="dxa"/>
            </w:tcMar>
            <w:tcBorders>
              <w:top w:val="nil"/>
              <w:left w:val="nil"/>
              <w:bottom w:val="nil"/>
              <w:right w:val="nil"/>
            </w:tcBorders>
          </w:tcPr>
          <w:p/>
        </w:tc>
        <w:tc>
          <w:tcPr>
            <w:tcW w:type="dxa" w:w="4917"/>
            <w:shd w:fill="EEF3FB"/>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355C9A"/>
                <w:sz w:val="21"/>
              </w:rPr>
              <w:t>Research question</w:t>
            </w:r>
          </w:p>
          <w:p>
            <w:pPr>
              <w:spacing w:after="0"/>
            </w:pPr>
            <w:r>
              <w:rPr>
                <w:rFonts w:ascii="Liberation Sans" w:hAnsi="Liberation Sans"/>
                <w:color w:val="1F2937"/>
                <w:sz w:val="20"/>
              </w:rPr>
              <w:t>Is digital-payment adoption contributing to a broader, more integrated and increasingly formal economy?</w:t>
            </w:r>
          </w:p>
        </w:tc>
      </w:tr>
    </w:tbl>
    <w:p>
      <w:pPr>
        <w:spacing w:after="20"/>
      </w:pPr>
    </w:p>
    <w:p>
      <w:pPr>
        <w:pStyle w:val="Heading3"/>
        <w:keepNext/>
        <w:spacing w:before="140" w:after="100"/>
      </w:pPr>
      <w:r>
        <w:rPr>
          <w:rFonts w:ascii="Liberation Sans" w:hAnsi="Liberation Sans"/>
          <w:b/>
          <w:color w:val="1F2937"/>
          <w:sz w:val="24"/>
        </w:rPr>
        <w:t>Primary indicators</w:t>
      </w:r>
    </w:p>
    <w:p>
      <w:pPr>
        <w:pStyle w:val="ListBullet"/>
        <w:spacing w:before="0" w:after="60" w:line="245" w:lineRule="auto"/>
        <w:ind w:left="403" w:hanging="245"/>
      </w:pPr>
      <w:r>
        <w:rPr>
          <w:rFonts w:ascii="Liberation Sans" w:hAnsi="Liberation Sans"/>
          <w:color w:val="1F2937"/>
          <w:sz w:val="20"/>
        </w:rPr>
        <w:t>UPI transactions per capita</w:t>
      </w:r>
    </w:p>
    <w:p>
      <w:pPr>
        <w:pStyle w:val="ListBullet"/>
        <w:spacing w:before="0" w:after="60" w:line="245" w:lineRule="auto"/>
        <w:ind w:left="403" w:hanging="245"/>
      </w:pPr>
      <w:r>
        <w:rPr>
          <w:rFonts w:ascii="Liberation Sans" w:hAnsi="Liberation Sans"/>
          <w:color w:val="1F2937"/>
          <w:sz w:val="20"/>
        </w:rPr>
        <w:t>UPI transaction value as a percentage of nominal GDP</w:t>
      </w:r>
    </w:p>
    <w:p>
      <w:pPr>
        <w:pStyle w:val="ListBullet"/>
        <w:spacing w:before="0" w:after="60" w:line="245" w:lineRule="auto"/>
        <w:ind w:left="403" w:hanging="245"/>
      </w:pPr>
      <w:r>
        <w:rPr>
          <w:rFonts w:ascii="Liberation Sans" w:hAnsi="Liberation Sans"/>
          <w:color w:val="1F2937"/>
          <w:sz w:val="20"/>
        </w:rPr>
        <w:t>Average UPI transaction value</w:t>
      </w:r>
    </w:p>
    <w:p>
      <w:pPr>
        <w:pStyle w:val="Heading3"/>
        <w:keepNext/>
        <w:spacing w:before="140" w:after="100"/>
      </w:pPr>
      <w:r>
        <w:rPr>
          <w:rFonts w:ascii="Liberation Sans" w:hAnsi="Liberation Sans"/>
          <w:b/>
          <w:color w:val="1F2937"/>
          <w:sz w:val="24"/>
        </w:rPr>
        <w:t>Supporting evidence</w:t>
      </w:r>
    </w:p>
    <w:p>
      <w:pPr>
        <w:pStyle w:val="ListBullet"/>
        <w:spacing w:before="0" w:after="60" w:line="245" w:lineRule="auto"/>
        <w:ind w:left="403" w:hanging="245"/>
      </w:pPr>
      <w:r>
        <w:rPr>
          <w:rFonts w:ascii="Liberation Sans" w:hAnsi="Liberation Sans"/>
          <w:color w:val="1F2937"/>
          <w:sz w:val="20"/>
        </w:rPr>
        <w:t>GST revenue growth relative to nominal GDP growth</w:t>
      </w:r>
    </w:p>
    <w:p>
      <w:pPr>
        <w:pStyle w:val="ListBullet"/>
        <w:spacing w:before="0" w:after="60" w:line="245" w:lineRule="auto"/>
        <w:ind w:left="403" w:hanging="245"/>
      </w:pPr>
      <w:r>
        <w:rPr>
          <w:rFonts w:ascii="Liberation Sans" w:hAnsi="Liberation Sans"/>
          <w:color w:val="1F2937"/>
          <w:sz w:val="20"/>
        </w:rPr>
        <w:t>GST revenue as a percentage of GDP, if the denominator is consistently defined</w:t>
      </w:r>
    </w:p>
    <w:p>
      <w:pPr>
        <w:spacing w:before="0" w:after="120" w:line="259" w:lineRule="auto"/>
      </w:pPr>
      <w:r>
        <w:rPr>
          <w:rFonts w:ascii="Liberation Sans" w:hAnsi="Liberation Sans"/>
          <w:b/>
          <w:color w:val="1F2937"/>
          <w:sz w:val="21"/>
        </w:rPr>
        <w:t xml:space="preserve">Why it matters: </w:t>
      </w:r>
      <w:r>
        <w:rPr>
          <w:rFonts w:ascii="Liberation Sans" w:hAnsi="Liberation Sans"/>
          <w:i w:val="0"/>
          <w:color w:val="1F2937"/>
          <w:sz w:val="21"/>
        </w:rPr>
        <w:t>UPI is a distinctive, high-frequency indicator of India’s digital public infrastructure. GST offers a cautious test of whether digital integration is occurring alongside stronger tax collection and recorded economic activity.</w:t>
      </w:r>
    </w:p>
    <w:p>
      <w:pPr>
        <w:spacing w:before="0" w:after="120" w:line="259" w:lineRule="auto"/>
      </w:pPr>
      <w:r>
        <w:rPr>
          <w:rFonts w:ascii="Liberation Sans" w:hAnsi="Liberation Sans"/>
          <w:b/>
          <w:color w:val="1F2937"/>
          <w:sz w:val="21"/>
        </w:rPr>
        <w:t xml:space="preserve">Recommended presentation: </w:t>
      </w:r>
      <w:r>
        <w:rPr>
          <w:rFonts w:ascii="Liberation Sans" w:hAnsi="Liberation Sans"/>
          <w:i w:val="0"/>
          <w:color w:val="1F2937"/>
          <w:sz w:val="21"/>
        </w:rPr>
        <w:t>Primary line chart: UPI transactions per capita and UPI value/GDP. Supporting toggle: average transaction value and GST buoyancy proxy.</w:t>
      </w:r>
    </w:p>
    <w:tbl>
      <w:tblPr>
        <w:tblW w:type="auto" w:w="0"/>
        <w:jc w:val="center"/>
        <w:tblLayout w:type="fixed"/>
        <w:tblLook w:firstColumn="1" w:firstRow="1" w:lastColumn="0" w:lastRow="0" w:noHBand="0" w:noVBand="1" w:val="04A0"/>
      </w:tblPr>
      <w:tblGrid>
        <w:gridCol w:w="173"/>
        <w:gridCol w:w="9432"/>
      </w:tblGrid>
      <w:tr>
        <w:tc>
          <w:tcPr>
            <w:tcW w:type="dxa" w:w="4917"/>
            <w:shd w:fill="B91C1C"/>
            <w:tcMar>
              <w:top w:w="40" w:type="dxa"/>
              <w:start w:w="20" w:type="dxa"/>
              <w:bottom w:w="40" w:type="dxa"/>
              <w:end w:w="20" w:type="dxa"/>
            </w:tcMar>
            <w:tcBorders>
              <w:top w:val="nil"/>
              <w:left w:val="nil"/>
              <w:bottom w:val="nil"/>
              <w:right w:val="nil"/>
            </w:tcBorders>
          </w:tcPr>
          <w:p/>
        </w:tc>
        <w:tc>
          <w:tcPr>
            <w:tcW w:type="dxa" w:w="4917"/>
            <w:shd w:fill="FCECEE"/>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B91C1C"/>
                <w:sz w:val="21"/>
              </w:rPr>
              <w:t>Main limitation</w:t>
            </w:r>
          </w:p>
          <w:p>
            <w:pPr>
              <w:spacing w:after="0"/>
            </w:pPr>
            <w:r>
              <w:rPr>
                <w:rFonts w:ascii="Liberation Sans" w:hAnsi="Liberation Sans"/>
                <w:color w:val="1F2937"/>
                <w:sz w:val="20"/>
              </w:rPr>
              <w:t>UPI usage is not direct proof of formalisation, and GST is influenced by tax rates, enforcement, inflation, imports and refunds. The section should present association, not causation.</w:t>
            </w:r>
          </w:p>
        </w:tc>
      </w:tr>
    </w:tbl>
    <w:p>
      <w:pPr>
        <w:spacing w:after="20"/>
      </w:pPr>
    </w:p>
    <w:p>
      <w:pPr>
        <w:spacing w:before="0" w:after="120" w:line="259" w:lineRule="auto"/>
      </w:pPr>
      <w:r>
        <w:rPr>
          <w:rFonts w:ascii="Liberation Sans" w:hAnsi="Liberation Sans"/>
          <w:b/>
          <w:color w:val="1F2937"/>
          <w:sz w:val="21"/>
        </w:rPr>
        <w:t xml:space="preserve">Likely sources: </w:t>
      </w:r>
      <w:r>
        <w:rPr>
          <w:rFonts w:ascii="Liberation Sans" w:hAnsi="Liberation Sans"/>
          <w:i w:val="0"/>
          <w:color w:val="1F2937"/>
          <w:sz w:val="21"/>
        </w:rPr>
        <w:t>NPCI; GST revenue publications; MoSPI nominal GDP.</w:t>
      </w:r>
    </w:p>
    <w:p>
      <w:pPr>
        <w:pStyle w:val="Heading2"/>
        <w:keepNext/>
        <w:spacing w:before="140" w:after="100"/>
      </w:pPr>
      <w:r>
        <w:rPr>
          <w:rFonts w:ascii="Liberation Sans" w:hAnsi="Liberation Sans"/>
          <w:b/>
          <w:color w:val="0F766E"/>
          <w:sz w:val="30"/>
        </w:rPr>
        <w:t>3.2 Government investment and execution</w:t>
      </w:r>
    </w:p>
    <w:tbl>
      <w:tblPr>
        <w:tblW w:type="auto" w:w="0"/>
        <w:jc w:val="center"/>
        <w:tblLayout w:type="fixed"/>
        <w:tblLook w:firstColumn="1" w:firstRow="1" w:lastColumn="0" w:lastRow="0" w:noHBand="0" w:noVBand="1" w:val="04A0"/>
      </w:tblPr>
      <w:tblGrid>
        <w:gridCol w:w="173"/>
        <w:gridCol w:w="9432"/>
      </w:tblGrid>
      <w:tr>
        <w:tc>
          <w:tcPr>
            <w:tcW w:type="dxa" w:w="4917"/>
            <w:shd w:fill="355C9A"/>
            <w:tcMar>
              <w:top w:w="40" w:type="dxa"/>
              <w:start w:w="20" w:type="dxa"/>
              <w:bottom w:w="40" w:type="dxa"/>
              <w:end w:w="20" w:type="dxa"/>
            </w:tcMar>
            <w:tcBorders>
              <w:top w:val="nil"/>
              <w:left w:val="nil"/>
              <w:bottom w:val="nil"/>
              <w:right w:val="nil"/>
            </w:tcBorders>
          </w:tcPr>
          <w:p/>
        </w:tc>
        <w:tc>
          <w:tcPr>
            <w:tcW w:type="dxa" w:w="4917"/>
            <w:shd w:fill="EEF3FB"/>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355C9A"/>
                <w:sz w:val="21"/>
              </w:rPr>
              <w:t>Research question</w:t>
            </w:r>
          </w:p>
          <w:p>
            <w:pPr>
              <w:spacing w:after="0"/>
            </w:pPr>
            <w:r>
              <w:rPr>
                <w:rFonts w:ascii="Liberation Sans" w:hAnsi="Liberation Sans"/>
                <w:color w:val="1F2937"/>
                <w:sz w:val="20"/>
              </w:rPr>
              <w:t>Is the government redirecting expenditure toward productive infrastructure, and is that planned investment actually being delivered?</w:t>
            </w:r>
          </w:p>
        </w:tc>
      </w:tr>
    </w:tbl>
    <w:p>
      <w:pPr>
        <w:spacing w:after="20"/>
      </w:pPr>
    </w:p>
    <w:p>
      <w:pPr>
        <w:pStyle w:val="Heading3"/>
        <w:keepNext/>
        <w:spacing w:before="140" w:after="100"/>
      </w:pPr>
      <w:r>
        <w:rPr>
          <w:rFonts w:ascii="Liberation Sans" w:hAnsi="Liberation Sans"/>
          <w:b/>
          <w:color w:val="1F2937"/>
          <w:sz w:val="24"/>
        </w:rPr>
        <w:t>Primary indicators</w:t>
      </w:r>
    </w:p>
    <w:p>
      <w:pPr>
        <w:pStyle w:val="ListBullet"/>
        <w:spacing w:before="0" w:after="60" w:line="245" w:lineRule="auto"/>
        <w:ind w:left="403" w:hanging="245"/>
      </w:pPr>
      <w:r>
        <w:rPr>
          <w:rFonts w:ascii="Liberation Sans" w:hAnsi="Liberation Sans"/>
          <w:color w:val="1F2937"/>
          <w:sz w:val="20"/>
        </w:rPr>
        <w:t>Actual government CapEx as a percentage of GDP</w:t>
      </w:r>
    </w:p>
    <w:p>
      <w:pPr>
        <w:pStyle w:val="ListBullet"/>
        <w:spacing w:before="0" w:after="60" w:line="245" w:lineRule="auto"/>
        <w:ind w:left="403" w:hanging="245"/>
      </w:pPr>
      <w:r>
        <w:rPr>
          <w:rFonts w:ascii="Liberation Sans" w:hAnsi="Liberation Sans"/>
          <w:color w:val="1F2937"/>
          <w:sz w:val="20"/>
        </w:rPr>
        <w:t>Actual CapEx as a percentage of total expenditure</w:t>
      </w:r>
    </w:p>
    <w:p>
      <w:pPr>
        <w:pStyle w:val="ListBullet"/>
        <w:spacing w:before="0" w:after="60" w:line="245" w:lineRule="auto"/>
        <w:ind w:left="403" w:hanging="245"/>
      </w:pPr>
      <w:r>
        <w:rPr>
          <w:rFonts w:ascii="Liberation Sans" w:hAnsi="Liberation Sans"/>
          <w:color w:val="1F2937"/>
          <w:sz w:val="20"/>
        </w:rPr>
        <w:t>Real or nominal CapEx growth, clearly labelled</w:t>
      </w:r>
    </w:p>
    <w:p>
      <w:pPr>
        <w:pStyle w:val="Heading3"/>
        <w:keepNext/>
        <w:spacing w:before="140" w:after="100"/>
      </w:pPr>
      <w:r>
        <w:rPr>
          <w:rFonts w:ascii="Liberation Sans" w:hAnsi="Liberation Sans"/>
          <w:b/>
          <w:color w:val="1F2937"/>
          <w:sz w:val="24"/>
        </w:rPr>
        <w:t>Supporting evidence</w:t>
      </w:r>
    </w:p>
    <w:p>
      <w:pPr>
        <w:pStyle w:val="ListBullet"/>
        <w:spacing w:before="0" w:after="60" w:line="245" w:lineRule="auto"/>
        <w:ind w:left="403" w:hanging="245"/>
      </w:pPr>
      <w:r>
        <w:rPr>
          <w:rFonts w:ascii="Liberation Sans" w:hAnsi="Liberation Sans"/>
          <w:color w:val="1F2937"/>
          <w:sz w:val="20"/>
        </w:rPr>
        <w:t>CapEx execution ratio = Actual / Budget Estimate</w:t>
      </w:r>
    </w:p>
    <w:p>
      <w:pPr>
        <w:pStyle w:val="ListBullet"/>
        <w:spacing w:before="0" w:after="60" w:line="245" w:lineRule="auto"/>
        <w:ind w:left="403" w:hanging="245"/>
      </w:pPr>
      <w:r>
        <w:rPr>
          <w:rFonts w:ascii="Liberation Sans" w:hAnsi="Liberation Sans"/>
          <w:color w:val="1F2937"/>
          <w:sz w:val="20"/>
        </w:rPr>
        <w:t>Budget Estimate and Revised Estimate as separate comparison series</w:t>
      </w:r>
    </w:p>
    <w:p>
      <w:pPr>
        <w:spacing w:before="0" w:after="120" w:line="259" w:lineRule="auto"/>
      </w:pPr>
      <w:r>
        <w:rPr>
          <w:rFonts w:ascii="Liberation Sans" w:hAnsi="Liberation Sans"/>
          <w:b/>
          <w:color w:val="1F2937"/>
          <w:sz w:val="21"/>
        </w:rPr>
        <w:t xml:space="preserve">Why it matters: </w:t>
      </w:r>
      <w:r>
        <w:rPr>
          <w:rFonts w:ascii="Liberation Sans" w:hAnsi="Liberation Sans"/>
          <w:i w:val="0"/>
          <w:color w:val="1F2937"/>
          <w:sz w:val="21"/>
        </w:rPr>
        <w:t>Government CapEx is the clearest policy input in the project. Separating planned and actual expenditure prevents budget announcements from being mistaken for delivered infrastructure.</w:t>
      </w:r>
    </w:p>
    <w:p>
      <w:pPr>
        <w:spacing w:before="0" w:after="120" w:line="259" w:lineRule="auto"/>
      </w:pPr>
      <w:r>
        <w:rPr>
          <w:rFonts w:ascii="Liberation Sans" w:hAnsi="Liberation Sans"/>
          <w:b/>
          <w:color w:val="1F2937"/>
          <w:sz w:val="21"/>
        </w:rPr>
        <w:t xml:space="preserve">Recommended presentation: </w:t>
      </w:r>
      <w:r>
        <w:rPr>
          <w:rFonts w:ascii="Liberation Sans" w:hAnsi="Liberation Sans"/>
          <w:i w:val="0"/>
          <w:color w:val="1F2937"/>
          <w:sz w:val="21"/>
        </w:rPr>
        <w:t>Primary line chart: actual CapEx/GDP and CapEx/total expenditure. Supporting view: Budget Estimate, Revised Estimate and Actual execution.</w:t>
      </w:r>
    </w:p>
    <w:tbl>
      <w:tblPr>
        <w:tblW w:type="auto" w:w="0"/>
        <w:jc w:val="center"/>
        <w:tblLayout w:type="fixed"/>
        <w:tblLook w:firstColumn="1" w:firstRow="1" w:lastColumn="0" w:lastRow="0" w:noHBand="0" w:noVBand="1" w:val="04A0"/>
      </w:tblPr>
      <w:tblGrid>
        <w:gridCol w:w="173"/>
        <w:gridCol w:w="9432"/>
      </w:tblGrid>
      <w:tr>
        <w:tc>
          <w:tcPr>
            <w:tcW w:type="dxa" w:w="4917"/>
            <w:shd w:fill="B91C1C"/>
            <w:tcMar>
              <w:top w:w="40" w:type="dxa"/>
              <w:start w:w="20" w:type="dxa"/>
              <w:bottom w:w="40" w:type="dxa"/>
              <w:end w:w="20" w:type="dxa"/>
            </w:tcMar>
            <w:tcBorders>
              <w:top w:val="nil"/>
              <w:left w:val="nil"/>
              <w:bottom w:val="nil"/>
              <w:right w:val="nil"/>
            </w:tcBorders>
          </w:tcPr>
          <w:p/>
        </w:tc>
        <w:tc>
          <w:tcPr>
            <w:tcW w:type="dxa" w:w="4917"/>
            <w:shd w:fill="FCECEE"/>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B91C1C"/>
                <w:sz w:val="21"/>
              </w:rPr>
              <w:t>Main limitation</w:t>
            </w:r>
          </w:p>
          <w:p>
            <w:pPr>
              <w:spacing w:after="0"/>
            </w:pPr>
            <w:r>
              <w:rPr>
                <w:rFonts w:ascii="Liberation Sans" w:hAnsi="Liberation Sans"/>
                <w:color w:val="1F2937"/>
                <w:sz w:val="20"/>
              </w:rPr>
              <w:t>Spending is not equivalent to completed or productive infrastructure. The section measures fiscal effort and delivery, not project quality.</w:t>
            </w:r>
          </w:p>
        </w:tc>
      </w:tr>
    </w:tbl>
    <w:p>
      <w:pPr>
        <w:spacing w:after="20"/>
      </w:pPr>
    </w:p>
    <w:p>
      <w:pPr>
        <w:spacing w:before="0" w:after="120" w:line="259" w:lineRule="auto"/>
      </w:pPr>
      <w:r>
        <w:rPr>
          <w:rFonts w:ascii="Liberation Sans" w:hAnsi="Liberation Sans"/>
          <w:b/>
          <w:color w:val="1F2937"/>
          <w:sz w:val="21"/>
        </w:rPr>
        <w:t xml:space="preserve">Likely sources: </w:t>
      </w:r>
      <w:r>
        <w:rPr>
          <w:rFonts w:ascii="Liberation Sans" w:hAnsi="Liberation Sans"/>
          <w:i w:val="0"/>
          <w:color w:val="1F2937"/>
          <w:sz w:val="21"/>
        </w:rPr>
        <w:t>Union Budget; Expenditure Profile; Economic Survey; MoSPI GDP.</w:t>
      </w:r>
    </w:p>
    <w:p>
      <w:pPr>
        <w:pStyle w:val="Heading2"/>
        <w:keepNext/>
        <w:spacing w:before="140" w:after="100"/>
      </w:pPr>
      <w:r>
        <w:rPr>
          <w:rFonts w:ascii="Liberation Sans" w:hAnsi="Liberation Sans"/>
          <w:b/>
          <w:color w:val="0F766E"/>
          <w:sz w:val="30"/>
        </w:rPr>
        <w:t>3.3 Private investment and crowding-in</w:t>
      </w:r>
    </w:p>
    <w:tbl>
      <w:tblPr>
        <w:tblW w:type="auto" w:w="0"/>
        <w:jc w:val="center"/>
        <w:tblLayout w:type="fixed"/>
        <w:tblLook w:firstColumn="1" w:firstRow="1" w:lastColumn="0" w:lastRow="0" w:noHBand="0" w:noVBand="1" w:val="04A0"/>
      </w:tblPr>
      <w:tblGrid>
        <w:gridCol w:w="173"/>
        <w:gridCol w:w="9432"/>
      </w:tblGrid>
      <w:tr>
        <w:tc>
          <w:tcPr>
            <w:tcW w:type="dxa" w:w="4917"/>
            <w:shd w:fill="355C9A"/>
            <w:tcMar>
              <w:top w:w="40" w:type="dxa"/>
              <w:start w:w="20" w:type="dxa"/>
              <w:bottom w:w="40" w:type="dxa"/>
              <w:end w:w="20" w:type="dxa"/>
            </w:tcMar>
            <w:tcBorders>
              <w:top w:val="nil"/>
              <w:left w:val="nil"/>
              <w:bottom w:val="nil"/>
              <w:right w:val="nil"/>
            </w:tcBorders>
          </w:tcPr>
          <w:p/>
        </w:tc>
        <w:tc>
          <w:tcPr>
            <w:tcW w:type="dxa" w:w="4917"/>
            <w:shd w:fill="EEF3FB"/>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355C9A"/>
                <w:sz w:val="21"/>
              </w:rPr>
              <w:t>Research question</w:t>
            </w:r>
          </w:p>
          <w:p>
            <w:pPr>
              <w:spacing w:after="0"/>
            </w:pPr>
            <w:r>
              <w:rPr>
                <w:rFonts w:ascii="Liberation Sans" w:hAnsi="Liberation Sans"/>
                <w:color w:val="1F2937"/>
                <w:sz w:val="20"/>
              </w:rPr>
              <w:t>Is increased public investment encouraging private firms to expand productive capacity?</w:t>
            </w:r>
          </w:p>
        </w:tc>
      </w:tr>
    </w:tbl>
    <w:p>
      <w:pPr>
        <w:spacing w:after="20"/>
      </w:pPr>
    </w:p>
    <w:p>
      <w:pPr>
        <w:pStyle w:val="Heading3"/>
        <w:keepNext/>
        <w:spacing w:before="140" w:after="100"/>
      </w:pPr>
      <w:r>
        <w:rPr>
          <w:rFonts w:ascii="Liberation Sans" w:hAnsi="Liberation Sans"/>
          <w:b/>
          <w:color w:val="1F2937"/>
          <w:sz w:val="24"/>
        </w:rPr>
        <w:t>Primary indicators</w:t>
      </w:r>
    </w:p>
    <w:p>
      <w:pPr>
        <w:pStyle w:val="ListBullet"/>
        <w:spacing w:before="0" w:after="60" w:line="245" w:lineRule="auto"/>
        <w:ind w:left="403" w:hanging="245"/>
      </w:pPr>
      <w:r>
        <w:rPr>
          <w:rFonts w:ascii="Liberation Sans" w:hAnsi="Liberation Sans"/>
          <w:color w:val="1F2937"/>
          <w:sz w:val="20"/>
        </w:rPr>
        <w:t>Private corporate gross fixed capital formation as a percentage of GDP</w:t>
      </w:r>
    </w:p>
    <w:p>
      <w:pPr>
        <w:pStyle w:val="ListBullet"/>
        <w:spacing w:before="0" w:after="60" w:line="245" w:lineRule="auto"/>
        <w:ind w:left="403" w:hanging="245"/>
      </w:pPr>
      <w:r>
        <w:rPr>
          <w:rFonts w:ascii="Liberation Sans" w:hAnsi="Liberation Sans"/>
          <w:color w:val="1F2937"/>
          <w:sz w:val="20"/>
        </w:rPr>
        <w:t>Private-sector share of total fixed-capital formation</w:t>
      </w:r>
    </w:p>
    <w:p>
      <w:pPr>
        <w:pStyle w:val="ListBullet"/>
        <w:spacing w:before="0" w:after="60" w:line="245" w:lineRule="auto"/>
        <w:ind w:left="403" w:hanging="245"/>
      </w:pPr>
      <w:r>
        <w:rPr>
          <w:rFonts w:ascii="Liberation Sans" w:hAnsi="Liberation Sans"/>
          <w:color w:val="1F2937"/>
          <w:sz w:val="20"/>
        </w:rPr>
        <w:t>Manufacturing capacity utilisation</w:t>
      </w:r>
    </w:p>
    <w:p>
      <w:pPr>
        <w:pStyle w:val="Heading3"/>
        <w:keepNext/>
        <w:spacing w:before="140" w:after="100"/>
      </w:pPr>
      <w:r>
        <w:rPr>
          <w:rFonts w:ascii="Liberation Sans" w:hAnsi="Liberation Sans"/>
          <w:b/>
          <w:color w:val="1F2937"/>
          <w:sz w:val="24"/>
        </w:rPr>
        <w:t>Supporting evidence</w:t>
      </w:r>
    </w:p>
    <w:p>
      <w:pPr>
        <w:pStyle w:val="ListBullet"/>
        <w:spacing w:before="0" w:after="60" w:line="245" w:lineRule="auto"/>
        <w:ind w:left="403" w:hanging="245"/>
      </w:pPr>
      <w:r>
        <w:rPr>
          <w:rFonts w:ascii="Liberation Sans" w:hAnsi="Liberation Sans"/>
          <w:color w:val="1F2937"/>
          <w:sz w:val="20"/>
        </w:rPr>
        <w:t>Lagged comparison between public CapEx and private investment</w:t>
      </w:r>
    </w:p>
    <w:p>
      <w:pPr>
        <w:pStyle w:val="ListBullet"/>
        <w:spacing w:before="0" w:after="60" w:line="245" w:lineRule="auto"/>
        <w:ind w:left="403" w:hanging="245"/>
      </w:pPr>
      <w:r>
        <w:rPr>
          <w:rFonts w:ascii="Liberation Sans" w:hAnsi="Liberation Sans"/>
          <w:color w:val="1F2937"/>
          <w:sz w:val="20"/>
        </w:rPr>
        <w:t>Optional project completions or investment announcements, only if consistently sourced</w:t>
      </w:r>
    </w:p>
    <w:p>
      <w:pPr>
        <w:spacing w:before="0" w:after="120" w:line="259" w:lineRule="auto"/>
      </w:pPr>
      <w:r>
        <w:rPr>
          <w:rFonts w:ascii="Liberation Sans" w:hAnsi="Liberation Sans"/>
          <w:b/>
          <w:color w:val="1F2937"/>
          <w:sz w:val="21"/>
        </w:rPr>
        <w:t xml:space="preserve">Why it matters: </w:t>
      </w:r>
      <w:r>
        <w:rPr>
          <w:rFonts w:ascii="Liberation Sans" w:hAnsi="Liberation Sans"/>
          <w:i w:val="0"/>
          <w:color w:val="1F2937"/>
          <w:sz w:val="21"/>
        </w:rPr>
        <w:t>This is the most important addition to the original scope. Public spending is an input; private investment is evidence that businesses expect demand and infrastructure conditions to justify expansion.</w:t>
      </w:r>
    </w:p>
    <w:p>
      <w:pPr>
        <w:spacing w:before="0" w:after="120" w:line="259" w:lineRule="auto"/>
      </w:pPr>
      <w:r>
        <w:rPr>
          <w:rFonts w:ascii="Liberation Sans" w:hAnsi="Liberation Sans"/>
          <w:b/>
          <w:color w:val="1F2937"/>
          <w:sz w:val="21"/>
        </w:rPr>
        <w:t xml:space="preserve">Recommended presentation: </w:t>
      </w:r>
      <w:r>
        <w:rPr>
          <w:rFonts w:ascii="Liberation Sans" w:hAnsi="Liberation Sans"/>
          <w:i w:val="0"/>
          <w:color w:val="1F2937"/>
          <w:sz w:val="21"/>
        </w:rPr>
        <w:t>Primary line chart: private GFCF/GDP and capacity utilisation. Supporting view: public CapEx against lagged private investment.</w:t>
      </w:r>
    </w:p>
    <w:tbl>
      <w:tblPr>
        <w:tblW w:type="auto" w:w="0"/>
        <w:jc w:val="center"/>
        <w:tblLayout w:type="fixed"/>
        <w:tblLook w:firstColumn="1" w:firstRow="1" w:lastColumn="0" w:lastRow="0" w:noHBand="0" w:noVBand="1" w:val="04A0"/>
      </w:tblPr>
      <w:tblGrid>
        <w:gridCol w:w="173"/>
        <w:gridCol w:w="9432"/>
      </w:tblGrid>
      <w:tr>
        <w:tc>
          <w:tcPr>
            <w:tcW w:type="dxa" w:w="4917"/>
            <w:shd w:fill="B91C1C"/>
            <w:tcMar>
              <w:top w:w="40" w:type="dxa"/>
              <w:start w:w="20" w:type="dxa"/>
              <w:bottom w:w="40" w:type="dxa"/>
              <w:end w:w="20" w:type="dxa"/>
            </w:tcMar>
            <w:tcBorders>
              <w:top w:val="nil"/>
              <w:left w:val="nil"/>
              <w:bottom w:val="nil"/>
              <w:right w:val="nil"/>
            </w:tcBorders>
          </w:tcPr>
          <w:p/>
        </w:tc>
        <w:tc>
          <w:tcPr>
            <w:tcW w:type="dxa" w:w="4917"/>
            <w:shd w:fill="FCECEE"/>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B91C1C"/>
                <w:sz w:val="21"/>
              </w:rPr>
              <w:t>Main limitation</w:t>
            </w:r>
          </w:p>
          <w:p>
            <w:pPr>
              <w:spacing w:after="0"/>
            </w:pPr>
            <w:r>
              <w:rPr>
                <w:rFonts w:ascii="Liberation Sans" w:hAnsi="Liberation Sans"/>
                <w:color w:val="1F2937"/>
                <w:sz w:val="20"/>
              </w:rPr>
              <w:t>Co-movement does not prove crowding-in. Private investment can respond to demand, interest rates, profitability and global conditions.</w:t>
            </w:r>
          </w:p>
        </w:tc>
      </w:tr>
    </w:tbl>
    <w:p>
      <w:pPr>
        <w:spacing w:after="20"/>
      </w:pPr>
    </w:p>
    <w:p>
      <w:pPr>
        <w:spacing w:before="0" w:after="120" w:line="259" w:lineRule="auto"/>
      </w:pPr>
      <w:r>
        <w:rPr>
          <w:rFonts w:ascii="Liberation Sans" w:hAnsi="Liberation Sans"/>
          <w:b/>
          <w:color w:val="1F2937"/>
          <w:sz w:val="21"/>
        </w:rPr>
        <w:t xml:space="preserve">Likely sources: </w:t>
      </w:r>
      <w:r>
        <w:rPr>
          <w:rFonts w:ascii="Liberation Sans" w:hAnsi="Liberation Sans"/>
          <w:i w:val="0"/>
          <w:color w:val="1F2937"/>
          <w:sz w:val="21"/>
        </w:rPr>
        <w:t>MoSPI National Accounts; RBI OBICUS; Union Budget for CapEx comparison.</w:t>
      </w:r>
    </w:p>
    <w:p>
      <w:pPr>
        <w:pStyle w:val="Heading2"/>
        <w:keepNext/>
        <w:spacing w:before="140" w:after="100"/>
      </w:pPr>
      <w:r>
        <w:rPr>
          <w:rFonts w:ascii="Liberation Sans" w:hAnsi="Liberation Sans"/>
          <w:b/>
          <w:color w:val="0F766E"/>
          <w:sz w:val="30"/>
        </w:rPr>
        <w:t>3.4 Fiscal capacity and debt sustainability</w:t>
      </w:r>
    </w:p>
    <w:tbl>
      <w:tblPr>
        <w:tblW w:type="auto" w:w="0"/>
        <w:jc w:val="center"/>
        <w:tblLayout w:type="fixed"/>
        <w:tblLook w:firstColumn="1" w:firstRow="1" w:lastColumn="0" w:lastRow="0" w:noHBand="0" w:noVBand="1" w:val="04A0"/>
      </w:tblPr>
      <w:tblGrid>
        <w:gridCol w:w="173"/>
        <w:gridCol w:w="9432"/>
      </w:tblGrid>
      <w:tr>
        <w:tc>
          <w:tcPr>
            <w:tcW w:type="dxa" w:w="4917"/>
            <w:shd w:fill="355C9A"/>
            <w:tcMar>
              <w:top w:w="40" w:type="dxa"/>
              <w:start w:w="20" w:type="dxa"/>
              <w:bottom w:w="40" w:type="dxa"/>
              <w:end w:w="20" w:type="dxa"/>
            </w:tcMar>
            <w:tcBorders>
              <w:top w:val="nil"/>
              <w:left w:val="nil"/>
              <w:bottom w:val="nil"/>
              <w:right w:val="nil"/>
            </w:tcBorders>
          </w:tcPr>
          <w:p/>
        </w:tc>
        <w:tc>
          <w:tcPr>
            <w:tcW w:type="dxa" w:w="4917"/>
            <w:shd w:fill="EEF3FB"/>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355C9A"/>
                <w:sz w:val="21"/>
              </w:rPr>
              <w:t>Research question</w:t>
            </w:r>
          </w:p>
          <w:p>
            <w:pPr>
              <w:spacing w:after="0"/>
            </w:pPr>
            <w:r>
              <w:rPr>
                <w:rFonts w:ascii="Liberation Sans" w:hAnsi="Liberation Sans"/>
                <w:color w:val="1F2937"/>
                <w:sz w:val="20"/>
              </w:rPr>
              <w:t>Can India sustain higher public investment without allowing debt servicing to crowd out future development spending?</w:t>
            </w:r>
          </w:p>
        </w:tc>
      </w:tr>
    </w:tbl>
    <w:p>
      <w:pPr>
        <w:spacing w:after="20"/>
      </w:pPr>
    </w:p>
    <w:p>
      <w:pPr>
        <w:pStyle w:val="Heading3"/>
        <w:keepNext/>
        <w:spacing w:before="140" w:after="100"/>
      </w:pPr>
      <w:r>
        <w:rPr>
          <w:rFonts w:ascii="Liberation Sans" w:hAnsi="Liberation Sans"/>
          <w:b/>
          <w:color w:val="1F2937"/>
          <w:sz w:val="24"/>
        </w:rPr>
        <w:t>Primary indicators</w:t>
      </w:r>
    </w:p>
    <w:p>
      <w:pPr>
        <w:pStyle w:val="ListBullet"/>
        <w:spacing w:before="0" w:after="60" w:line="245" w:lineRule="auto"/>
        <w:ind w:left="403" w:hanging="245"/>
      </w:pPr>
      <w:r>
        <w:rPr>
          <w:rFonts w:ascii="Liberation Sans" w:hAnsi="Liberation Sans"/>
          <w:color w:val="1F2937"/>
          <w:sz w:val="20"/>
        </w:rPr>
        <w:t>General-government debt as a percentage of GDP</w:t>
      </w:r>
    </w:p>
    <w:p>
      <w:pPr>
        <w:pStyle w:val="ListBullet"/>
        <w:spacing w:before="0" w:after="60" w:line="245" w:lineRule="auto"/>
        <w:ind w:left="403" w:hanging="245"/>
      </w:pPr>
      <w:r>
        <w:rPr>
          <w:rFonts w:ascii="Liberation Sans" w:hAnsi="Liberation Sans"/>
          <w:color w:val="1F2937"/>
          <w:sz w:val="20"/>
        </w:rPr>
        <w:t>Interest payments as a percentage of revenue receipts</w:t>
      </w:r>
    </w:p>
    <w:p>
      <w:pPr>
        <w:pStyle w:val="ListBullet"/>
        <w:spacing w:before="0" w:after="60" w:line="245" w:lineRule="auto"/>
        <w:ind w:left="403" w:hanging="245"/>
      </w:pPr>
      <w:r>
        <w:rPr>
          <w:rFonts w:ascii="Liberation Sans" w:hAnsi="Liberation Sans"/>
          <w:color w:val="1F2937"/>
          <w:sz w:val="20"/>
        </w:rPr>
        <w:t>Interest payments as a percentage of total expenditure</w:t>
      </w:r>
    </w:p>
    <w:p>
      <w:pPr>
        <w:pStyle w:val="Heading3"/>
        <w:keepNext/>
        <w:spacing w:before="140" w:after="100"/>
      </w:pPr>
      <w:r>
        <w:rPr>
          <w:rFonts w:ascii="Liberation Sans" w:hAnsi="Liberation Sans"/>
          <w:b/>
          <w:color w:val="1F2937"/>
          <w:sz w:val="24"/>
        </w:rPr>
        <w:t>Supporting evidence</w:t>
      </w:r>
    </w:p>
    <w:p>
      <w:pPr>
        <w:pStyle w:val="ListBullet"/>
        <w:spacing w:before="0" w:after="60" w:line="245" w:lineRule="auto"/>
        <w:ind w:left="403" w:hanging="245"/>
      </w:pPr>
      <w:r>
        <w:rPr>
          <w:rFonts w:ascii="Liberation Sans" w:hAnsi="Liberation Sans"/>
          <w:color w:val="1F2937"/>
          <w:sz w:val="20"/>
        </w:rPr>
        <w:t>Primary balance as a percentage of GDP</w:t>
      </w:r>
    </w:p>
    <w:p>
      <w:pPr>
        <w:pStyle w:val="ListBullet"/>
        <w:spacing w:before="0" w:after="60" w:line="245" w:lineRule="auto"/>
        <w:ind w:left="403" w:hanging="245"/>
      </w:pPr>
      <w:r>
        <w:rPr>
          <w:rFonts w:ascii="Liberation Sans" w:hAnsi="Liberation Sans"/>
          <w:color w:val="1F2937"/>
          <w:sz w:val="20"/>
        </w:rPr>
        <w:t>Central-government debt as a secondary series for decomposition</w:t>
      </w:r>
    </w:p>
    <w:p>
      <w:pPr>
        <w:spacing w:before="0" w:after="120" w:line="259" w:lineRule="auto"/>
      </w:pPr>
      <w:r>
        <w:rPr>
          <w:rFonts w:ascii="Liberation Sans" w:hAnsi="Liberation Sans"/>
          <w:b/>
          <w:color w:val="1F2937"/>
          <w:sz w:val="21"/>
        </w:rPr>
        <w:t xml:space="preserve">Why it matters: </w:t>
      </w:r>
      <w:r>
        <w:rPr>
          <w:rFonts w:ascii="Liberation Sans" w:hAnsi="Liberation Sans"/>
          <w:i w:val="0"/>
          <w:color w:val="1F2937"/>
          <w:sz w:val="21"/>
        </w:rPr>
        <w:t>Debt/GDP measures the stock of obligations; the interest burden measures how much budgetary flexibility remains. The pair directly qualifies the CapEx argument.</w:t>
      </w:r>
    </w:p>
    <w:p>
      <w:pPr>
        <w:spacing w:before="0" w:after="120" w:line="259" w:lineRule="auto"/>
      </w:pPr>
      <w:r>
        <w:rPr>
          <w:rFonts w:ascii="Liberation Sans" w:hAnsi="Liberation Sans"/>
          <w:b/>
          <w:color w:val="1F2937"/>
          <w:sz w:val="21"/>
        </w:rPr>
        <w:t xml:space="preserve">Recommended presentation: </w:t>
      </w:r>
      <w:r>
        <w:rPr>
          <w:rFonts w:ascii="Liberation Sans" w:hAnsi="Liberation Sans"/>
          <w:i w:val="0"/>
          <w:color w:val="1F2937"/>
          <w:sz w:val="21"/>
        </w:rPr>
        <w:t>Primary line chart: general-government debt/GDP and interest/revenue. Supporting view: primary balance and central/state decomposition where available.</w:t>
      </w:r>
    </w:p>
    <w:tbl>
      <w:tblPr>
        <w:tblW w:type="auto" w:w="0"/>
        <w:jc w:val="center"/>
        <w:tblLayout w:type="fixed"/>
        <w:tblLook w:firstColumn="1" w:firstRow="1" w:lastColumn="0" w:lastRow="0" w:noHBand="0" w:noVBand="1" w:val="04A0"/>
      </w:tblPr>
      <w:tblGrid>
        <w:gridCol w:w="173"/>
        <w:gridCol w:w="9432"/>
      </w:tblGrid>
      <w:tr>
        <w:tc>
          <w:tcPr>
            <w:tcW w:type="dxa" w:w="4917"/>
            <w:shd w:fill="B91C1C"/>
            <w:tcMar>
              <w:top w:w="40" w:type="dxa"/>
              <w:start w:w="20" w:type="dxa"/>
              <w:bottom w:w="40" w:type="dxa"/>
              <w:end w:w="20" w:type="dxa"/>
            </w:tcMar>
            <w:tcBorders>
              <w:top w:val="nil"/>
              <w:left w:val="nil"/>
              <w:bottom w:val="nil"/>
              <w:right w:val="nil"/>
            </w:tcBorders>
          </w:tcPr>
          <w:p/>
        </w:tc>
        <w:tc>
          <w:tcPr>
            <w:tcW w:type="dxa" w:w="4917"/>
            <w:shd w:fill="FCECEE"/>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B91C1C"/>
                <w:sz w:val="21"/>
              </w:rPr>
              <w:t>Main limitation</w:t>
            </w:r>
          </w:p>
          <w:p>
            <w:pPr>
              <w:spacing w:after="0"/>
            </w:pPr>
            <w:r>
              <w:rPr>
                <w:rFonts w:ascii="Liberation Sans" w:hAnsi="Liberation Sans"/>
                <w:color w:val="1F2937"/>
                <w:sz w:val="20"/>
              </w:rPr>
              <w:t>Debt sustainability depends on growth, interest rates, maturity, currency denomination and the quality of expenditure—not on one threshold.</w:t>
            </w:r>
          </w:p>
        </w:tc>
      </w:tr>
    </w:tbl>
    <w:p>
      <w:pPr>
        <w:spacing w:after="20"/>
      </w:pPr>
    </w:p>
    <w:p>
      <w:pPr>
        <w:spacing w:before="0" w:after="120" w:line="259" w:lineRule="auto"/>
      </w:pPr>
      <w:r>
        <w:rPr>
          <w:rFonts w:ascii="Liberation Sans" w:hAnsi="Liberation Sans"/>
          <w:b/>
          <w:color w:val="1F2937"/>
          <w:sz w:val="21"/>
        </w:rPr>
        <w:t xml:space="preserve">Likely sources: </w:t>
      </w:r>
      <w:r>
        <w:rPr>
          <w:rFonts w:ascii="Liberation Sans" w:hAnsi="Liberation Sans"/>
          <w:i w:val="0"/>
          <w:color w:val="1F2937"/>
          <w:sz w:val="21"/>
        </w:rPr>
        <w:t>Economic Survey; Union Budget; RBI state-finance and public-finance tables; MoSPI GDP.</w:t>
      </w:r>
    </w:p>
    <w:p>
      <w:pPr>
        <w:pStyle w:val="Heading2"/>
        <w:keepNext/>
        <w:spacing w:before="140" w:after="100"/>
      </w:pPr>
      <w:r>
        <w:rPr>
          <w:rFonts w:ascii="Liberation Sans" w:hAnsi="Liberation Sans"/>
          <w:b/>
          <w:color w:val="0F766E"/>
          <w:sz w:val="30"/>
        </w:rPr>
        <w:t>3.5 External competitiveness and balance-of-payments resilience</w:t>
      </w:r>
    </w:p>
    <w:tbl>
      <w:tblPr>
        <w:tblW w:type="auto" w:w="0"/>
        <w:jc w:val="center"/>
        <w:tblLayout w:type="fixed"/>
        <w:tblLook w:firstColumn="1" w:firstRow="1" w:lastColumn="0" w:lastRow="0" w:noHBand="0" w:noVBand="1" w:val="04A0"/>
      </w:tblPr>
      <w:tblGrid>
        <w:gridCol w:w="173"/>
        <w:gridCol w:w="9432"/>
      </w:tblGrid>
      <w:tr>
        <w:tc>
          <w:tcPr>
            <w:tcW w:type="dxa" w:w="4917"/>
            <w:shd w:fill="355C9A"/>
            <w:tcMar>
              <w:top w:w="40" w:type="dxa"/>
              <w:start w:w="20" w:type="dxa"/>
              <w:bottom w:w="40" w:type="dxa"/>
              <w:end w:w="20" w:type="dxa"/>
            </w:tcMar>
            <w:tcBorders>
              <w:top w:val="nil"/>
              <w:left w:val="nil"/>
              <w:bottom w:val="nil"/>
              <w:right w:val="nil"/>
            </w:tcBorders>
          </w:tcPr>
          <w:p/>
        </w:tc>
        <w:tc>
          <w:tcPr>
            <w:tcW w:type="dxa" w:w="4917"/>
            <w:shd w:fill="EEF3FB"/>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355C9A"/>
                <w:sz w:val="21"/>
              </w:rPr>
              <w:t>Research question</w:t>
            </w:r>
          </w:p>
          <w:p>
            <w:pPr>
              <w:spacing w:after="0"/>
            </w:pPr>
            <w:r>
              <w:rPr>
                <w:rFonts w:ascii="Liberation Sans" w:hAnsi="Liberation Sans"/>
                <w:color w:val="1F2937"/>
                <w:sz w:val="20"/>
              </w:rPr>
              <w:t>Is India maintaining external competitiveness as domestic growth, inflation and capital inflows increase?</w:t>
            </w:r>
          </w:p>
        </w:tc>
      </w:tr>
    </w:tbl>
    <w:p>
      <w:pPr>
        <w:spacing w:after="20"/>
      </w:pPr>
    </w:p>
    <w:p>
      <w:pPr>
        <w:pStyle w:val="Heading3"/>
        <w:keepNext/>
        <w:spacing w:before="140" w:after="100"/>
      </w:pPr>
      <w:r>
        <w:rPr>
          <w:rFonts w:ascii="Liberation Sans" w:hAnsi="Liberation Sans"/>
          <w:b/>
          <w:color w:val="1F2937"/>
          <w:sz w:val="24"/>
        </w:rPr>
        <w:t>Primary indicators</w:t>
      </w:r>
    </w:p>
    <w:p>
      <w:pPr>
        <w:pStyle w:val="ListBullet"/>
        <w:spacing w:before="0" w:after="60" w:line="245" w:lineRule="auto"/>
        <w:ind w:left="403" w:hanging="245"/>
      </w:pPr>
      <w:r>
        <w:rPr>
          <w:rFonts w:ascii="Liberation Sans" w:hAnsi="Liberation Sans"/>
          <w:color w:val="1F2937"/>
          <w:sz w:val="20"/>
        </w:rPr>
        <w:t>RBI trade-weighted REER</w:t>
      </w:r>
    </w:p>
    <w:p>
      <w:pPr>
        <w:pStyle w:val="ListBullet"/>
        <w:spacing w:before="0" w:after="60" w:line="245" w:lineRule="auto"/>
        <w:ind w:left="403" w:hanging="245"/>
      </w:pPr>
      <w:r>
        <w:rPr>
          <w:rFonts w:ascii="Liberation Sans" w:hAnsi="Liberation Sans"/>
          <w:color w:val="1F2937"/>
          <w:sz w:val="20"/>
        </w:rPr>
        <w:t>REER deviation from a five- or ten-year rolling average</w:t>
      </w:r>
    </w:p>
    <w:p>
      <w:pPr>
        <w:pStyle w:val="Heading3"/>
        <w:keepNext/>
        <w:spacing w:before="140" w:after="100"/>
      </w:pPr>
      <w:r>
        <w:rPr>
          <w:rFonts w:ascii="Liberation Sans" w:hAnsi="Liberation Sans"/>
          <w:b/>
          <w:color w:val="1F2937"/>
          <w:sz w:val="24"/>
        </w:rPr>
        <w:t>Supporting evidence</w:t>
      </w:r>
    </w:p>
    <w:p>
      <w:pPr>
        <w:pStyle w:val="ListBullet"/>
        <w:spacing w:before="0" w:after="60" w:line="245" w:lineRule="auto"/>
        <w:ind w:left="403" w:hanging="245"/>
      </w:pPr>
      <w:r>
        <w:rPr>
          <w:rFonts w:ascii="Liberation Sans" w:hAnsi="Liberation Sans"/>
          <w:color w:val="1F2937"/>
          <w:sz w:val="20"/>
        </w:rPr>
        <w:t>Current-account balance as a percentage of GDP</w:t>
      </w:r>
    </w:p>
    <w:p>
      <w:pPr>
        <w:pStyle w:val="ListBullet"/>
        <w:spacing w:before="0" w:after="60" w:line="245" w:lineRule="auto"/>
        <w:ind w:left="403" w:hanging="245"/>
      </w:pPr>
      <w:r>
        <w:rPr>
          <w:rFonts w:ascii="Liberation Sans" w:hAnsi="Liberation Sans"/>
          <w:color w:val="1F2937"/>
          <w:sz w:val="20"/>
        </w:rPr>
        <w:t>Non-oil merchandise export growth</w:t>
      </w:r>
    </w:p>
    <w:p>
      <w:pPr>
        <w:pStyle w:val="ListBullet"/>
        <w:spacing w:before="0" w:after="60" w:line="245" w:lineRule="auto"/>
        <w:ind w:left="403" w:hanging="245"/>
      </w:pPr>
      <w:r>
        <w:rPr>
          <w:rFonts w:ascii="Liberation Sans" w:hAnsi="Liberation Sans"/>
          <w:color w:val="1F2937"/>
          <w:sz w:val="20"/>
        </w:rPr>
        <w:t>Optional services-export growth</w:t>
      </w:r>
    </w:p>
    <w:p>
      <w:pPr>
        <w:spacing w:before="0" w:after="120" w:line="259" w:lineRule="auto"/>
      </w:pPr>
      <w:r>
        <w:rPr>
          <w:rFonts w:ascii="Liberation Sans" w:hAnsi="Liberation Sans"/>
          <w:b/>
          <w:color w:val="1F2937"/>
          <w:sz w:val="21"/>
        </w:rPr>
        <w:t xml:space="preserve">Why it matters: </w:t>
      </w:r>
      <w:r>
        <w:rPr>
          <w:rFonts w:ascii="Liberation Sans" w:hAnsi="Liberation Sans"/>
          <w:i w:val="0"/>
          <w:color w:val="1F2937"/>
          <w:sz w:val="21"/>
        </w:rPr>
        <w:t>REER prevents the project from becoming a sequence of positive domestic stories. The current account or export outcomes test whether changes in relative prices are economically consequential.</w:t>
      </w:r>
    </w:p>
    <w:p>
      <w:pPr>
        <w:spacing w:before="0" w:after="120" w:line="259" w:lineRule="auto"/>
      </w:pPr>
      <w:r>
        <w:rPr>
          <w:rFonts w:ascii="Liberation Sans" w:hAnsi="Liberation Sans"/>
          <w:b/>
          <w:color w:val="1F2937"/>
          <w:sz w:val="21"/>
        </w:rPr>
        <w:t xml:space="preserve">Recommended presentation: </w:t>
      </w:r>
      <w:r>
        <w:rPr>
          <w:rFonts w:ascii="Liberation Sans" w:hAnsi="Liberation Sans"/>
          <w:i w:val="0"/>
          <w:color w:val="1F2937"/>
          <w:sz w:val="21"/>
        </w:rPr>
        <w:t>Primary line chart: REER and rolling historical reference. Supporting view: current-account balance/GDP or non-oil exports.</w:t>
      </w:r>
    </w:p>
    <w:tbl>
      <w:tblPr>
        <w:tblW w:type="auto" w:w="0"/>
        <w:jc w:val="center"/>
        <w:tblLayout w:type="fixed"/>
        <w:tblLook w:firstColumn="1" w:firstRow="1" w:lastColumn="0" w:lastRow="0" w:noHBand="0" w:noVBand="1" w:val="04A0"/>
      </w:tblPr>
      <w:tblGrid>
        <w:gridCol w:w="173"/>
        <w:gridCol w:w="9432"/>
      </w:tblGrid>
      <w:tr>
        <w:tc>
          <w:tcPr>
            <w:tcW w:type="dxa" w:w="4917"/>
            <w:shd w:fill="B91C1C"/>
            <w:tcMar>
              <w:top w:w="40" w:type="dxa"/>
              <w:start w:w="20" w:type="dxa"/>
              <w:bottom w:w="40" w:type="dxa"/>
              <w:end w:w="20" w:type="dxa"/>
            </w:tcMar>
            <w:tcBorders>
              <w:top w:val="nil"/>
              <w:left w:val="nil"/>
              <w:bottom w:val="nil"/>
              <w:right w:val="nil"/>
            </w:tcBorders>
          </w:tcPr>
          <w:p/>
        </w:tc>
        <w:tc>
          <w:tcPr>
            <w:tcW w:type="dxa" w:w="4917"/>
            <w:shd w:fill="FCECEE"/>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B91C1C"/>
                <w:sz w:val="21"/>
              </w:rPr>
              <w:t>Main limitation</w:t>
            </w:r>
          </w:p>
          <w:p>
            <w:pPr>
              <w:spacing w:after="0"/>
            </w:pPr>
            <w:r>
              <w:rPr>
                <w:rFonts w:ascii="Liberation Sans" w:hAnsi="Liberation Sans"/>
                <w:color w:val="1F2937"/>
                <w:sz w:val="20"/>
              </w:rPr>
              <w:t>An REER above 100 does not automatically mean overvaluation. Interpret direction, rate of change, historical deviation and external outcomes.</w:t>
            </w:r>
          </w:p>
        </w:tc>
      </w:tr>
    </w:tbl>
    <w:p>
      <w:pPr>
        <w:spacing w:after="20"/>
      </w:pPr>
    </w:p>
    <w:p>
      <w:pPr>
        <w:spacing w:before="0" w:after="120" w:line="259" w:lineRule="auto"/>
      </w:pPr>
      <w:r>
        <w:rPr>
          <w:rFonts w:ascii="Liberation Sans" w:hAnsi="Liberation Sans"/>
          <w:b/>
          <w:color w:val="1F2937"/>
          <w:sz w:val="21"/>
        </w:rPr>
        <w:t xml:space="preserve">Likely sources: </w:t>
      </w:r>
      <w:r>
        <w:rPr>
          <w:rFonts w:ascii="Liberation Sans" w:hAnsi="Liberation Sans"/>
          <w:i w:val="0"/>
          <w:color w:val="1F2937"/>
          <w:sz w:val="21"/>
        </w:rPr>
        <w:t>RBI DBIE; RBI balance of payments; Department of Commerce; MoSPI GDP.</w:t>
      </w:r>
    </w:p>
    <w:p>
      <w:pPr>
        <w:pStyle w:val="Heading2"/>
        <w:keepNext/>
        <w:spacing w:before="140" w:after="100"/>
      </w:pPr>
      <w:r>
        <w:rPr>
          <w:rFonts w:ascii="Liberation Sans" w:hAnsi="Liberation Sans"/>
          <w:b/>
          <w:color w:val="0F766E"/>
          <w:sz w:val="30"/>
        </w:rPr>
        <w:t>3.6 Human-capital and employment conversion</w:t>
      </w:r>
    </w:p>
    <w:tbl>
      <w:tblPr>
        <w:tblW w:type="auto" w:w="0"/>
        <w:jc w:val="center"/>
        <w:tblLayout w:type="fixed"/>
        <w:tblLook w:firstColumn="1" w:firstRow="1" w:lastColumn="0" w:lastRow="0" w:noHBand="0" w:noVBand="1" w:val="04A0"/>
      </w:tblPr>
      <w:tblGrid>
        <w:gridCol w:w="173"/>
        <w:gridCol w:w="9432"/>
      </w:tblGrid>
      <w:tr>
        <w:tc>
          <w:tcPr>
            <w:tcW w:type="dxa" w:w="4917"/>
            <w:shd w:fill="355C9A"/>
            <w:tcMar>
              <w:top w:w="40" w:type="dxa"/>
              <w:start w:w="20" w:type="dxa"/>
              <w:bottom w:w="40" w:type="dxa"/>
              <w:end w:w="20" w:type="dxa"/>
            </w:tcMar>
            <w:tcBorders>
              <w:top w:val="nil"/>
              <w:left w:val="nil"/>
              <w:bottom w:val="nil"/>
              <w:right w:val="nil"/>
            </w:tcBorders>
          </w:tcPr>
          <w:p/>
        </w:tc>
        <w:tc>
          <w:tcPr>
            <w:tcW w:type="dxa" w:w="4917"/>
            <w:shd w:fill="EEF3FB"/>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355C9A"/>
                <w:sz w:val="21"/>
              </w:rPr>
              <w:t>Research question</w:t>
            </w:r>
          </w:p>
          <w:p>
            <w:pPr>
              <w:spacing w:after="0"/>
            </w:pPr>
            <w:r>
              <w:rPr>
                <w:rFonts w:ascii="Liberation Sans" w:hAnsi="Liberation Sans"/>
                <w:color w:val="1F2937"/>
                <w:sz w:val="20"/>
              </w:rPr>
              <w:t>Is the expansion of education translating into productive employment and better use of India’s workforce?</w:t>
            </w:r>
          </w:p>
        </w:tc>
      </w:tr>
    </w:tbl>
    <w:p>
      <w:pPr>
        <w:spacing w:after="20"/>
      </w:pPr>
    </w:p>
    <w:p>
      <w:pPr>
        <w:pStyle w:val="Heading3"/>
        <w:keepNext/>
        <w:spacing w:before="140" w:after="100"/>
      </w:pPr>
      <w:r>
        <w:rPr>
          <w:rFonts w:ascii="Liberation Sans" w:hAnsi="Liberation Sans"/>
          <w:b/>
          <w:color w:val="1F2937"/>
          <w:sz w:val="24"/>
        </w:rPr>
        <w:t>Primary indicators</w:t>
      </w:r>
    </w:p>
    <w:p>
      <w:pPr>
        <w:pStyle w:val="ListBullet"/>
        <w:spacing w:before="0" w:after="60" w:line="245" w:lineRule="auto"/>
        <w:ind w:left="403" w:hanging="245"/>
      </w:pPr>
      <w:r>
        <w:rPr>
          <w:rFonts w:ascii="Liberation Sans" w:hAnsi="Liberation Sans"/>
          <w:color w:val="1F2937"/>
          <w:sz w:val="20"/>
        </w:rPr>
        <w:t>Tertiary Gross Enrolment Ratio</w:t>
      </w:r>
    </w:p>
    <w:p>
      <w:pPr>
        <w:pStyle w:val="ListBullet"/>
        <w:spacing w:before="0" w:after="60" w:line="245" w:lineRule="auto"/>
        <w:ind w:left="403" w:hanging="245"/>
      </w:pPr>
      <w:r>
        <w:rPr>
          <w:rFonts w:ascii="Liberation Sans" w:hAnsi="Liberation Sans"/>
          <w:color w:val="1F2937"/>
          <w:sz w:val="20"/>
        </w:rPr>
        <w:t>Graduate-and-above unemployment rate</w:t>
      </w:r>
    </w:p>
    <w:p>
      <w:pPr>
        <w:pStyle w:val="Heading3"/>
        <w:keepNext/>
        <w:spacing w:before="140" w:after="100"/>
      </w:pPr>
      <w:r>
        <w:rPr>
          <w:rFonts w:ascii="Liberation Sans" w:hAnsi="Liberation Sans"/>
          <w:b/>
          <w:color w:val="1F2937"/>
          <w:sz w:val="24"/>
        </w:rPr>
        <w:t>Supporting evidence</w:t>
      </w:r>
    </w:p>
    <w:p>
      <w:pPr>
        <w:pStyle w:val="ListBullet"/>
        <w:spacing w:before="0" w:after="60" w:line="245" w:lineRule="auto"/>
        <w:ind w:left="403" w:hanging="245"/>
      </w:pPr>
      <w:r>
        <w:rPr>
          <w:rFonts w:ascii="Liberation Sans" w:hAnsi="Liberation Sans"/>
          <w:color w:val="1F2937"/>
          <w:sz w:val="20"/>
        </w:rPr>
        <w:t>Choose one: regular salaried employment share, non-agricultural employment share, or formal payroll additions</w:t>
      </w:r>
    </w:p>
    <w:p>
      <w:pPr>
        <w:spacing w:before="0" w:after="120" w:line="259" w:lineRule="auto"/>
      </w:pPr>
      <w:r>
        <w:rPr>
          <w:rFonts w:ascii="Liberation Sans" w:hAnsi="Liberation Sans"/>
          <w:b/>
          <w:color w:val="1F2937"/>
          <w:sz w:val="21"/>
        </w:rPr>
        <w:t xml:space="preserve">Why it matters: </w:t>
      </w:r>
      <w:r>
        <w:rPr>
          <w:rFonts w:ascii="Liberation Sans" w:hAnsi="Liberation Sans"/>
          <w:i w:val="0"/>
          <w:color w:val="1F2937"/>
          <w:sz w:val="21"/>
        </w:rPr>
        <w:t>Enrolment measures access; graduate unemployment tests whether the economy creates roles that use the additional education. The pairing is more informative than generic school enrolment.</w:t>
      </w:r>
    </w:p>
    <w:p>
      <w:pPr>
        <w:spacing w:before="0" w:after="120" w:line="259" w:lineRule="auto"/>
      </w:pPr>
      <w:r>
        <w:rPr>
          <w:rFonts w:ascii="Liberation Sans" w:hAnsi="Liberation Sans"/>
          <w:b/>
          <w:color w:val="1F2937"/>
          <w:sz w:val="21"/>
        </w:rPr>
        <w:t xml:space="preserve">Recommended presentation: </w:t>
      </w:r>
      <w:r>
        <w:rPr>
          <w:rFonts w:ascii="Liberation Sans" w:hAnsi="Liberation Sans"/>
          <w:i w:val="0"/>
          <w:color w:val="1F2937"/>
          <w:sz w:val="21"/>
        </w:rPr>
        <w:t>Primary line chart: tertiary GER and graduate unemployment. Supporting view: one employment-quality metric only.</w:t>
      </w:r>
    </w:p>
    <w:tbl>
      <w:tblPr>
        <w:tblW w:type="auto" w:w="0"/>
        <w:jc w:val="center"/>
        <w:tblLayout w:type="fixed"/>
        <w:tblLook w:firstColumn="1" w:firstRow="1" w:lastColumn="0" w:lastRow="0" w:noHBand="0" w:noVBand="1" w:val="04A0"/>
      </w:tblPr>
      <w:tblGrid>
        <w:gridCol w:w="173"/>
        <w:gridCol w:w="9432"/>
      </w:tblGrid>
      <w:tr>
        <w:tc>
          <w:tcPr>
            <w:tcW w:type="dxa" w:w="4917"/>
            <w:shd w:fill="B91C1C"/>
            <w:tcMar>
              <w:top w:w="40" w:type="dxa"/>
              <w:start w:w="20" w:type="dxa"/>
              <w:bottom w:w="40" w:type="dxa"/>
              <w:end w:w="20" w:type="dxa"/>
            </w:tcMar>
            <w:tcBorders>
              <w:top w:val="nil"/>
              <w:left w:val="nil"/>
              <w:bottom w:val="nil"/>
              <w:right w:val="nil"/>
            </w:tcBorders>
          </w:tcPr>
          <w:p/>
        </w:tc>
        <w:tc>
          <w:tcPr>
            <w:tcW w:type="dxa" w:w="4917"/>
            <w:shd w:fill="FCECEE"/>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B91C1C"/>
                <w:sz w:val="21"/>
              </w:rPr>
              <w:t>Main limitation</w:t>
            </w:r>
          </w:p>
          <w:p>
            <w:pPr>
              <w:spacing w:after="0"/>
            </w:pPr>
            <w:r>
              <w:rPr>
                <w:rFonts w:ascii="Liberation Sans" w:hAnsi="Liberation Sans"/>
                <w:color w:val="1F2937"/>
                <w:sz w:val="20"/>
              </w:rPr>
              <w:t>Enrolment does not measure learning quality or employability. EPFO payroll additions, if used, represent formal payroll activity rather than total job creation.</w:t>
            </w:r>
          </w:p>
        </w:tc>
      </w:tr>
    </w:tbl>
    <w:p>
      <w:pPr>
        <w:spacing w:after="20"/>
      </w:pPr>
    </w:p>
    <w:p>
      <w:pPr>
        <w:spacing w:before="0" w:after="120" w:line="259" w:lineRule="auto"/>
      </w:pPr>
      <w:r>
        <w:rPr>
          <w:rFonts w:ascii="Liberation Sans" w:hAnsi="Liberation Sans"/>
          <w:b/>
          <w:color w:val="1F2937"/>
          <w:sz w:val="21"/>
        </w:rPr>
        <w:t xml:space="preserve">Likely sources: </w:t>
      </w:r>
      <w:r>
        <w:rPr>
          <w:rFonts w:ascii="Liberation Sans" w:hAnsi="Liberation Sans"/>
          <w:i w:val="0"/>
          <w:color w:val="1F2937"/>
          <w:sz w:val="21"/>
        </w:rPr>
        <w:t>AISHE; PLFS; optional EPFO or World Bank for supporting employment share.</w:t>
      </w:r>
    </w:p>
    <w:p>
      <w:pPr>
        <w:pStyle w:val="Heading2"/>
        <w:keepNext/>
        <w:spacing w:before="140" w:after="100"/>
      </w:pPr>
      <w:r>
        <w:rPr>
          <w:rFonts w:ascii="Liberation Sans" w:hAnsi="Liberation Sans"/>
          <w:b/>
          <w:color w:val="0F766E"/>
          <w:sz w:val="30"/>
        </w:rPr>
        <w:t>3.7 Domestic capital as a buffer against global shocks</w:t>
      </w:r>
    </w:p>
    <w:tbl>
      <w:tblPr>
        <w:tblW w:type="auto" w:w="0"/>
        <w:jc w:val="center"/>
        <w:tblLayout w:type="fixed"/>
        <w:tblLook w:firstColumn="1" w:firstRow="1" w:lastColumn="0" w:lastRow="0" w:noHBand="0" w:noVBand="1" w:val="04A0"/>
      </w:tblPr>
      <w:tblGrid>
        <w:gridCol w:w="173"/>
        <w:gridCol w:w="9432"/>
      </w:tblGrid>
      <w:tr>
        <w:tc>
          <w:tcPr>
            <w:tcW w:type="dxa" w:w="4917"/>
            <w:shd w:fill="355C9A"/>
            <w:tcMar>
              <w:top w:w="40" w:type="dxa"/>
              <w:start w:w="20" w:type="dxa"/>
              <w:bottom w:w="40" w:type="dxa"/>
              <w:end w:w="20" w:type="dxa"/>
            </w:tcMar>
            <w:tcBorders>
              <w:top w:val="nil"/>
              <w:left w:val="nil"/>
              <w:bottom w:val="nil"/>
              <w:right w:val="nil"/>
            </w:tcBorders>
          </w:tcPr>
          <w:p/>
        </w:tc>
        <w:tc>
          <w:tcPr>
            <w:tcW w:type="dxa" w:w="4917"/>
            <w:shd w:fill="EEF3FB"/>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355C9A"/>
                <w:sz w:val="21"/>
              </w:rPr>
              <w:t>Research question</w:t>
            </w:r>
          </w:p>
          <w:p>
            <w:pPr>
              <w:spacing w:after="0"/>
            </w:pPr>
            <w:r>
              <w:rPr>
                <w:rFonts w:ascii="Liberation Sans" w:hAnsi="Liberation Sans"/>
                <w:color w:val="1F2937"/>
                <w:sz w:val="20"/>
              </w:rPr>
              <w:t>Has the growth of domestic institutional investment reduced the sensitivity of Indian equity markets to foreign portfolio outflows?</w:t>
            </w:r>
          </w:p>
        </w:tc>
      </w:tr>
    </w:tbl>
    <w:p>
      <w:pPr>
        <w:spacing w:after="20"/>
      </w:pPr>
    </w:p>
    <w:p>
      <w:pPr>
        <w:pStyle w:val="Heading3"/>
        <w:keepNext/>
        <w:spacing w:before="140" w:after="100"/>
      </w:pPr>
      <w:r>
        <w:rPr>
          <w:rFonts w:ascii="Liberation Sans" w:hAnsi="Liberation Sans"/>
          <w:b/>
          <w:color w:val="1F2937"/>
          <w:sz w:val="24"/>
        </w:rPr>
        <w:t>Primary indicators</w:t>
      </w:r>
    </w:p>
    <w:p>
      <w:pPr>
        <w:pStyle w:val="ListBullet"/>
        <w:spacing w:before="0" w:after="60" w:line="245" w:lineRule="auto"/>
        <w:ind w:left="403" w:hanging="245"/>
      </w:pPr>
      <w:r>
        <w:rPr>
          <w:rFonts w:ascii="Liberation Sans" w:hAnsi="Liberation Sans"/>
          <w:color w:val="1F2937"/>
          <w:sz w:val="20"/>
        </w:rPr>
        <w:t>Monthly DII net equity flows</w:t>
      </w:r>
    </w:p>
    <w:p>
      <w:pPr>
        <w:pStyle w:val="ListBullet"/>
        <w:spacing w:before="0" w:after="60" w:line="245" w:lineRule="auto"/>
        <w:ind w:left="403" w:hanging="245"/>
      </w:pPr>
      <w:r>
        <w:rPr>
          <w:rFonts w:ascii="Liberation Sans" w:hAnsi="Liberation Sans"/>
          <w:color w:val="1F2937"/>
          <w:sz w:val="20"/>
        </w:rPr>
        <w:t>Monthly FII/FPI net equity flows</w:t>
      </w:r>
    </w:p>
    <w:p>
      <w:pPr>
        <w:pStyle w:val="ListBullet"/>
        <w:spacing w:before="0" w:after="60" w:line="245" w:lineRule="auto"/>
        <w:ind w:left="403" w:hanging="245"/>
      </w:pPr>
      <w:r>
        <w:rPr>
          <w:rFonts w:ascii="Liberation Sans" w:hAnsi="Liberation Sans"/>
          <w:color w:val="1F2937"/>
          <w:sz w:val="20"/>
        </w:rPr>
        <w:t>Rolling 12-month cumulative flows</w:t>
      </w:r>
    </w:p>
    <w:p>
      <w:pPr>
        <w:pStyle w:val="Heading3"/>
        <w:keepNext/>
        <w:spacing w:before="140" w:after="100"/>
      </w:pPr>
      <w:r>
        <w:rPr>
          <w:rFonts w:ascii="Liberation Sans" w:hAnsi="Liberation Sans"/>
          <w:b/>
          <w:color w:val="1F2937"/>
          <w:sz w:val="24"/>
        </w:rPr>
        <w:t>Supporting evidence</w:t>
      </w:r>
    </w:p>
    <w:p>
      <w:pPr>
        <w:pStyle w:val="ListBullet"/>
        <w:spacing w:before="0" w:after="60" w:line="245" w:lineRule="auto"/>
        <w:ind w:left="403" w:hanging="245"/>
      </w:pPr>
      <w:r>
        <w:rPr>
          <w:rFonts w:ascii="Liberation Sans" w:hAnsi="Liberation Sans"/>
          <w:color w:val="1F2937"/>
          <w:sz w:val="20"/>
        </w:rPr>
        <w:t>DII offset ratio during FII/FPI selling months</w:t>
      </w:r>
    </w:p>
    <w:p>
      <w:pPr>
        <w:pStyle w:val="ListBullet"/>
        <w:spacing w:before="0" w:after="60" w:line="245" w:lineRule="auto"/>
        <w:ind w:left="403" w:hanging="245"/>
      </w:pPr>
      <w:r>
        <w:rPr>
          <w:rFonts w:ascii="Liberation Sans" w:hAnsi="Liberation Sans"/>
          <w:color w:val="1F2937"/>
          <w:sz w:val="20"/>
        </w:rPr>
        <w:t>Nifty returns, drawdowns, volatility and recovery time</w:t>
      </w:r>
    </w:p>
    <w:p>
      <w:pPr>
        <w:pStyle w:val="ListBullet"/>
        <w:spacing w:before="0" w:after="60" w:line="245" w:lineRule="auto"/>
        <w:ind w:left="403" w:hanging="245"/>
      </w:pPr>
      <w:r>
        <w:rPr>
          <w:rFonts w:ascii="Liberation Sans" w:hAnsi="Liberation Sans"/>
          <w:color w:val="1F2937"/>
          <w:sz w:val="20"/>
        </w:rPr>
        <w:t>Predefined global-shock event studies</w:t>
      </w:r>
    </w:p>
    <w:p>
      <w:pPr>
        <w:spacing w:before="0" w:after="120" w:line="259" w:lineRule="auto"/>
      </w:pPr>
      <w:r>
        <w:rPr>
          <w:rFonts w:ascii="Liberation Sans" w:hAnsi="Liberation Sans"/>
          <w:b/>
          <w:color w:val="1F2937"/>
          <w:sz w:val="21"/>
        </w:rPr>
        <w:t xml:space="preserve">Why it matters: </w:t>
      </w:r>
      <w:r>
        <w:rPr>
          <w:rFonts w:ascii="Liberation Sans" w:hAnsi="Liberation Sans"/>
          <w:i w:val="0"/>
          <w:color w:val="1F2937"/>
          <w:sz w:val="21"/>
        </w:rPr>
        <w:t>This section tests India’s financial resilience and dependence on reversible foreign portfolio capital. A deeper domestic investor base may reduce market disruption and support corporate financing conditions during global risk-off episodes.</w:t>
      </w:r>
    </w:p>
    <w:p>
      <w:pPr>
        <w:spacing w:before="0" w:after="120" w:line="259" w:lineRule="auto"/>
      </w:pPr>
      <w:r>
        <w:rPr>
          <w:rFonts w:ascii="Liberation Sans" w:hAnsi="Liberation Sans"/>
          <w:b/>
          <w:color w:val="1F2937"/>
          <w:sz w:val="21"/>
        </w:rPr>
        <w:t xml:space="preserve">Recommended presentation: </w:t>
      </w:r>
      <w:r>
        <w:rPr>
          <w:rFonts w:ascii="Liberation Sans" w:hAnsi="Liberation Sans"/>
          <w:i w:val="0"/>
          <w:color w:val="1F2937"/>
          <w:sz w:val="21"/>
        </w:rPr>
        <w:t>Primary line chart: monthly and rolling DII/FPI flows. Supporting event view: cumulative flows, offset ratio, Nifty drawdown and recovery for predefined shocks.</w:t>
      </w:r>
    </w:p>
    <w:tbl>
      <w:tblPr>
        <w:tblW w:type="auto" w:w="0"/>
        <w:jc w:val="center"/>
        <w:tblLayout w:type="fixed"/>
        <w:tblLook w:firstColumn="1" w:firstRow="1" w:lastColumn="0" w:lastRow="0" w:noHBand="0" w:noVBand="1" w:val="04A0"/>
      </w:tblPr>
      <w:tblGrid>
        <w:gridCol w:w="173"/>
        <w:gridCol w:w="9432"/>
      </w:tblGrid>
      <w:tr>
        <w:tc>
          <w:tcPr>
            <w:tcW w:type="dxa" w:w="4917"/>
            <w:shd w:fill="B91C1C"/>
            <w:tcMar>
              <w:top w:w="40" w:type="dxa"/>
              <w:start w:w="20" w:type="dxa"/>
              <w:bottom w:w="40" w:type="dxa"/>
              <w:end w:w="20" w:type="dxa"/>
            </w:tcMar>
            <w:tcBorders>
              <w:top w:val="nil"/>
              <w:left w:val="nil"/>
              <w:bottom w:val="nil"/>
              <w:right w:val="nil"/>
            </w:tcBorders>
          </w:tcPr>
          <w:p/>
        </w:tc>
        <w:tc>
          <w:tcPr>
            <w:tcW w:type="dxa" w:w="4917"/>
            <w:shd w:fill="FCECEE"/>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B91C1C"/>
                <w:sz w:val="21"/>
              </w:rPr>
              <w:t>Main limitation</w:t>
            </w:r>
          </w:p>
          <w:p>
            <w:pPr>
              <w:spacing w:after="0"/>
            </w:pPr>
            <w:r>
              <w:rPr>
                <w:rFonts w:ascii="Liberation Sans" w:hAnsi="Liberation Sans"/>
                <w:color w:val="1F2937"/>
                <w:sz w:val="20"/>
              </w:rPr>
              <w:t>DII does not equal retail investment. Domestic buying may stabilise markets without improving fundamentals and may transfer risk to domestic savers. The defensible claim is financial resilience, not complete economic sovereignty.</w:t>
            </w:r>
          </w:p>
        </w:tc>
      </w:tr>
    </w:tbl>
    <w:p>
      <w:pPr>
        <w:spacing w:after="20"/>
      </w:pPr>
    </w:p>
    <w:p>
      <w:pPr>
        <w:spacing w:before="0" w:after="120" w:line="259" w:lineRule="auto"/>
      </w:pPr>
      <w:r>
        <w:rPr>
          <w:rFonts w:ascii="Liberation Sans" w:hAnsi="Liberation Sans"/>
          <w:b/>
          <w:color w:val="1F2937"/>
          <w:sz w:val="21"/>
        </w:rPr>
        <w:t xml:space="preserve">Likely sources: </w:t>
      </w:r>
      <w:r>
        <w:rPr>
          <w:rFonts w:ascii="Liberation Sans" w:hAnsi="Liberation Sans"/>
          <w:i w:val="0"/>
          <w:color w:val="1F2937"/>
          <w:sz w:val="21"/>
        </w:rPr>
        <w:t>NSE institutional activity; NSDL FPI reports; yFinance or existing market-performance pipeline.</w:t>
      </w:r>
    </w:p>
    <w:p>
      <w:r>
        <w:br w:type="page"/>
      </w:r>
    </w:p>
    <w:p>
      <w:pPr>
        <w:pStyle w:val="Heading1"/>
        <w:keepNext/>
        <w:spacing w:before="200" w:after="100"/>
      </w:pPr>
      <w:r>
        <w:rPr>
          <w:rFonts w:ascii="Liberation Sans" w:hAnsi="Liberation Sans"/>
          <w:b/>
          <w:color w:val="17324D"/>
          <w:sz w:val="40"/>
        </w:rPr>
        <w:t>4. Data products and schema mapping</w:t>
      </w:r>
    </w:p>
    <w:p>
      <w:pPr>
        <w:spacing w:before="0" w:after="120" w:line="259" w:lineRule="auto"/>
      </w:pPr>
      <w:r>
        <w:rPr>
          <w:rFonts w:ascii="Liberation Sans" w:hAnsi="Liberation Sans"/>
          <w:i w:val="0"/>
          <w:color w:val="1F2937"/>
          <w:sz w:val="21"/>
        </w:rPr>
        <w:t>The focused project should publish one continuous analytical bundle per section, plus a separate event-study file for global shocks. The existing dated multi-series schema becomes the default contract because it supports daily, monthly, quarterly and annual observations, mixed units, per-series labels and status fields.</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1656"/>
            <w:shd w:fill="17324D"/>
            <w:vAlign w:val="center"/>
            <w:tcMar>
              <w:top w:w="80" w:type="dxa"/>
              <w:start w:w="90" w:type="dxa"/>
              <w:bottom w:w="80" w:type="dxa"/>
              <w:end w:w="90" w:type="dxa"/>
            </w:tcMar>
          </w:tcPr>
          <w:p>
            <w:pPr>
              <w:jc w:val="left"/>
            </w:pPr>
            <w:r>
              <w:rPr>
                <w:rFonts w:ascii="Liberation Sans" w:hAnsi="Liberation Sans"/>
                <w:b/>
                <w:color w:val="FFFFFF"/>
                <w:sz w:val="17"/>
              </w:rPr>
              <w:t>Section / use</w:t>
            </w:r>
          </w:p>
        </w:tc>
        <w:tc>
          <w:tcPr>
            <w:tcW w:type="dxa" w:w="2376"/>
            <w:shd w:fill="17324D"/>
            <w:vAlign w:val="center"/>
            <w:tcMar>
              <w:top w:w="80" w:type="dxa"/>
              <w:start w:w="90" w:type="dxa"/>
              <w:bottom w:w="80" w:type="dxa"/>
              <w:end w:w="90" w:type="dxa"/>
            </w:tcMar>
          </w:tcPr>
          <w:p>
            <w:pPr>
              <w:jc w:val="left"/>
            </w:pPr>
            <w:r>
              <w:rPr>
                <w:rFonts w:ascii="Liberation Sans" w:hAnsi="Liberation Sans"/>
                <w:b/>
                <w:color w:val="FFFFFF"/>
                <w:sz w:val="17"/>
              </w:rPr>
              <w:t>Static file</w:t>
            </w:r>
          </w:p>
        </w:tc>
        <w:tc>
          <w:tcPr>
            <w:tcW w:type="dxa" w:w="1512"/>
            <w:shd w:fill="17324D"/>
            <w:vAlign w:val="center"/>
            <w:tcMar>
              <w:top w:w="80" w:type="dxa"/>
              <w:start w:w="90" w:type="dxa"/>
              <w:bottom w:w="80" w:type="dxa"/>
              <w:end w:w="90" w:type="dxa"/>
            </w:tcMar>
          </w:tcPr>
          <w:p>
            <w:pPr>
              <w:jc w:val="left"/>
            </w:pPr>
            <w:r>
              <w:rPr>
                <w:rFonts w:ascii="Liberation Sans" w:hAnsi="Liberation Sans"/>
                <w:b/>
                <w:color w:val="FFFFFF"/>
                <w:sz w:val="17"/>
              </w:rPr>
              <w:t>Schema</w:t>
            </w:r>
          </w:p>
        </w:tc>
        <w:tc>
          <w:tcPr>
            <w:tcW w:type="dxa" w:w="1181"/>
            <w:shd w:fill="17324D"/>
            <w:vAlign w:val="center"/>
            <w:tcMar>
              <w:top w:w="80" w:type="dxa"/>
              <w:start w:w="90" w:type="dxa"/>
              <w:bottom w:w="80" w:type="dxa"/>
              <w:end w:w="90" w:type="dxa"/>
            </w:tcMar>
          </w:tcPr>
          <w:p>
            <w:pPr>
              <w:jc w:val="left"/>
            </w:pPr>
            <w:r>
              <w:rPr>
                <w:rFonts w:ascii="Liberation Sans" w:hAnsi="Liberation Sans"/>
                <w:b/>
                <w:color w:val="FFFFFF"/>
                <w:sz w:val="17"/>
              </w:rPr>
              <w:t>Frequency</w:t>
            </w:r>
          </w:p>
        </w:tc>
        <w:tc>
          <w:tcPr>
            <w:tcW w:type="dxa" w:w="3139"/>
            <w:shd w:fill="17324D"/>
            <w:vAlign w:val="center"/>
            <w:tcMar>
              <w:top w:w="80" w:type="dxa"/>
              <w:start w:w="90" w:type="dxa"/>
              <w:bottom w:w="80" w:type="dxa"/>
              <w:end w:w="90" w:type="dxa"/>
            </w:tcMar>
          </w:tcPr>
          <w:p>
            <w:pPr>
              <w:jc w:val="left"/>
            </w:pPr>
            <w:r>
              <w:rPr>
                <w:rFonts w:ascii="Liberation Sans" w:hAnsi="Liberation Sans"/>
                <w:b/>
                <w:color w:val="FFFFFF"/>
                <w:sz w:val="17"/>
              </w:rPr>
              <w:t>Core fields</w:t>
            </w:r>
          </w:p>
        </w:tc>
      </w:tr>
      <w:tr>
        <w:tc>
          <w:tcPr>
            <w:tcW w:type="dxa" w:w="165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Digital integration</w:t>
            </w:r>
          </w:p>
        </w:tc>
        <w:tc>
          <w:tcPr>
            <w:tcW w:type="dxa" w:w="237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digital-integration/upi-and-tax-capacity.json</w:t>
            </w:r>
          </w:p>
        </w:tc>
        <w:tc>
          <w:tcPr>
            <w:tcW w:type="dxa" w:w="1512"/>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dated_multi_series</w:t>
            </w:r>
          </w:p>
        </w:tc>
        <w:tc>
          <w:tcPr>
            <w:tcW w:type="dxa" w:w="1181"/>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Monthly / quarterly</w:t>
            </w:r>
          </w:p>
        </w:tc>
        <w:tc>
          <w:tcPr>
            <w:tcW w:type="dxa" w:w="3139"/>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transactions_per_capita; transaction_value_pct_gdp; average_transaction_value; gst_growth_gap</w:t>
            </w:r>
          </w:p>
        </w:tc>
      </w:tr>
      <w:tr>
        <w:tc>
          <w:tcPr>
            <w:tcW w:type="dxa" w:w="1656"/>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Government investment</w:t>
            </w:r>
          </w:p>
        </w:tc>
        <w:tc>
          <w:tcPr>
            <w:tcW w:type="dxa" w:w="2376"/>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government-investment/capex-and-execution.json</w:t>
            </w:r>
          </w:p>
        </w:tc>
        <w:tc>
          <w:tcPr>
            <w:tcW w:type="dxa" w:w="1512"/>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dated_multi_series</w:t>
            </w:r>
          </w:p>
        </w:tc>
        <w:tc>
          <w:tcPr>
            <w:tcW w:type="dxa" w:w="1181"/>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Annual / fiscal year</w:t>
            </w:r>
          </w:p>
        </w:tc>
        <w:tc>
          <w:tcPr>
            <w:tcW w:type="dxa" w:w="3139"/>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capex_pct_gdp; capex_pct_total; execution_ratio; budget/revised/actual</w:t>
            </w:r>
          </w:p>
        </w:tc>
      </w:tr>
      <w:tr>
        <w:tc>
          <w:tcPr>
            <w:tcW w:type="dxa" w:w="165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Private investment</w:t>
            </w:r>
          </w:p>
        </w:tc>
        <w:tc>
          <w:tcPr>
            <w:tcW w:type="dxa" w:w="237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private-investment/investment-and-capacity.json</w:t>
            </w:r>
          </w:p>
        </w:tc>
        <w:tc>
          <w:tcPr>
            <w:tcW w:type="dxa" w:w="1512"/>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dated_multi_series</w:t>
            </w:r>
          </w:p>
        </w:tc>
        <w:tc>
          <w:tcPr>
            <w:tcW w:type="dxa" w:w="1181"/>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Quarterly / annual</w:t>
            </w:r>
          </w:p>
        </w:tc>
        <w:tc>
          <w:tcPr>
            <w:tcW w:type="dxa" w:w="3139"/>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private_gfcf_pct_gdp; private_share_gfcf; capacity_utilisation</w:t>
            </w:r>
          </w:p>
        </w:tc>
      </w:tr>
      <w:tr>
        <w:tc>
          <w:tcPr>
            <w:tcW w:type="dxa" w:w="1656"/>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Fiscal capacity</w:t>
            </w:r>
          </w:p>
        </w:tc>
        <w:tc>
          <w:tcPr>
            <w:tcW w:type="dxa" w:w="2376"/>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fiscal-capacity/debt-and-interest-burden.json</w:t>
            </w:r>
          </w:p>
        </w:tc>
        <w:tc>
          <w:tcPr>
            <w:tcW w:type="dxa" w:w="1512"/>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dated_multi_series</w:t>
            </w:r>
          </w:p>
        </w:tc>
        <w:tc>
          <w:tcPr>
            <w:tcW w:type="dxa" w:w="1181"/>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Annual / fiscal year</w:t>
            </w:r>
          </w:p>
        </w:tc>
        <w:tc>
          <w:tcPr>
            <w:tcW w:type="dxa" w:w="3139"/>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general_gov_debt_pct_gdp; interest_pct_revenue; primary_balance_pct_gdp</w:t>
            </w:r>
          </w:p>
        </w:tc>
      </w:tr>
      <w:tr>
        <w:tc>
          <w:tcPr>
            <w:tcW w:type="dxa" w:w="165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External competitiveness</w:t>
            </w:r>
          </w:p>
        </w:tc>
        <w:tc>
          <w:tcPr>
            <w:tcW w:type="dxa" w:w="237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external-competitiveness/reer-and-current-account.json</w:t>
            </w:r>
          </w:p>
        </w:tc>
        <w:tc>
          <w:tcPr>
            <w:tcW w:type="dxa" w:w="1512"/>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dated_multi_series</w:t>
            </w:r>
          </w:p>
        </w:tc>
        <w:tc>
          <w:tcPr>
            <w:tcW w:type="dxa" w:w="1181"/>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Monthly / quarterly</w:t>
            </w:r>
          </w:p>
        </w:tc>
        <w:tc>
          <w:tcPr>
            <w:tcW w:type="dxa" w:w="3139"/>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reer_index; reer_deviation_pct; current_account_pct_gdp; non_oil_export_growth</w:t>
            </w:r>
          </w:p>
        </w:tc>
      </w:tr>
      <w:tr>
        <w:tc>
          <w:tcPr>
            <w:tcW w:type="dxa" w:w="1656"/>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Human capital</w:t>
            </w:r>
          </w:p>
        </w:tc>
        <w:tc>
          <w:tcPr>
            <w:tcW w:type="dxa" w:w="2376"/>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human-capital/education-and-employment.json</w:t>
            </w:r>
          </w:p>
        </w:tc>
        <w:tc>
          <w:tcPr>
            <w:tcW w:type="dxa" w:w="1512"/>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dated_multi_series</w:t>
            </w:r>
          </w:p>
        </w:tc>
        <w:tc>
          <w:tcPr>
            <w:tcW w:type="dxa" w:w="1181"/>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Annual</w:t>
            </w:r>
          </w:p>
        </w:tc>
        <w:tc>
          <w:tcPr>
            <w:tcW w:type="dxa" w:w="3139"/>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tertiary_ger; graduate_unemployment; employment_quality</w:t>
            </w:r>
          </w:p>
        </w:tc>
      </w:tr>
      <w:tr>
        <w:tc>
          <w:tcPr>
            <w:tcW w:type="dxa" w:w="165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Capital resilience</w:t>
            </w:r>
          </w:p>
        </w:tc>
        <w:tc>
          <w:tcPr>
            <w:tcW w:type="dxa" w:w="237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capital-resilience/institutional-flows.json</w:t>
            </w:r>
          </w:p>
        </w:tc>
        <w:tc>
          <w:tcPr>
            <w:tcW w:type="dxa" w:w="1512"/>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dated_multi_series</w:t>
            </w:r>
          </w:p>
        </w:tc>
        <w:tc>
          <w:tcPr>
            <w:tcW w:type="dxa" w:w="1181"/>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Monthly</w:t>
            </w:r>
          </w:p>
        </w:tc>
        <w:tc>
          <w:tcPr>
            <w:tcW w:type="dxa" w:w="3139"/>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dii_net_flow; fpi_net_flow; rolling_12m; offset_ratio</w:t>
            </w:r>
          </w:p>
        </w:tc>
      </w:tr>
      <w:tr>
        <w:tc>
          <w:tcPr>
            <w:tcW w:type="dxa" w:w="1656"/>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Market outcomes</w:t>
            </w:r>
          </w:p>
        </w:tc>
        <w:tc>
          <w:tcPr>
            <w:tcW w:type="dxa" w:w="2376"/>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equities/market-performance.json</w:t>
            </w:r>
          </w:p>
        </w:tc>
        <w:tc>
          <w:tcPr>
            <w:tcW w:type="dxa" w:w="1512"/>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market_performance</w:t>
            </w:r>
          </w:p>
        </w:tc>
        <w:tc>
          <w:tcPr>
            <w:tcW w:type="dxa" w:w="1181"/>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Daily / weekly</w:t>
            </w:r>
          </w:p>
        </w:tc>
        <w:tc>
          <w:tcPr>
            <w:tcW w:type="dxa" w:w="3139"/>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Nifty price, normalised value, returns, drawdown, volatility and summary statistics</w:t>
            </w:r>
          </w:p>
        </w:tc>
      </w:tr>
      <w:tr>
        <w:tc>
          <w:tcPr>
            <w:tcW w:type="dxa" w:w="165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Shock studies</w:t>
            </w:r>
          </w:p>
        </w:tc>
        <w:tc>
          <w:tcPr>
            <w:tcW w:type="dxa" w:w="2376"/>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capital-resilience/global-shock-events.json</w:t>
            </w:r>
          </w:p>
        </w:tc>
        <w:tc>
          <w:tcPr>
            <w:tcW w:type="dxa" w:w="1512"/>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New event-study schema</w:t>
            </w:r>
          </w:p>
        </w:tc>
        <w:tc>
          <w:tcPr>
            <w:tcW w:type="dxa" w:w="1181"/>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Event windows</w:t>
            </w:r>
          </w:p>
        </w:tc>
        <w:tc>
          <w:tcPr>
            <w:tcW w:type="dxa" w:w="3139"/>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5"/>
              </w:rPr>
              <w:t>flows; offset ratio; drawdown; currency move; recovery duration</w:t>
            </w:r>
          </w:p>
        </w:tc>
      </w:tr>
    </w:tbl>
    <w:p>
      <w:pPr>
        <w:spacing w:after="20"/>
      </w:pPr>
    </w:p>
    <w:tbl>
      <w:tblPr>
        <w:tblW w:type="auto" w:w="0"/>
        <w:jc w:val="center"/>
        <w:tblLayout w:type="fixed"/>
        <w:tblLook w:firstColumn="1" w:firstRow="1" w:lastColumn="0" w:lastRow="0" w:noHBand="0" w:noVBand="1" w:val="04A0"/>
      </w:tblPr>
      <w:tblGrid>
        <w:gridCol w:w="173"/>
        <w:gridCol w:w="9432"/>
      </w:tblGrid>
      <w:tr>
        <w:tc>
          <w:tcPr>
            <w:tcW w:type="dxa" w:w="4917"/>
            <w:shd w:fill="D97706"/>
            <w:tcMar>
              <w:top w:w="40" w:type="dxa"/>
              <w:start w:w="20" w:type="dxa"/>
              <w:bottom w:w="40" w:type="dxa"/>
              <w:end w:w="20" w:type="dxa"/>
            </w:tcMar>
            <w:tcBorders>
              <w:top w:val="nil"/>
              <w:left w:val="nil"/>
              <w:bottom w:val="nil"/>
              <w:right w:val="nil"/>
            </w:tcBorders>
          </w:tcPr>
          <w:p/>
        </w:tc>
        <w:tc>
          <w:tcPr>
            <w:tcW w:type="dxa" w:w="4917"/>
            <w:shd w:fill="FFF4E5"/>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D97706"/>
                <w:sz w:val="21"/>
              </w:rPr>
              <w:t>Schema rule</w:t>
            </w:r>
          </w:p>
          <w:p>
            <w:pPr>
              <w:spacing w:after="0"/>
            </w:pPr>
            <w:r>
              <w:rPr>
                <w:rFonts w:ascii="Liberation Sans" w:hAnsi="Liberation Sans"/>
                <w:color w:val="1F2937"/>
                <w:sz w:val="20"/>
              </w:rPr>
              <w:t>Use annual_country_series only when the frontend adds an explicit India-versus-peer annual comparison. Do not force annual India-only series into that country-comparison structure when dated_multi_series is more natural.</w:t>
            </w:r>
          </w:p>
        </w:tc>
      </w:tr>
    </w:tbl>
    <w:p>
      <w:pPr>
        <w:spacing w:after="20"/>
      </w:pPr>
    </w:p>
    <w:p>
      <w:pPr>
        <w:pStyle w:val="Heading2"/>
        <w:keepNext/>
        <w:spacing w:before="140" w:after="100"/>
      </w:pPr>
      <w:r>
        <w:rPr>
          <w:rFonts w:ascii="Liberation Sans" w:hAnsi="Liberation Sans"/>
          <w:b/>
          <w:color w:val="0F766E"/>
          <w:sz w:val="30"/>
        </w:rPr>
        <w:t>4.1 Event-study contract</w:t>
      </w:r>
    </w:p>
    <w:p>
      <w:pPr>
        <w:spacing w:before="0" w:after="120" w:line="259" w:lineRule="auto"/>
      </w:pPr>
      <w:r>
        <w:rPr>
          <w:rFonts w:ascii="Liberation Sans" w:hAnsi="Liberation Sans"/>
          <w:i w:val="0"/>
          <w:color w:val="1F2937"/>
          <w:sz w:val="21"/>
        </w:rPr>
        <w:t>The continuous DII/FPI flow file fits the existing dated-series schema. Event summaries do not: each event contains a named window and several accumulated outcomes. A small dedicated contract is justified.</w:t>
      </w:r>
    </w:p>
    <w:p>
      <w:r>
        <w:br w:type="page"/>
      </w:r>
    </w:p>
    <w:tbl>
      <w:tblPr>
        <w:tblW w:type="auto" w:w="0"/>
        <w:jc w:val="center"/>
        <w:tblLook w:firstColumn="1" w:firstRow="1" w:lastColumn="0" w:lastRow="0" w:noHBand="0" w:noVBand="1" w:val="04A0"/>
      </w:tblPr>
      <w:tblGrid>
        <w:gridCol w:w="9835"/>
      </w:tblGrid>
      <w:tr>
        <w:tc>
          <w:tcPr>
            <w:tcW w:type="dxa" w:w="9835"/>
            <w:shd w:fill="F6F8FA"/>
            <w:tcMar>
              <w:top w:w="110" w:type="dxa"/>
              <w:start w:w="120" w:type="dxa"/>
              <w:bottom w:w="110" w:type="dxa"/>
              <w:end w:w="120" w:type="dxa"/>
            </w:tcMar>
            <w:tcBorders>
              <w:top w:val="single" w:sz="4" w:color="CBD5E1"/>
              <w:left w:val="single" w:sz="4" w:color="CBD5E1"/>
              <w:bottom w:val="single" w:sz="4" w:color="CBD5E1"/>
              <w:right w:val="single" w:sz="4" w:color="CBD5E1"/>
            </w:tcBorders>
          </w:tcPr>
          <w:p>
            <w:pPr>
              <w:spacing w:after="0"/>
            </w:pPr>
            <w:r>
              <w:rPr>
                <w:rFonts w:ascii="Liberation Mono" w:hAnsi="Liberation Mono"/>
                <w:color w:val="1F2937"/>
                <w:sz w:val="16"/>
              </w:rPr>
              <w:t>{</w:t>
            </w:r>
            <w:r>
              <w:br/>
            </w:r>
            <w:r>
              <w:rPr>
                <w:rFonts w:ascii="Liberation Mono" w:hAnsi="Liberation Mono"/>
                <w:color w:val="1F2937"/>
                <w:sz w:val="16"/>
              </w:rPr>
              <w:t xml:space="preserve">  "metadata": {</w:t>
            </w:r>
            <w:r>
              <w:br/>
            </w:r>
            <w:r>
              <w:rPr>
                <w:rFonts w:ascii="Liberation Mono" w:hAnsi="Liberation Mono"/>
                <w:color w:val="1F2937"/>
                <w:sz w:val="16"/>
              </w:rPr>
              <w:t xml:space="preserve">    "generated_at": "2026-07-21T10:00:00Z",</w:t>
            </w:r>
            <w:r>
              <w:br/>
            </w:r>
            <w:r>
              <w:rPr>
                <w:rFonts w:ascii="Liberation Mono" w:hAnsi="Liberation Mono"/>
                <w:color w:val="1F2937"/>
                <w:sz w:val="16"/>
              </w:rPr>
              <w:t xml:space="preserve">    "methodology": "Predefined event windows"</w:t>
            </w:r>
            <w:r>
              <w:br/>
            </w:r>
            <w:r>
              <w:rPr>
                <w:rFonts w:ascii="Liberation Mono" w:hAnsi="Liberation Mono"/>
                <w:color w:val="1F2937"/>
                <w:sz w:val="16"/>
              </w:rPr>
              <w:t xml:space="preserve">  },</w:t>
            </w:r>
            <w:r>
              <w:br/>
            </w:r>
            <w:r>
              <w:rPr>
                <w:rFonts w:ascii="Liberation Mono" w:hAnsi="Liberation Mono"/>
                <w:color w:val="1F2937"/>
                <w:sz w:val="16"/>
              </w:rPr>
              <w:t xml:space="preserve">  "events": [</w:t>
            </w:r>
            <w:r>
              <w:br/>
            </w:r>
            <w:r>
              <w:rPr>
                <w:rFonts w:ascii="Liberation Mono" w:hAnsi="Liberation Mono"/>
                <w:color w:val="1F2937"/>
                <w:sz w:val="16"/>
              </w:rPr>
              <w:t xml:space="preserve">    {</w:t>
            </w:r>
            <w:r>
              <w:br/>
            </w:r>
            <w:r>
              <w:rPr>
                <w:rFonts w:ascii="Liberation Mono" w:hAnsi="Liberation Mono"/>
                <w:color w:val="1F2937"/>
                <w:sz w:val="16"/>
              </w:rPr>
              <w:t xml:space="preserve">      "event_id": "global-risk-off-example",</w:t>
            </w:r>
            <w:r>
              <w:br/>
            </w:r>
            <w:r>
              <w:rPr>
                <w:rFonts w:ascii="Liberation Mono" w:hAnsi="Liberation Mono"/>
                <w:color w:val="1F2937"/>
                <w:sz w:val="16"/>
              </w:rPr>
              <w:t xml:space="preserve">      "label": "Global risk-off event",</w:t>
            </w:r>
            <w:r>
              <w:br/>
            </w:r>
            <w:r>
              <w:rPr>
                <w:rFonts w:ascii="Liberation Mono" w:hAnsi="Liberation Mono"/>
                <w:color w:val="1F2937"/>
                <w:sz w:val="16"/>
              </w:rPr>
              <w:t xml:space="preserve">      "start_date": "2022-01-01",</w:t>
            </w:r>
            <w:r>
              <w:br/>
            </w:r>
            <w:r>
              <w:rPr>
                <w:rFonts w:ascii="Liberation Mono" w:hAnsi="Liberation Mono"/>
                <w:color w:val="1F2937"/>
                <w:sz w:val="16"/>
              </w:rPr>
              <w:t xml:space="preserve">      "end_date": "2022-06-30",</w:t>
            </w:r>
            <w:r>
              <w:br/>
            </w:r>
            <w:r>
              <w:rPr>
                <w:rFonts w:ascii="Liberation Mono" w:hAnsi="Liberation Mono"/>
                <w:color w:val="1F2937"/>
                <w:sz w:val="16"/>
              </w:rPr>
              <w:t xml:space="preserve">      "fpi_net_flow": -100000,</w:t>
            </w:r>
            <w:r>
              <w:br/>
            </w:r>
            <w:r>
              <w:rPr>
                <w:rFonts w:ascii="Liberation Mono" w:hAnsi="Liberation Mono"/>
                <w:color w:val="1F2937"/>
                <w:sz w:val="16"/>
              </w:rPr>
              <w:t xml:space="preserve">      "dii_net_flow": 85000,</w:t>
            </w:r>
            <w:r>
              <w:br/>
            </w:r>
            <w:r>
              <w:rPr>
                <w:rFonts w:ascii="Liberation Mono" w:hAnsi="Liberation Mono"/>
                <w:color w:val="1F2937"/>
                <w:sz w:val="16"/>
              </w:rPr>
              <w:t xml:space="preserve">      "dii_offset_ratio": 0.85,</w:t>
            </w:r>
            <w:r>
              <w:br/>
            </w:r>
            <w:r>
              <w:rPr>
                <w:rFonts w:ascii="Liberation Mono" w:hAnsi="Liberation Mono"/>
                <w:color w:val="1F2937"/>
                <w:sz w:val="16"/>
              </w:rPr>
              <w:t xml:space="preserve">      "nifty_max_drawdown": -0.14,</w:t>
            </w:r>
            <w:r>
              <w:br/>
            </w:r>
            <w:r>
              <w:rPr>
                <w:rFonts w:ascii="Liberation Mono" w:hAnsi="Liberation Mono"/>
                <w:color w:val="1F2937"/>
                <w:sz w:val="16"/>
              </w:rPr>
              <w:t xml:space="preserve">      "recovery_days": 180</w:t>
            </w:r>
            <w:r>
              <w:br/>
            </w:r>
            <w:r>
              <w:rPr>
                <w:rFonts w:ascii="Liberation Mono" w:hAnsi="Liberation Mono"/>
                <w:color w:val="1F2937"/>
                <w:sz w:val="16"/>
              </w:rPr>
              <w:t xml:space="preserve">    }</w:t>
            </w:r>
            <w:r>
              <w:br/>
            </w:r>
            <w:r>
              <w:rPr>
                <w:rFonts w:ascii="Liberation Mono" w:hAnsi="Liberation Mono"/>
                <w:color w:val="1F2937"/>
                <w:sz w:val="16"/>
              </w:rPr>
              <w:t xml:space="preserve">  ]</w:t>
            </w:r>
            <w:r>
              <w:br/>
            </w:r>
            <w:r>
              <w:rPr>
                <w:rFonts w:ascii="Liberation Mono" w:hAnsi="Liberation Mono"/>
                <w:color w:val="1F2937"/>
                <w:sz w:val="16"/>
              </w:rPr>
              <w:t>}</w:t>
            </w:r>
          </w:p>
        </w:tc>
      </w:tr>
    </w:tbl>
    <w:p>
      <w:pPr>
        <w:spacing w:after="20"/>
      </w:pPr>
    </w:p>
    <w:p>
      <w:pPr>
        <w:pStyle w:val="Heading1"/>
        <w:keepNext/>
        <w:spacing w:before="200" w:after="100"/>
      </w:pPr>
      <w:r>
        <w:rPr>
          <w:rFonts w:ascii="Liberation Sans" w:hAnsi="Liberation Sans"/>
          <w:b/>
          <w:color w:val="17324D"/>
          <w:sz w:val="40"/>
        </w:rPr>
        <w:t>5. Pipeline architecture</w:t>
      </w:r>
    </w:p>
    <w:p>
      <w:pPr>
        <w:spacing w:before="0" w:after="120" w:line="259" w:lineRule="auto"/>
      </w:pPr>
      <w:r>
        <w:rPr>
          <w:rFonts w:ascii="Liberation Sans" w:hAnsi="Liberation Sans"/>
          <w:i w:val="0"/>
          <w:color w:val="1F2937"/>
          <w:sz w:val="21"/>
        </w:rPr>
        <w:t>The pipeline remains source-specific at extraction and shared after normalisation. This is the correct compromise for APIs, spreadsheets and reports that have materially different request parameters, dates, revisions and failure modes.</w:t>
      </w:r>
    </w:p>
    <w:p>
      <w:pPr>
        <w:spacing w:before="80" w:after="60"/>
        <w:jc w:val="center"/>
      </w:pPr>
      <w:r>
        <w:drawing>
          <wp:inline xmlns:a="http://schemas.openxmlformats.org/drawingml/2006/main" xmlns:pic="http://schemas.openxmlformats.org/drawingml/2006/picture">
            <wp:extent cx="6080760" cy="591673"/>
            <wp:docPr id="2" name="Picture 2" descr="Image: image2.png"/>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6080760" cy="591673"/>
                    </a:xfrm>
                    <a:prstGeom prst="rect"/>
                  </pic:spPr>
                </pic:pic>
              </a:graphicData>
            </a:graphic>
          </wp:inline>
        </w:drawing>
      </w:r>
    </w:p>
    <w:p>
      <w:pPr>
        <w:spacing w:after="160"/>
        <w:jc w:val="center"/>
      </w:pPr>
      <w:r>
        <w:rPr>
          <w:rFonts w:ascii="Liberation Sans" w:hAnsi="Liberation Sans"/>
          <w:i/>
          <w:color w:val="475569"/>
          <w:sz w:val="17"/>
        </w:rPr>
        <w:t>Figure 2. Source-specific extraction feeds a shared modelling, transformation, validation and promotion pipeline.</w:t>
      </w:r>
    </w:p>
    <w:p>
      <w:pPr>
        <w:pStyle w:val="Heading2"/>
        <w:keepNext/>
        <w:spacing w:before="140" w:after="100"/>
      </w:pPr>
      <w:r>
        <w:rPr>
          <w:rFonts w:ascii="Liberation Sans" w:hAnsi="Liberation Sans"/>
          <w:b/>
          <w:color w:val="0F766E"/>
          <w:sz w:val="30"/>
        </w:rPr>
        <w:t>5.1 Recommended script structure</w:t>
      </w:r>
    </w:p>
    <w:tbl>
      <w:tblPr>
        <w:tblW w:type="auto" w:w="0"/>
        <w:jc w:val="center"/>
        <w:tblLook w:firstColumn="1" w:firstRow="1" w:lastColumn="0" w:lastRow="0" w:noHBand="0" w:noVBand="1" w:val="04A0"/>
      </w:tblPr>
      <w:tblGrid>
        <w:gridCol w:w="9835"/>
      </w:tblGrid>
      <w:tr>
        <w:tc>
          <w:tcPr>
            <w:tcW w:type="dxa" w:w="9835"/>
            <w:shd w:fill="F6F8FA"/>
            <w:tcMar>
              <w:top w:w="110" w:type="dxa"/>
              <w:start w:w="120" w:type="dxa"/>
              <w:bottom w:w="110" w:type="dxa"/>
              <w:end w:w="120" w:type="dxa"/>
            </w:tcMar>
            <w:tcBorders>
              <w:top w:val="single" w:sz="4" w:color="CBD5E1"/>
              <w:left w:val="single" w:sz="4" w:color="CBD5E1"/>
              <w:bottom w:val="single" w:sz="4" w:color="CBD5E1"/>
              <w:right w:val="single" w:sz="4" w:color="CBD5E1"/>
            </w:tcBorders>
          </w:tcPr>
          <w:p>
            <w:pPr>
              <w:spacing w:after="0"/>
            </w:pPr>
            <w:r>
              <w:rPr>
                <w:rFonts w:ascii="Liberation Mono" w:hAnsi="Liberation Mono"/>
                <w:color w:val="1F2937"/>
                <w:sz w:val="16"/>
              </w:rPr>
              <w:t>scripts/</w:t>
            </w:r>
            <w:r>
              <w:br/>
            </w:r>
            <w:r>
              <w:rPr>
                <w:rFonts w:ascii="Liberation Mono" w:hAnsi="Liberation Mono"/>
                <w:color w:val="1F2937"/>
                <w:sz w:val="16"/>
              </w:rPr>
              <w:t xml:space="preserve">  config/</w:t>
            </w:r>
            <w:r>
              <w:br/>
            </w:r>
            <w:r>
              <w:rPr>
                <w:rFonts w:ascii="Liberation Mono" w:hAnsi="Liberation Mono"/>
                <w:color w:val="1F2937"/>
                <w:sz w:val="16"/>
              </w:rPr>
              <w:t xml:space="preserve">    focused_indicators.py</w:t>
            </w:r>
            <w:r>
              <w:br/>
            </w:r>
            <w:r>
              <w:rPr>
                <w:rFonts w:ascii="Liberation Mono" w:hAnsi="Liberation Mono"/>
                <w:color w:val="1F2937"/>
                <w:sz w:val="16"/>
              </w:rPr>
              <w:t xml:space="preserve">    global_shock_events.py</w:t>
            </w:r>
            <w:r>
              <w:br/>
            </w:r>
            <w:r>
              <w:rPr>
                <w:rFonts w:ascii="Liberation Mono" w:hAnsi="Liberation Mono"/>
                <w:color w:val="1F2937"/>
                <w:sz w:val="16"/>
              </w:rPr>
            </w:r>
            <w:r>
              <w:br/>
            </w:r>
            <w:r>
              <w:rPr>
                <w:rFonts w:ascii="Liberation Mono" w:hAnsi="Liberation Mono"/>
                <w:color w:val="1F2937"/>
                <w:sz w:val="16"/>
              </w:rPr>
              <w:t xml:space="preserve">  extractors/</w:t>
            </w:r>
            <w:r>
              <w:br/>
            </w:r>
            <w:r>
              <w:rPr>
                <w:rFonts w:ascii="Liberation Mono" w:hAnsi="Liberation Mono"/>
                <w:color w:val="1F2937"/>
                <w:sz w:val="16"/>
              </w:rPr>
              <w:t xml:space="preserve">    npci.py</w:t>
            </w:r>
            <w:r>
              <w:br/>
            </w:r>
            <w:r>
              <w:rPr>
                <w:rFonts w:ascii="Liberation Mono" w:hAnsi="Liberation Mono"/>
                <w:color w:val="1F2937"/>
                <w:sz w:val="16"/>
              </w:rPr>
              <w:t xml:space="preserve">    gst.py</w:t>
            </w:r>
            <w:r>
              <w:br/>
            </w:r>
            <w:r>
              <w:rPr>
                <w:rFonts w:ascii="Liberation Mono" w:hAnsi="Liberation Mono"/>
                <w:color w:val="1F2937"/>
                <w:sz w:val="16"/>
              </w:rPr>
              <w:t xml:space="preserve">    india_budget.py</w:t>
            </w:r>
            <w:r>
              <w:br/>
            </w:r>
            <w:r>
              <w:rPr>
                <w:rFonts w:ascii="Liberation Mono" w:hAnsi="Liberation Mono"/>
                <w:color w:val="1F2937"/>
                <w:sz w:val="16"/>
              </w:rPr>
              <w:t xml:space="preserve">    national_accounts.py</w:t>
            </w:r>
            <w:r>
              <w:br/>
            </w:r>
            <w:r>
              <w:rPr>
                <w:rFonts w:ascii="Liberation Mono" w:hAnsi="Liberation Mono"/>
                <w:color w:val="1F2937"/>
                <w:sz w:val="16"/>
              </w:rPr>
              <w:t xml:space="preserve">    rbi_dbie.py</w:t>
            </w:r>
            <w:r>
              <w:br/>
            </w:r>
            <w:r>
              <w:rPr>
                <w:rFonts w:ascii="Liberation Mono" w:hAnsi="Liberation Mono"/>
                <w:color w:val="1F2937"/>
                <w:sz w:val="16"/>
              </w:rPr>
              <w:t xml:space="preserve">    aishe.py</w:t>
            </w:r>
            <w:r>
              <w:br/>
            </w:r>
            <w:r>
              <w:rPr>
                <w:rFonts w:ascii="Liberation Mono" w:hAnsi="Liberation Mono"/>
                <w:color w:val="1F2937"/>
                <w:sz w:val="16"/>
              </w:rPr>
              <w:t xml:space="preserve">    plfs.py</w:t>
            </w:r>
            <w:r>
              <w:br/>
            </w:r>
            <w:r>
              <w:rPr>
                <w:rFonts w:ascii="Liberation Mono" w:hAnsi="Liberation Mono"/>
                <w:color w:val="1F2937"/>
                <w:sz w:val="16"/>
              </w:rPr>
              <w:t xml:space="preserve">    nse_flows.py</w:t>
            </w:r>
            <w:r>
              <w:br/>
            </w:r>
            <w:r>
              <w:rPr>
                <w:rFonts w:ascii="Liberation Mono" w:hAnsi="Liberation Mono"/>
                <w:color w:val="1F2937"/>
                <w:sz w:val="16"/>
              </w:rPr>
              <w:t xml:space="preserve">    nsdl.py</w:t>
            </w:r>
            <w:r>
              <w:br/>
            </w:r>
            <w:r>
              <w:rPr>
                <w:rFonts w:ascii="Liberation Mono" w:hAnsi="Liberation Mono"/>
                <w:color w:val="1F2937"/>
                <w:sz w:val="16"/>
              </w:rPr>
              <w:t xml:space="preserve">    yfinance.py</w:t>
            </w:r>
            <w:r>
              <w:br/>
            </w:r>
            <w:r>
              <w:rPr>
                <w:rFonts w:ascii="Liberation Mono" w:hAnsi="Liberation Mono"/>
                <w:color w:val="1F2937"/>
                <w:sz w:val="16"/>
              </w:rPr>
            </w:r>
            <w:r>
              <w:br/>
            </w:r>
            <w:r>
              <w:rPr>
                <w:rFonts w:ascii="Liberation Mono" w:hAnsi="Liberation Mono"/>
                <w:color w:val="1F2937"/>
                <w:sz w:val="16"/>
              </w:rPr>
              <w:t xml:space="preserve">  transforms/</w:t>
            </w:r>
            <w:r>
              <w:br/>
            </w:r>
            <w:r>
              <w:rPr>
                <w:rFonts w:ascii="Liberation Mono" w:hAnsi="Liberation Mono"/>
                <w:color w:val="1F2937"/>
                <w:sz w:val="16"/>
              </w:rPr>
              <w:t xml:space="preserve">    digital_integration.py</w:t>
            </w:r>
            <w:r>
              <w:br/>
            </w:r>
            <w:r>
              <w:rPr>
                <w:rFonts w:ascii="Liberation Mono" w:hAnsi="Liberation Mono"/>
                <w:color w:val="1F2937"/>
                <w:sz w:val="16"/>
              </w:rPr>
              <w:t xml:space="preserve">    government_investment.py</w:t>
            </w:r>
            <w:r>
              <w:br/>
            </w:r>
            <w:r>
              <w:rPr>
                <w:rFonts w:ascii="Liberation Mono" w:hAnsi="Liberation Mono"/>
                <w:color w:val="1F2937"/>
                <w:sz w:val="16"/>
              </w:rPr>
              <w:t xml:space="preserve">    private_investment.py</w:t>
            </w:r>
            <w:r>
              <w:br/>
            </w:r>
            <w:r>
              <w:rPr>
                <w:rFonts w:ascii="Liberation Mono" w:hAnsi="Liberation Mono"/>
                <w:color w:val="1F2937"/>
                <w:sz w:val="16"/>
              </w:rPr>
              <w:t xml:space="preserve">    fiscal_capacity.py</w:t>
            </w:r>
            <w:r>
              <w:br/>
            </w:r>
            <w:r>
              <w:rPr>
                <w:rFonts w:ascii="Liberation Mono" w:hAnsi="Liberation Mono"/>
                <w:color w:val="1F2937"/>
                <w:sz w:val="16"/>
              </w:rPr>
              <w:t xml:space="preserve">    external_competitiveness.py</w:t>
            </w:r>
            <w:r>
              <w:br/>
            </w:r>
            <w:r>
              <w:rPr>
                <w:rFonts w:ascii="Liberation Mono" w:hAnsi="Liberation Mono"/>
                <w:color w:val="1F2937"/>
                <w:sz w:val="16"/>
              </w:rPr>
              <w:t xml:space="preserve">    human_capital.py</w:t>
            </w:r>
            <w:r>
              <w:br/>
            </w:r>
            <w:r>
              <w:rPr>
                <w:rFonts w:ascii="Liberation Mono" w:hAnsi="Liberation Mono"/>
                <w:color w:val="1F2937"/>
                <w:sz w:val="16"/>
              </w:rPr>
              <w:t xml:space="preserve">    institutional_flows.py</w:t>
            </w:r>
            <w:r>
              <w:br/>
            </w:r>
            <w:r>
              <w:rPr>
                <w:rFonts w:ascii="Liberation Mono" w:hAnsi="Liberation Mono"/>
                <w:color w:val="1F2937"/>
                <w:sz w:val="16"/>
              </w:rPr>
              <w:t xml:space="preserve">    event_studies.py</w:t>
            </w:r>
            <w:r>
              <w:br/>
            </w:r>
            <w:r>
              <w:rPr>
                <w:rFonts w:ascii="Liberation Mono" w:hAnsi="Liberation Mono"/>
                <w:color w:val="1F2937"/>
                <w:sz w:val="16"/>
              </w:rPr>
            </w:r>
            <w:r>
              <w:br/>
            </w:r>
            <w:r>
              <w:rPr>
                <w:rFonts w:ascii="Liberation Mono" w:hAnsi="Liberation Mono"/>
                <w:color w:val="1F2937"/>
                <w:sz w:val="16"/>
              </w:rPr>
              <w:t xml:space="preserve">  builders/</w:t>
            </w:r>
            <w:r>
              <w:br/>
            </w:r>
            <w:r>
              <w:rPr>
                <w:rFonts w:ascii="Liberation Mono" w:hAnsi="Liberation Mono"/>
                <w:color w:val="1F2937"/>
                <w:sz w:val="16"/>
              </w:rPr>
              <w:t xml:space="preserve">    annual_country_series.py</w:t>
            </w:r>
            <w:r>
              <w:br/>
            </w:r>
            <w:r>
              <w:rPr>
                <w:rFonts w:ascii="Liberation Mono" w:hAnsi="Liberation Mono"/>
                <w:color w:val="1F2937"/>
                <w:sz w:val="16"/>
              </w:rPr>
              <w:t xml:space="preserve">    dated_multi_series.py</w:t>
            </w:r>
            <w:r>
              <w:br/>
            </w:r>
            <w:r>
              <w:rPr>
                <w:rFonts w:ascii="Liberation Mono" w:hAnsi="Liberation Mono"/>
                <w:color w:val="1F2937"/>
                <w:sz w:val="16"/>
              </w:rPr>
              <w:t xml:space="preserve">    market_performance.py</w:t>
            </w:r>
            <w:r>
              <w:br/>
            </w:r>
            <w:r>
              <w:rPr>
                <w:rFonts w:ascii="Liberation Mono" w:hAnsi="Liberation Mono"/>
                <w:color w:val="1F2937"/>
                <w:sz w:val="16"/>
              </w:rPr>
              <w:t xml:space="preserve">    event_study.py</w:t>
            </w:r>
            <w:r>
              <w:br/>
            </w:r>
            <w:r>
              <w:rPr>
                <w:rFonts w:ascii="Liberation Mono" w:hAnsi="Liberation Mono"/>
                <w:color w:val="1F2937"/>
                <w:sz w:val="16"/>
              </w:rPr>
            </w:r>
            <w:r>
              <w:br/>
            </w:r>
            <w:r>
              <w:rPr>
                <w:rFonts w:ascii="Liberation Mono" w:hAnsi="Liberation Mono"/>
                <w:color w:val="1F2937"/>
                <w:sz w:val="16"/>
              </w:rPr>
              <w:t xml:space="preserve">  validators/</w:t>
            </w:r>
            <w:r>
              <w:br/>
            </w:r>
            <w:r>
              <w:rPr>
                <w:rFonts w:ascii="Liberation Mono" w:hAnsi="Liberation Mono"/>
                <w:color w:val="1F2937"/>
                <w:sz w:val="16"/>
              </w:rPr>
              <w:t xml:space="preserve">    quality.py</w:t>
            </w:r>
            <w:r>
              <w:br/>
            </w:r>
            <w:r>
              <w:rPr>
                <w:rFonts w:ascii="Liberation Mono" w:hAnsi="Liberation Mono"/>
                <w:color w:val="1F2937"/>
                <w:sz w:val="16"/>
              </w:rPr>
              <w:t xml:space="preserve">    schema.py</w:t>
            </w:r>
            <w:r>
              <w:br/>
            </w:r>
            <w:r>
              <w:rPr>
                <w:rFonts w:ascii="Liberation Mono" w:hAnsi="Liberation Mono"/>
                <w:color w:val="1F2937"/>
                <w:sz w:val="16"/>
              </w:rPr>
            </w:r>
            <w:r>
              <w:br/>
            </w:r>
            <w:r>
              <w:rPr>
                <w:rFonts w:ascii="Liberation Mono" w:hAnsi="Liberation Mono"/>
                <w:color w:val="1F2937"/>
                <w:sz w:val="16"/>
              </w:rPr>
              <w:t xml:space="preserve">  exporters/</w:t>
            </w:r>
            <w:r>
              <w:br/>
            </w:r>
            <w:r>
              <w:rPr>
                <w:rFonts w:ascii="Liberation Mono" w:hAnsi="Liberation Mono"/>
                <w:color w:val="1F2937"/>
                <w:sz w:val="16"/>
              </w:rPr>
              <w:t xml:space="preserve">    json_export.py</w:t>
            </w:r>
            <w:r>
              <w:br/>
            </w:r>
            <w:r>
              <w:rPr>
                <w:rFonts w:ascii="Liberation Mono" w:hAnsi="Liberation Mono"/>
                <w:color w:val="1F2937"/>
                <w:sz w:val="16"/>
              </w:rPr>
            </w:r>
            <w:r>
              <w:br/>
            </w:r>
            <w:r>
              <w:rPr>
                <w:rFonts w:ascii="Liberation Mono" w:hAnsi="Liberation Mono"/>
                <w:color w:val="1F2937"/>
                <w:sz w:val="16"/>
              </w:rPr>
              <w:t xml:space="preserve">  build_digital_integration.py</w:t>
            </w:r>
            <w:r>
              <w:br/>
            </w:r>
            <w:r>
              <w:rPr>
                <w:rFonts w:ascii="Liberation Mono" w:hAnsi="Liberation Mono"/>
                <w:color w:val="1F2937"/>
                <w:sz w:val="16"/>
              </w:rPr>
              <w:t xml:space="preserve">  build_government_investment.py</w:t>
            </w:r>
            <w:r>
              <w:br/>
            </w:r>
            <w:r>
              <w:rPr>
                <w:rFonts w:ascii="Liberation Mono" w:hAnsi="Liberation Mono"/>
                <w:color w:val="1F2937"/>
                <w:sz w:val="16"/>
              </w:rPr>
              <w:t xml:space="preserve">  build_private_investment.py</w:t>
            </w:r>
            <w:r>
              <w:br/>
            </w:r>
            <w:r>
              <w:rPr>
                <w:rFonts w:ascii="Liberation Mono" w:hAnsi="Liberation Mono"/>
                <w:color w:val="1F2937"/>
                <w:sz w:val="16"/>
              </w:rPr>
              <w:t xml:space="preserve">  build_fiscal_capacity.py</w:t>
            </w:r>
            <w:r>
              <w:br/>
            </w:r>
            <w:r>
              <w:rPr>
                <w:rFonts w:ascii="Liberation Mono" w:hAnsi="Liberation Mono"/>
                <w:color w:val="1F2937"/>
                <w:sz w:val="16"/>
              </w:rPr>
              <w:t xml:space="preserve">  build_external_competitiveness.py</w:t>
            </w:r>
            <w:r>
              <w:br/>
            </w:r>
            <w:r>
              <w:rPr>
                <w:rFonts w:ascii="Liberation Mono" w:hAnsi="Liberation Mono"/>
                <w:color w:val="1F2937"/>
                <w:sz w:val="16"/>
              </w:rPr>
              <w:t xml:space="preserve">  build_human_capital.py</w:t>
            </w:r>
            <w:r>
              <w:br/>
            </w:r>
            <w:r>
              <w:rPr>
                <w:rFonts w:ascii="Liberation Mono" w:hAnsi="Liberation Mono"/>
                <w:color w:val="1F2937"/>
                <w:sz w:val="16"/>
              </w:rPr>
              <w:t xml:space="preserve">  build_institutional_flows.py</w:t>
            </w:r>
            <w:r>
              <w:br/>
            </w:r>
            <w:r>
              <w:rPr>
                <w:rFonts w:ascii="Liberation Mono" w:hAnsi="Liberation Mono"/>
                <w:color w:val="1F2937"/>
                <w:sz w:val="16"/>
              </w:rPr>
              <w:t xml:space="preserve">  build_global_shock_events.py</w:t>
            </w:r>
            <w:r>
              <w:br/>
            </w:r>
            <w:r>
              <w:rPr>
                <w:rFonts w:ascii="Liberation Mono" w:hAnsi="Liberation Mono"/>
                <w:color w:val="1F2937"/>
                <w:sz w:val="16"/>
              </w:rPr>
              <w:t xml:space="preserve">  promote_processed_data.py</w:t>
            </w:r>
          </w:p>
        </w:tc>
      </w:tr>
    </w:tbl>
    <w:p>
      <w:pPr>
        <w:spacing w:after="20"/>
      </w:pPr>
    </w:p>
    <w:p>
      <w:pPr>
        <w:pStyle w:val="Heading2"/>
        <w:keepNext/>
        <w:spacing w:before="140" w:after="100"/>
      </w:pPr>
      <w:r>
        <w:rPr>
          <w:rFonts w:ascii="Liberation Sans" w:hAnsi="Liberation Sans"/>
          <w:b/>
          <w:color w:val="0F766E"/>
          <w:sz w:val="30"/>
        </w:rPr>
        <w:t>5.2 Responsibility boundaries</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088"/>
            <w:shd w:fill="17324D"/>
            <w:vAlign w:val="center"/>
            <w:tcMar>
              <w:top w:w="80" w:type="dxa"/>
              <w:start w:w="90" w:type="dxa"/>
              <w:bottom w:w="80" w:type="dxa"/>
              <w:end w:w="90" w:type="dxa"/>
            </w:tcMar>
          </w:tcPr>
          <w:p>
            <w:pPr>
              <w:jc w:val="left"/>
            </w:pPr>
            <w:r>
              <w:rPr>
                <w:rFonts w:ascii="Liberation Sans" w:hAnsi="Liberation Sans"/>
                <w:b/>
                <w:color w:val="FFFFFF"/>
                <w:sz w:val="17"/>
              </w:rPr>
              <w:t>Layer</w:t>
            </w:r>
          </w:p>
        </w:tc>
        <w:tc>
          <w:tcPr>
            <w:tcW w:type="dxa" w:w="7560"/>
            <w:shd w:fill="17324D"/>
            <w:vAlign w:val="center"/>
            <w:tcMar>
              <w:top w:w="80" w:type="dxa"/>
              <w:start w:w="90" w:type="dxa"/>
              <w:bottom w:w="80" w:type="dxa"/>
              <w:end w:w="90" w:type="dxa"/>
            </w:tcMar>
          </w:tcPr>
          <w:p>
            <w:pPr>
              <w:jc w:val="left"/>
            </w:pPr>
            <w:r>
              <w:rPr>
                <w:rFonts w:ascii="Liberation Sans" w:hAnsi="Liberation Sans"/>
                <w:b/>
                <w:color w:val="FFFFFF"/>
                <w:sz w:val="17"/>
              </w:rPr>
              <w:t>Responsibility</w:t>
            </w:r>
          </w:p>
        </w:tc>
      </w:tr>
      <w:tr>
        <w:tc>
          <w:tcPr>
            <w:tcW w:type="dxa" w:w="208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Configuration</w:t>
            </w:r>
          </w:p>
        </w:tc>
        <w:tc>
          <w:tcPr>
            <w:tcW w:type="dxa" w:w="756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Declares exact definitions, units, source codes, date windows, output names and transformation options.</w:t>
            </w:r>
          </w:p>
        </w:tc>
      </w:tr>
      <w:tr>
        <w:tc>
          <w:tcPr>
            <w:tcW w:type="dxa" w:w="208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Extractors</w:t>
            </w:r>
          </w:p>
        </w:tc>
        <w:tc>
          <w:tcPr>
            <w:tcW w:type="dxa" w:w="756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Handle source quirks only: request construction, file formats, revisions, missing values and date parsing.</w:t>
            </w:r>
          </w:p>
        </w:tc>
      </w:tr>
      <w:tr>
        <w:tc>
          <w:tcPr>
            <w:tcW w:type="dxa" w:w="208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Canonical models</w:t>
            </w:r>
          </w:p>
        </w:tc>
        <w:tc>
          <w:tcPr>
            <w:tcW w:type="dxa" w:w="756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Represent observations consistently as entity, period, value, unit, frequency, source and status.</w:t>
            </w:r>
          </w:p>
        </w:tc>
      </w:tr>
      <w:tr>
        <w:tc>
          <w:tcPr>
            <w:tcW w:type="dxa" w:w="208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Transforms</w:t>
            </w:r>
          </w:p>
        </w:tc>
        <w:tc>
          <w:tcPr>
            <w:tcW w:type="dxa" w:w="756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Implement economic calculations such as growth, rolling averages, ratios, normalisation and event windows.</w:t>
            </w:r>
          </w:p>
        </w:tc>
      </w:tr>
      <w:tr>
        <w:tc>
          <w:tcPr>
            <w:tcW w:type="dxa" w:w="208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Builders</w:t>
            </w:r>
          </w:p>
        </w:tc>
        <w:tc>
          <w:tcPr>
            <w:tcW w:type="dxa" w:w="756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Create dictionaries that exactly match the chosen JSON contract.</w:t>
            </w:r>
          </w:p>
        </w:tc>
      </w:tr>
      <w:tr>
        <w:tc>
          <w:tcPr>
            <w:tcW w:type="dxa" w:w="208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Quality validators</w:t>
            </w:r>
          </w:p>
        </w:tc>
        <w:tc>
          <w:tcPr>
            <w:tcW w:type="dxa" w:w="756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Check analytical integrity: coverage, duplicates, ordering, bounds, sign conventions and sufficient observations.</w:t>
            </w:r>
          </w:p>
        </w:tc>
      </w:tr>
      <w:tr>
        <w:tc>
          <w:tcPr>
            <w:tcW w:type="dxa" w:w="208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Schema validator</w:t>
            </w:r>
          </w:p>
        </w:tc>
        <w:tc>
          <w:tcPr>
            <w:tcW w:type="dxa" w:w="756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Checks the structural JSON contract.</w:t>
            </w:r>
          </w:p>
        </w:tc>
      </w:tr>
      <w:tr>
        <w:tc>
          <w:tcPr>
            <w:tcW w:type="dxa" w:w="208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Exporter</w:t>
            </w:r>
          </w:p>
        </w:tc>
        <w:tc>
          <w:tcPr>
            <w:tcW w:type="dxa" w:w="756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Writes a temporary file and atomically replaces the processed output after validation.</w:t>
            </w:r>
          </w:p>
        </w:tc>
      </w:tr>
      <w:tr>
        <w:tc>
          <w:tcPr>
            <w:tcW w:type="dxa" w:w="208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Promotion</w:t>
            </w:r>
          </w:p>
        </w:tc>
        <w:tc>
          <w:tcPr>
            <w:tcW w:type="dxa" w:w="756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Copies only valid processed files into the React public/data directory.</w:t>
            </w:r>
          </w:p>
        </w:tc>
      </w:tr>
    </w:tbl>
    <w:p>
      <w:pPr>
        <w:spacing w:after="20"/>
      </w:pPr>
    </w:p>
    <w:p>
      <w:pPr>
        <w:pStyle w:val="Heading1"/>
        <w:keepNext/>
        <w:spacing w:before="200" w:after="100"/>
      </w:pPr>
      <w:r>
        <w:rPr>
          <w:rFonts w:ascii="Liberation Sans" w:hAnsi="Liberation Sans"/>
          <w:b/>
          <w:color w:val="17324D"/>
          <w:sz w:val="40"/>
        </w:rPr>
        <w:t>6. Static data flow and frontend presentation</w:t>
      </w:r>
    </w:p>
    <w:p>
      <w:pPr>
        <w:spacing w:before="0" w:after="120" w:line="259" w:lineRule="auto"/>
      </w:pPr>
      <w:r>
        <w:rPr>
          <w:rFonts w:ascii="Liberation Sans" w:hAnsi="Liberation Sans"/>
          <w:i w:val="0"/>
          <w:color w:val="1F2937"/>
          <w:sz w:val="21"/>
        </w:rPr>
        <w:t>There is no runtime API. Python pipelines publish validated JSON files to the React application’s public directory. The browser fetches each asset directly, adapts it into chart rows and presents the data with interpretation and methodology.</w:t>
      </w:r>
    </w:p>
    <w:p>
      <w:pPr>
        <w:spacing w:before="80" w:after="60"/>
        <w:jc w:val="center"/>
      </w:pPr>
      <w:r>
        <w:drawing>
          <wp:inline xmlns:a="http://schemas.openxmlformats.org/drawingml/2006/main" xmlns:pic="http://schemas.openxmlformats.org/drawingml/2006/picture">
            <wp:extent cx="6126480" cy="3074987"/>
            <wp:docPr id="3" name="Picture 3" descr="Image: image3.png"/>
            <wp:cNvGraphicFramePr>
              <a:graphicFrameLocks noChangeAspect="1"/>
            </wp:cNvGraphicFramePr>
            <a:graphic>
              <a:graphicData uri="http://schemas.openxmlformats.org/drawingml/2006/picture">
                <pic:pic>
                  <pic:nvPicPr>
                    <pic:cNvPr id="0" name="data_flow.png"/>
                    <pic:cNvPicPr/>
                  </pic:nvPicPr>
                  <pic:blipFill>
                    <a:blip r:embed="rId13"/>
                    <a:stretch>
                      <a:fillRect/>
                    </a:stretch>
                  </pic:blipFill>
                  <pic:spPr>
                    <a:xfrm>
                      <a:off x="0" y="0"/>
                      <a:ext cx="6126480" cy="3074987"/>
                    </a:xfrm>
                    <a:prstGeom prst="rect"/>
                  </pic:spPr>
                </pic:pic>
              </a:graphicData>
            </a:graphic>
          </wp:inline>
        </w:drawing>
      </w:r>
    </w:p>
    <w:p>
      <w:pPr>
        <w:spacing w:after="160"/>
        <w:jc w:val="center"/>
      </w:pPr>
      <w:r>
        <w:rPr>
          <w:rFonts w:ascii="Liberation Sans" w:hAnsi="Liberation Sans"/>
          <w:i/>
          <w:color w:val="475569"/>
          <w:sz w:val="17"/>
        </w:rPr>
        <w:t>Figure 3. Official sources are converted into section-level static assets and loaded directly by the React frontend.</w:t>
      </w:r>
    </w:p>
    <w:p>
      <w:pPr>
        <w:pStyle w:val="Heading2"/>
        <w:keepNext/>
        <w:spacing w:before="140" w:after="100"/>
      </w:pPr>
      <w:r>
        <w:rPr>
          <w:rFonts w:ascii="Liberation Sans" w:hAnsi="Liberation Sans"/>
          <w:b/>
          <w:color w:val="0F766E"/>
          <w:sz w:val="30"/>
        </w:rPr>
        <w:t>6.1 Public data layout</w:t>
      </w:r>
    </w:p>
    <w:tbl>
      <w:tblPr>
        <w:tblW w:type="auto" w:w="0"/>
        <w:jc w:val="center"/>
        <w:tblLook w:firstColumn="1" w:firstRow="1" w:lastColumn="0" w:lastRow="0" w:noHBand="0" w:noVBand="1" w:val="04A0"/>
      </w:tblPr>
      <w:tblGrid>
        <w:gridCol w:w="9835"/>
      </w:tblGrid>
      <w:tr>
        <w:tc>
          <w:tcPr>
            <w:tcW w:type="dxa" w:w="9835"/>
            <w:shd w:fill="F6F8FA"/>
            <w:tcMar>
              <w:top w:w="110" w:type="dxa"/>
              <w:start w:w="120" w:type="dxa"/>
              <w:bottom w:w="110" w:type="dxa"/>
              <w:end w:w="120" w:type="dxa"/>
            </w:tcMar>
            <w:tcBorders>
              <w:top w:val="single" w:sz="4" w:color="CBD5E1"/>
              <w:left w:val="single" w:sz="4" w:color="CBD5E1"/>
              <w:bottom w:val="single" w:sz="4" w:color="CBD5E1"/>
              <w:right w:val="single" w:sz="4" w:color="CBD5E1"/>
            </w:tcBorders>
          </w:tcPr>
          <w:p>
            <w:pPr>
              <w:spacing w:after="0"/>
            </w:pPr>
            <w:r>
              <w:rPr>
                <w:rFonts w:ascii="Liberation Mono" w:hAnsi="Liberation Mono"/>
                <w:color w:val="1F2937"/>
                <w:sz w:val="16"/>
              </w:rPr>
              <w:t>public/data/</w:t>
            </w:r>
            <w:r>
              <w:br/>
            </w:r>
            <w:r>
              <w:rPr>
                <w:rFonts w:ascii="Liberation Mono" w:hAnsi="Liberation Mono"/>
                <w:color w:val="1F2937"/>
                <w:sz w:val="16"/>
              </w:rPr>
              <w:t xml:space="preserve">  catalogue.json</w:t>
            </w:r>
            <w:r>
              <w:br/>
            </w:r>
            <w:r>
              <w:rPr>
                <w:rFonts w:ascii="Liberation Mono" w:hAnsi="Liberation Mono"/>
                <w:color w:val="1F2937"/>
                <w:sz w:val="16"/>
              </w:rPr>
              <w:t xml:space="preserve">  schemas/</w:t>
            </w:r>
            <w:r>
              <w:br/>
            </w:r>
            <w:r>
              <w:rPr>
                <w:rFonts w:ascii="Liberation Mono" w:hAnsi="Liberation Mono"/>
                <w:color w:val="1F2937"/>
                <w:sz w:val="16"/>
              </w:rPr>
              <w:t xml:space="preserve">    annual_country_series.schema.json</w:t>
            </w:r>
            <w:r>
              <w:br/>
            </w:r>
            <w:r>
              <w:rPr>
                <w:rFonts w:ascii="Liberation Mono" w:hAnsi="Liberation Mono"/>
                <w:color w:val="1F2937"/>
                <w:sz w:val="16"/>
              </w:rPr>
              <w:t xml:space="preserve">    dated_multi_series.schema.json</w:t>
            </w:r>
            <w:r>
              <w:br/>
            </w:r>
            <w:r>
              <w:rPr>
                <w:rFonts w:ascii="Liberation Mono" w:hAnsi="Liberation Mono"/>
                <w:color w:val="1F2937"/>
                <w:sz w:val="16"/>
              </w:rPr>
              <w:t xml:space="preserve">    market_performance.schema.json</w:t>
            </w:r>
            <w:r>
              <w:br/>
            </w:r>
            <w:r>
              <w:rPr>
                <w:rFonts w:ascii="Liberation Mono" w:hAnsi="Liberation Mono"/>
                <w:color w:val="1F2937"/>
                <w:sz w:val="16"/>
              </w:rPr>
              <w:t xml:space="preserve">    event_study.schema.json</w:t>
            </w:r>
            <w:r>
              <w:br/>
            </w:r>
            <w:r>
              <w:rPr>
                <w:rFonts w:ascii="Liberation Mono" w:hAnsi="Liberation Mono"/>
                <w:color w:val="1F2937"/>
                <w:sz w:val="16"/>
              </w:rPr>
            </w:r>
            <w:r>
              <w:br/>
            </w:r>
            <w:r>
              <w:rPr>
                <w:rFonts w:ascii="Liberation Mono" w:hAnsi="Liberation Mono"/>
                <w:color w:val="1F2937"/>
                <w:sz w:val="16"/>
              </w:rPr>
              <w:t xml:space="preserve">  digital-integration/</w:t>
            </w:r>
            <w:r>
              <w:br/>
            </w:r>
            <w:r>
              <w:rPr>
                <w:rFonts w:ascii="Liberation Mono" w:hAnsi="Liberation Mono"/>
                <w:color w:val="1F2937"/>
                <w:sz w:val="16"/>
              </w:rPr>
              <w:t xml:space="preserve">    upi-and-tax-capacity.json</w:t>
            </w:r>
            <w:r>
              <w:br/>
            </w:r>
            <w:r>
              <w:rPr>
                <w:rFonts w:ascii="Liberation Mono" w:hAnsi="Liberation Mono"/>
                <w:color w:val="1F2937"/>
                <w:sz w:val="16"/>
              </w:rPr>
              <w:t xml:space="preserve">  government-investment/</w:t>
            </w:r>
            <w:r>
              <w:br/>
            </w:r>
            <w:r>
              <w:rPr>
                <w:rFonts w:ascii="Liberation Mono" w:hAnsi="Liberation Mono"/>
                <w:color w:val="1F2937"/>
                <w:sz w:val="16"/>
              </w:rPr>
              <w:t xml:space="preserve">    capex-and-execution.json</w:t>
            </w:r>
            <w:r>
              <w:br/>
            </w:r>
            <w:r>
              <w:rPr>
                <w:rFonts w:ascii="Liberation Mono" w:hAnsi="Liberation Mono"/>
                <w:color w:val="1F2937"/>
                <w:sz w:val="16"/>
              </w:rPr>
              <w:t xml:space="preserve">  private-investment/</w:t>
            </w:r>
            <w:r>
              <w:br/>
            </w:r>
            <w:r>
              <w:rPr>
                <w:rFonts w:ascii="Liberation Mono" w:hAnsi="Liberation Mono"/>
                <w:color w:val="1F2937"/>
                <w:sz w:val="16"/>
              </w:rPr>
              <w:t xml:space="preserve">    investment-and-capacity.json</w:t>
            </w:r>
            <w:r>
              <w:br/>
            </w:r>
            <w:r>
              <w:rPr>
                <w:rFonts w:ascii="Liberation Mono" w:hAnsi="Liberation Mono"/>
                <w:color w:val="1F2937"/>
                <w:sz w:val="16"/>
              </w:rPr>
              <w:t xml:space="preserve">  fiscal-capacity/</w:t>
            </w:r>
            <w:r>
              <w:br/>
            </w:r>
            <w:r>
              <w:rPr>
                <w:rFonts w:ascii="Liberation Mono" w:hAnsi="Liberation Mono"/>
                <w:color w:val="1F2937"/>
                <w:sz w:val="16"/>
              </w:rPr>
              <w:t xml:space="preserve">    debt-and-interest-burden.json</w:t>
            </w:r>
            <w:r>
              <w:br/>
            </w:r>
            <w:r>
              <w:rPr>
                <w:rFonts w:ascii="Liberation Mono" w:hAnsi="Liberation Mono"/>
                <w:color w:val="1F2937"/>
                <w:sz w:val="16"/>
              </w:rPr>
              <w:t xml:space="preserve">  external-competitiveness/</w:t>
            </w:r>
            <w:r>
              <w:br/>
            </w:r>
            <w:r>
              <w:rPr>
                <w:rFonts w:ascii="Liberation Mono" w:hAnsi="Liberation Mono"/>
                <w:color w:val="1F2937"/>
                <w:sz w:val="16"/>
              </w:rPr>
              <w:t xml:space="preserve">    reer-and-current-account.json</w:t>
            </w:r>
            <w:r>
              <w:br/>
            </w:r>
            <w:r>
              <w:rPr>
                <w:rFonts w:ascii="Liberation Mono" w:hAnsi="Liberation Mono"/>
                <w:color w:val="1F2937"/>
                <w:sz w:val="16"/>
              </w:rPr>
              <w:t xml:space="preserve">  human-capital/</w:t>
            </w:r>
            <w:r>
              <w:br/>
            </w:r>
            <w:r>
              <w:rPr>
                <w:rFonts w:ascii="Liberation Mono" w:hAnsi="Liberation Mono"/>
                <w:color w:val="1F2937"/>
                <w:sz w:val="16"/>
              </w:rPr>
              <w:t xml:space="preserve">    education-and-employment.json</w:t>
            </w:r>
            <w:r>
              <w:br/>
            </w:r>
            <w:r>
              <w:rPr>
                <w:rFonts w:ascii="Liberation Mono" w:hAnsi="Liberation Mono"/>
                <w:color w:val="1F2937"/>
                <w:sz w:val="16"/>
              </w:rPr>
              <w:t xml:space="preserve">  capital-resilience/</w:t>
            </w:r>
            <w:r>
              <w:br/>
            </w:r>
            <w:r>
              <w:rPr>
                <w:rFonts w:ascii="Liberation Mono" w:hAnsi="Liberation Mono"/>
                <w:color w:val="1F2937"/>
                <w:sz w:val="16"/>
              </w:rPr>
              <w:t xml:space="preserve">    institutional-flows.json</w:t>
            </w:r>
            <w:r>
              <w:br/>
            </w:r>
            <w:r>
              <w:rPr>
                <w:rFonts w:ascii="Liberation Mono" w:hAnsi="Liberation Mono"/>
                <w:color w:val="1F2937"/>
                <w:sz w:val="16"/>
              </w:rPr>
              <w:t xml:space="preserve">    global-shock-events.json</w:t>
            </w:r>
            <w:r>
              <w:br/>
            </w:r>
            <w:r>
              <w:rPr>
                <w:rFonts w:ascii="Liberation Mono" w:hAnsi="Liberation Mono"/>
                <w:color w:val="1F2937"/>
                <w:sz w:val="16"/>
              </w:rPr>
              <w:t xml:space="preserve">  equities/</w:t>
            </w:r>
            <w:r>
              <w:br/>
            </w:r>
            <w:r>
              <w:rPr>
                <w:rFonts w:ascii="Liberation Mono" w:hAnsi="Liberation Mono"/>
                <w:color w:val="1F2937"/>
                <w:sz w:val="16"/>
              </w:rPr>
              <w:t xml:space="preserve">    market-performance.json</w:t>
            </w:r>
          </w:p>
        </w:tc>
      </w:tr>
    </w:tbl>
    <w:p>
      <w:pPr>
        <w:spacing w:after="20"/>
      </w:pPr>
    </w:p>
    <w:p>
      <w:pPr>
        <w:pStyle w:val="Heading2"/>
        <w:keepNext/>
        <w:spacing w:before="140" w:after="100"/>
      </w:pPr>
      <w:r>
        <w:rPr>
          <w:rFonts w:ascii="Liberation Sans" w:hAnsi="Liberation Sans"/>
          <w:b/>
          <w:color w:val="0F766E"/>
          <w:sz w:val="30"/>
        </w:rPr>
        <w:t>6.2 Standard section page</w:t>
      </w:r>
    </w:p>
    <w:p>
      <w:pPr>
        <w:spacing w:before="0" w:after="60" w:line="245" w:lineRule="auto"/>
        <w:ind w:left="490" w:hanging="346"/>
      </w:pPr>
      <w:r>
        <w:rPr>
          <w:rFonts w:ascii="Liberation Sans" w:hAnsi="Liberation Sans"/>
          <w:b/>
          <w:color w:val="1F2937"/>
          <w:sz w:val="20"/>
        </w:rPr>
        <w:t xml:space="preserve">1. </w:t>
      </w:r>
      <w:r>
        <w:rPr>
          <w:rFonts w:ascii="Liberation Sans" w:hAnsi="Liberation Sans"/>
          <w:color w:val="1F2937"/>
          <w:sz w:val="20"/>
        </w:rPr>
        <w:t>Research question and one-sentence thesis.</w:t>
      </w:r>
    </w:p>
    <w:p>
      <w:pPr>
        <w:spacing w:before="0" w:after="60" w:line="245" w:lineRule="auto"/>
        <w:ind w:left="490" w:hanging="346"/>
      </w:pPr>
      <w:r>
        <w:rPr>
          <w:rFonts w:ascii="Liberation Sans" w:hAnsi="Liberation Sans"/>
          <w:b/>
          <w:color w:val="1F2937"/>
          <w:sz w:val="20"/>
        </w:rPr>
        <w:t xml:space="preserve">2. </w:t>
      </w:r>
      <w:r>
        <w:rPr>
          <w:rFonts w:ascii="Liberation Sans" w:hAnsi="Liberation Sans"/>
          <w:color w:val="1F2937"/>
          <w:sz w:val="20"/>
        </w:rPr>
        <w:t>Two or three current headline values, including the latest observation date.</w:t>
      </w:r>
    </w:p>
    <w:p>
      <w:pPr>
        <w:spacing w:before="0" w:after="60" w:line="245" w:lineRule="auto"/>
        <w:ind w:left="490" w:hanging="346"/>
      </w:pPr>
      <w:r>
        <w:rPr>
          <w:rFonts w:ascii="Liberation Sans" w:hAnsi="Liberation Sans"/>
          <w:b/>
          <w:color w:val="1F2937"/>
          <w:sz w:val="20"/>
        </w:rPr>
        <w:t xml:space="preserve">3. </w:t>
      </w:r>
      <w:r>
        <w:rPr>
          <w:rFonts w:ascii="Liberation Sans" w:hAnsi="Liberation Sans"/>
          <w:color w:val="1F2937"/>
          <w:sz w:val="20"/>
        </w:rPr>
        <w:t>One primary chart with no more than three visible series by default.</w:t>
      </w:r>
    </w:p>
    <w:p>
      <w:pPr>
        <w:spacing w:before="0" w:after="60" w:line="245" w:lineRule="auto"/>
        <w:ind w:left="490" w:hanging="346"/>
      </w:pPr>
      <w:r>
        <w:rPr>
          <w:rFonts w:ascii="Liberation Sans" w:hAnsi="Liberation Sans"/>
          <w:b/>
          <w:color w:val="1F2937"/>
          <w:sz w:val="20"/>
        </w:rPr>
        <w:t xml:space="preserve">4. </w:t>
      </w:r>
      <w:r>
        <w:rPr>
          <w:rFonts w:ascii="Liberation Sans" w:hAnsi="Liberation Sans"/>
          <w:color w:val="1F2937"/>
          <w:sz w:val="20"/>
        </w:rPr>
        <w:t>One supporting chart, toggle or event-study view.</w:t>
      </w:r>
    </w:p>
    <w:p>
      <w:pPr>
        <w:spacing w:before="0" w:after="60" w:line="245" w:lineRule="auto"/>
        <w:ind w:left="490" w:hanging="346"/>
      </w:pPr>
      <w:r>
        <w:rPr>
          <w:rFonts w:ascii="Liberation Sans" w:hAnsi="Liberation Sans"/>
          <w:b/>
          <w:color w:val="1F2937"/>
          <w:sz w:val="20"/>
        </w:rPr>
        <w:t xml:space="preserve">5. </w:t>
      </w:r>
      <w:r>
        <w:rPr>
          <w:rFonts w:ascii="Liberation Sans" w:hAnsi="Liberation Sans"/>
          <w:color w:val="1F2937"/>
          <w:sz w:val="20"/>
        </w:rPr>
        <w:t>A short evidence-based interpretation that distinguishes observation from inference.</w:t>
      </w:r>
    </w:p>
    <w:p>
      <w:pPr>
        <w:spacing w:before="0" w:after="60" w:line="245" w:lineRule="auto"/>
        <w:ind w:left="490" w:hanging="346"/>
      </w:pPr>
      <w:r>
        <w:rPr>
          <w:rFonts w:ascii="Liberation Sans" w:hAnsi="Liberation Sans"/>
          <w:b/>
          <w:color w:val="1F2937"/>
          <w:sz w:val="20"/>
        </w:rPr>
        <w:t xml:space="preserve">6. </w:t>
      </w:r>
      <w:r>
        <w:rPr>
          <w:rFonts w:ascii="Liberation Sans" w:hAnsi="Liberation Sans"/>
          <w:color w:val="1F2937"/>
          <w:sz w:val="20"/>
        </w:rPr>
        <w:t>A visible limitations panel.</w:t>
      </w:r>
    </w:p>
    <w:p>
      <w:pPr>
        <w:spacing w:before="0" w:after="60" w:line="245" w:lineRule="auto"/>
        <w:ind w:left="490" w:hanging="346"/>
      </w:pPr>
      <w:r>
        <w:rPr>
          <w:rFonts w:ascii="Liberation Sans" w:hAnsi="Liberation Sans"/>
          <w:b/>
          <w:color w:val="1F2937"/>
          <w:sz w:val="20"/>
        </w:rPr>
        <w:t xml:space="preserve">7. </w:t>
      </w:r>
      <w:r>
        <w:rPr>
          <w:rFonts w:ascii="Liberation Sans" w:hAnsi="Liberation Sans"/>
          <w:color w:val="1F2937"/>
          <w:sz w:val="20"/>
        </w:rPr>
        <w:t>Source, methodology, frequency, data status and downloadable JSON.</w:t>
      </w:r>
    </w:p>
    <w:tbl>
      <w:tblPr>
        <w:tblW w:type="auto" w:w="0"/>
        <w:jc w:val="center"/>
        <w:tblLayout w:type="fixed"/>
        <w:tblLook w:firstColumn="1" w:firstRow="1" w:lastColumn="0" w:lastRow="0" w:noHBand="0" w:noVBand="1" w:val="04A0"/>
      </w:tblPr>
      <w:tblGrid>
        <w:gridCol w:w="173"/>
        <w:gridCol w:w="9432"/>
      </w:tblGrid>
      <w:tr>
        <w:tc>
          <w:tcPr>
            <w:tcW w:type="dxa" w:w="4917"/>
            <w:shd w:fill="0F766E"/>
            <w:tcMar>
              <w:top w:w="40" w:type="dxa"/>
              <w:start w:w="20" w:type="dxa"/>
              <w:bottom w:w="40" w:type="dxa"/>
              <w:end w:w="20" w:type="dxa"/>
            </w:tcMar>
            <w:tcBorders>
              <w:top w:val="nil"/>
              <w:left w:val="nil"/>
              <w:bottom w:val="nil"/>
              <w:right w:val="nil"/>
            </w:tcBorders>
          </w:tcPr>
          <w:p/>
        </w:tc>
        <w:tc>
          <w:tcPr>
            <w:tcW w:type="dxa" w:w="4917"/>
            <w:shd w:fill="E8F5F2"/>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0F766E"/>
                <w:sz w:val="21"/>
              </w:rPr>
              <w:t>Presentation rule</w:t>
            </w:r>
          </w:p>
          <w:p>
            <w:pPr>
              <w:spacing w:after="0"/>
            </w:pPr>
            <w:r>
              <w:rPr>
                <w:rFonts w:ascii="Liberation Sans" w:hAnsi="Liberation Sans"/>
                <w:color w:val="1F2937"/>
                <w:sz w:val="20"/>
              </w:rPr>
              <w:t>The frontend should not become a dense dashboard. One strong chart, one supporting view and a clear argument are more valuable than displaying every derived series at once.</w:t>
            </w:r>
          </w:p>
        </w:tc>
      </w:tr>
    </w:tbl>
    <w:p>
      <w:pPr>
        <w:spacing w:after="20"/>
      </w:pPr>
    </w:p>
    <w:p>
      <w:pPr>
        <w:pStyle w:val="Heading1"/>
        <w:keepNext/>
        <w:spacing w:before="200" w:after="100"/>
      </w:pPr>
      <w:r>
        <w:rPr>
          <w:rFonts w:ascii="Liberation Sans" w:hAnsi="Liberation Sans"/>
          <w:b/>
          <w:color w:val="17324D"/>
          <w:sz w:val="40"/>
        </w:rPr>
        <w:t>7. Implementation roadmap</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613"/>
            <w:shd w:fill="17324D"/>
            <w:vAlign w:val="center"/>
            <w:tcMar>
              <w:top w:w="80" w:type="dxa"/>
              <w:start w:w="90" w:type="dxa"/>
              <w:bottom w:w="80" w:type="dxa"/>
              <w:end w:w="90" w:type="dxa"/>
            </w:tcMar>
          </w:tcPr>
          <w:p>
            <w:pPr>
              <w:jc w:val="left"/>
            </w:pPr>
            <w:r>
              <w:rPr>
                <w:rFonts w:ascii="Liberation Sans" w:hAnsi="Liberation Sans"/>
                <w:b/>
                <w:color w:val="FFFFFF"/>
                <w:sz w:val="17"/>
              </w:rPr>
              <w:t>Phase</w:t>
            </w:r>
          </w:p>
        </w:tc>
        <w:tc>
          <w:tcPr>
            <w:tcW w:type="dxa" w:w="4968"/>
            <w:shd w:fill="17324D"/>
            <w:vAlign w:val="center"/>
            <w:tcMar>
              <w:top w:w="80" w:type="dxa"/>
              <w:start w:w="90" w:type="dxa"/>
              <w:bottom w:w="80" w:type="dxa"/>
              <w:end w:w="90" w:type="dxa"/>
            </w:tcMar>
          </w:tcPr>
          <w:p>
            <w:pPr>
              <w:jc w:val="left"/>
            </w:pPr>
            <w:r>
              <w:rPr>
                <w:rFonts w:ascii="Liberation Sans" w:hAnsi="Liberation Sans"/>
                <w:b/>
                <w:color w:val="FFFFFF"/>
                <w:sz w:val="17"/>
              </w:rPr>
              <w:t>Main work</w:t>
            </w:r>
          </w:p>
        </w:tc>
        <w:tc>
          <w:tcPr>
            <w:tcW w:type="dxa" w:w="3240"/>
            <w:shd w:fill="17324D"/>
            <w:vAlign w:val="center"/>
            <w:tcMar>
              <w:top w:w="80" w:type="dxa"/>
              <w:start w:w="90" w:type="dxa"/>
              <w:bottom w:w="80" w:type="dxa"/>
              <w:end w:w="90" w:type="dxa"/>
            </w:tcMar>
          </w:tcPr>
          <w:p>
            <w:pPr>
              <w:jc w:val="left"/>
            </w:pPr>
            <w:r>
              <w:rPr>
                <w:rFonts w:ascii="Liberation Sans" w:hAnsi="Liberation Sans"/>
                <w:b/>
                <w:color w:val="FFFFFF"/>
                <w:sz w:val="17"/>
              </w:rPr>
              <w:t>Exit condition</w:t>
            </w:r>
          </w:p>
        </w:tc>
      </w:tr>
      <w:tr>
        <w:tc>
          <w:tcPr>
            <w:tcW w:type="dxa" w:w="161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0. Scope lock</w:t>
            </w:r>
          </w:p>
        </w:tc>
        <w:tc>
          <w:tcPr>
            <w:tcW w:type="dxa" w:w="496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Freeze definitions, units, sources, frequency, start date, transformation and output key for every series.</w:t>
            </w:r>
          </w:p>
        </w:tc>
        <w:tc>
          <w:tcPr>
            <w:tcW w:type="dxa" w:w="324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Approved metric specification; no ambiguous terms such as “debt”, “CapEx” or “formal employment”.</w:t>
            </w:r>
          </w:p>
        </w:tc>
      </w:tr>
      <w:tr>
        <w:tc>
          <w:tcPr>
            <w:tcW w:type="dxa" w:w="161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1. Source feasibility</w:t>
            </w:r>
          </w:p>
        </w:tc>
        <w:tc>
          <w:tcPr>
            <w:tcW w:type="dxa" w:w="496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Download representative samples; test historical coverage, revisions, formats, stability and automation constraints.</w:t>
            </w:r>
          </w:p>
        </w:tc>
        <w:tc>
          <w:tcPr>
            <w:tcW w:type="dxa" w:w="324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Every section has at least one reproducible primary source.</w:t>
            </w:r>
          </w:p>
        </w:tc>
      </w:tr>
      <w:tr>
        <w:tc>
          <w:tcPr>
            <w:tcW w:type="dxa" w:w="161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2. Core extraction</w:t>
            </w:r>
          </w:p>
        </w:tc>
        <w:tc>
          <w:tcPr>
            <w:tcW w:type="dxa" w:w="496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Implement extractors in the order: UPI; DII/FPI; REER; CapEx/debt; education/employment; private investment.</w:t>
            </w:r>
          </w:p>
        </w:tc>
        <w:tc>
          <w:tcPr>
            <w:tcW w:type="dxa" w:w="324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Raw data is reproducibly fetched and normalised.</w:t>
            </w:r>
          </w:p>
        </w:tc>
      </w:tr>
      <w:tr>
        <w:tc>
          <w:tcPr>
            <w:tcW w:type="dxa" w:w="161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3. Transformations</w:t>
            </w:r>
          </w:p>
        </w:tc>
        <w:tc>
          <w:tcPr>
            <w:tcW w:type="dxa" w:w="496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Implement per-capita and GDP normalisation, YoY growth, rolling references, execution ratios, interest burdens, offset ratios and event windows.</w:t>
            </w:r>
          </w:p>
        </w:tc>
        <w:tc>
          <w:tcPr>
            <w:tcW w:type="dxa" w:w="324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Each derived series has tests and methodology text.</w:t>
            </w:r>
          </w:p>
        </w:tc>
      </w:tr>
      <w:tr>
        <w:tc>
          <w:tcPr>
            <w:tcW w:type="dxa" w:w="161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4. Build and validate</w:t>
            </w:r>
          </w:p>
        </w:tc>
        <w:tc>
          <w:tcPr>
            <w:tcW w:type="dxa" w:w="496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Build contract-shaped objects, run quality checks, validate schemas, export to staging and promote valid outputs.</w:t>
            </w:r>
          </w:p>
        </w:tc>
        <w:tc>
          <w:tcPr>
            <w:tcW w:type="dxa" w:w="324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All production JSON files validate and contain no duplicate periods.</w:t>
            </w:r>
          </w:p>
        </w:tc>
      </w:tr>
      <w:tr>
        <w:tc>
          <w:tcPr>
            <w:tcW w:type="dxa" w:w="161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5. Exploratory analysis</w:t>
            </w:r>
          </w:p>
        </w:tc>
        <w:tc>
          <w:tcPr>
            <w:tcW w:type="dxa" w:w="496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Plot every series; inspect breaks and revisions; choose windows; remove weak supporting lines.</w:t>
            </w:r>
          </w:p>
        </w:tc>
        <w:tc>
          <w:tcPr>
            <w:tcW w:type="dxa" w:w="324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Final chart specifications and analytical notes.</w:t>
            </w:r>
          </w:p>
        </w:tc>
      </w:tr>
      <w:tr>
        <w:tc>
          <w:tcPr>
            <w:tcW w:type="dxa" w:w="1613"/>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6. Frontend delivery</w:t>
            </w:r>
          </w:p>
        </w:tc>
        <w:tc>
          <w:tcPr>
            <w:tcW w:type="dxa" w:w="4968"/>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Implement one reusable section template, static catalogue, loaders, adapters, charts, caveats and data downloads.</w:t>
            </w:r>
          </w:p>
        </w:tc>
        <w:tc>
          <w:tcPr>
            <w:tcW w:type="dxa" w:w="324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Seven complete analytical pages using static JSON.</w:t>
            </w:r>
          </w:p>
        </w:tc>
      </w:tr>
      <w:tr>
        <w:tc>
          <w:tcPr>
            <w:tcW w:type="dxa" w:w="1613"/>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7. Interpretation and QA</w:t>
            </w:r>
          </w:p>
        </w:tc>
        <w:tc>
          <w:tcPr>
            <w:tcW w:type="dxa" w:w="4968"/>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Write section conclusions and an overall synthesis; verify calculations, sources, status labels and limitations.</w:t>
            </w:r>
          </w:p>
        </w:tc>
        <w:tc>
          <w:tcPr>
            <w:tcW w:type="dxa" w:w="324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6"/>
              </w:rPr>
              <w:t>Release-ready build with balanced conclusions.</w:t>
            </w:r>
          </w:p>
        </w:tc>
      </w:tr>
    </w:tbl>
    <w:p>
      <w:pPr>
        <w:spacing w:after="20"/>
      </w:pPr>
    </w:p>
    <w:p>
      <w:pPr>
        <w:pStyle w:val="Heading2"/>
        <w:keepNext/>
        <w:spacing w:before="140" w:after="100"/>
      </w:pPr>
      <w:r>
        <w:rPr>
          <w:rFonts w:ascii="Liberation Sans" w:hAnsi="Liberation Sans"/>
          <w:b/>
          <w:color w:val="0F766E"/>
          <w:sz w:val="30"/>
        </w:rPr>
        <w:t>7.1 Recommended build order</w:t>
      </w:r>
    </w:p>
    <w:p>
      <w:pPr>
        <w:spacing w:before="0" w:after="60" w:line="245" w:lineRule="auto"/>
        <w:ind w:left="490" w:hanging="346"/>
      </w:pPr>
      <w:r>
        <w:rPr>
          <w:rFonts w:ascii="Liberation Sans" w:hAnsi="Liberation Sans"/>
          <w:b/>
          <w:color w:val="1F2937"/>
          <w:sz w:val="20"/>
        </w:rPr>
        <w:t xml:space="preserve">1. </w:t>
      </w:r>
      <w:r>
        <w:rPr>
          <w:rFonts w:ascii="Liberation Sans" w:hAnsi="Liberation Sans"/>
          <w:color w:val="1F2937"/>
          <w:sz w:val="20"/>
        </w:rPr>
        <w:t>UPI and digital integration — regular monthly data and a clean first dated-series implementation.</w:t>
      </w:r>
    </w:p>
    <w:p>
      <w:pPr>
        <w:spacing w:before="0" w:after="60" w:line="245" w:lineRule="auto"/>
        <w:ind w:left="490" w:hanging="346"/>
      </w:pPr>
      <w:r>
        <w:rPr>
          <w:rFonts w:ascii="Liberation Sans" w:hAnsi="Liberation Sans"/>
          <w:b/>
          <w:color w:val="1F2937"/>
          <w:sz w:val="20"/>
        </w:rPr>
        <w:t xml:space="preserve">2. </w:t>
      </w:r>
      <w:r>
        <w:rPr>
          <w:rFonts w:ascii="Liberation Sans" w:hAnsi="Liberation Sans"/>
          <w:color w:val="1F2937"/>
          <w:sz w:val="20"/>
        </w:rPr>
        <w:t>DII/FPI continuous flows — reuses the existing market pipeline for contextual returns and drawdowns.</w:t>
      </w:r>
    </w:p>
    <w:p>
      <w:pPr>
        <w:spacing w:before="0" w:after="60" w:line="245" w:lineRule="auto"/>
        <w:ind w:left="490" w:hanging="346"/>
      </w:pPr>
      <w:r>
        <w:rPr>
          <w:rFonts w:ascii="Liberation Sans" w:hAnsi="Liberation Sans"/>
          <w:b/>
          <w:color w:val="1F2937"/>
          <w:sz w:val="20"/>
        </w:rPr>
        <w:t xml:space="preserve">3. </w:t>
      </w:r>
      <w:r>
        <w:rPr>
          <w:rFonts w:ascii="Liberation Sans" w:hAnsi="Liberation Sans"/>
          <w:color w:val="1F2937"/>
          <w:sz w:val="20"/>
        </w:rPr>
        <w:t>REER and current account — establishes RBI extraction and mixed monthly/quarterly handling.</w:t>
      </w:r>
    </w:p>
    <w:p>
      <w:pPr>
        <w:spacing w:before="0" w:after="60" w:line="245" w:lineRule="auto"/>
        <w:ind w:left="490" w:hanging="346"/>
      </w:pPr>
      <w:r>
        <w:rPr>
          <w:rFonts w:ascii="Liberation Sans" w:hAnsi="Liberation Sans"/>
          <w:b/>
          <w:color w:val="1F2937"/>
          <w:sz w:val="20"/>
        </w:rPr>
        <w:t xml:space="preserve">4. </w:t>
      </w:r>
      <w:r>
        <w:rPr>
          <w:rFonts w:ascii="Liberation Sans" w:hAnsi="Liberation Sans"/>
          <w:color w:val="1F2937"/>
          <w:sz w:val="20"/>
        </w:rPr>
        <w:t>Government CapEx and debt — shares fiscal source handling and fiscal-year status fields.</w:t>
      </w:r>
    </w:p>
    <w:p>
      <w:pPr>
        <w:spacing w:before="0" w:after="60" w:line="245" w:lineRule="auto"/>
        <w:ind w:left="490" w:hanging="346"/>
      </w:pPr>
      <w:r>
        <w:rPr>
          <w:rFonts w:ascii="Liberation Sans" w:hAnsi="Liberation Sans"/>
          <w:b/>
          <w:color w:val="1F2937"/>
          <w:sz w:val="20"/>
        </w:rPr>
        <w:t xml:space="preserve">5. </w:t>
      </w:r>
      <w:r>
        <w:rPr>
          <w:rFonts w:ascii="Liberation Sans" w:hAnsi="Liberation Sans"/>
          <w:color w:val="1F2937"/>
          <w:sz w:val="20"/>
        </w:rPr>
        <w:t>Human capital and employment — annual sources with clear methodology boundaries.</w:t>
      </w:r>
    </w:p>
    <w:p>
      <w:pPr>
        <w:spacing w:before="0" w:after="60" w:line="245" w:lineRule="auto"/>
        <w:ind w:left="490" w:hanging="346"/>
      </w:pPr>
      <w:r>
        <w:rPr>
          <w:rFonts w:ascii="Liberation Sans" w:hAnsi="Liberation Sans"/>
          <w:b/>
          <w:color w:val="1F2937"/>
          <w:sz w:val="20"/>
        </w:rPr>
        <w:t xml:space="preserve">6. </w:t>
      </w:r>
      <w:r>
        <w:rPr>
          <w:rFonts w:ascii="Liberation Sans" w:hAnsi="Liberation Sans"/>
          <w:color w:val="1F2937"/>
          <w:sz w:val="20"/>
        </w:rPr>
        <w:t>Private investment and capacity utilisation — conceptually crucial but likely the hardest series to align.</w:t>
      </w:r>
    </w:p>
    <w:p>
      <w:pPr>
        <w:spacing w:before="0" w:after="60" w:line="245" w:lineRule="auto"/>
        <w:ind w:left="490" w:hanging="346"/>
      </w:pPr>
      <w:r>
        <w:rPr>
          <w:rFonts w:ascii="Liberation Sans" w:hAnsi="Liberation Sans"/>
          <w:b/>
          <w:color w:val="1F2937"/>
          <w:sz w:val="20"/>
        </w:rPr>
        <w:t xml:space="preserve">7. </w:t>
      </w:r>
      <w:r>
        <w:rPr>
          <w:rFonts w:ascii="Liberation Sans" w:hAnsi="Liberation Sans"/>
          <w:color w:val="1F2937"/>
          <w:sz w:val="20"/>
        </w:rPr>
        <w:t>Global-shock event studies — only after continuous flows and market outcomes are stable.</w:t>
      </w:r>
    </w:p>
    <w:p>
      <w:r>
        <w:br w:type="page"/>
      </w:r>
    </w:p>
    <w:p>
      <w:pPr>
        <w:pStyle w:val="Heading2"/>
        <w:keepNext/>
        <w:spacing w:before="140" w:after="100"/>
      </w:pPr>
      <w:r>
        <w:rPr>
          <w:rFonts w:ascii="Liberation Sans" w:hAnsi="Liberation Sans"/>
          <w:b/>
          <w:color w:val="0F766E"/>
          <w:sz w:val="30"/>
        </w:rPr>
        <w:t>7.2 Definition sheet required before coding</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1800"/>
            <w:shd w:fill="17324D"/>
            <w:vAlign w:val="center"/>
            <w:tcMar>
              <w:top w:w="80" w:type="dxa"/>
              <w:start w:w="90" w:type="dxa"/>
              <w:bottom w:w="80" w:type="dxa"/>
              <w:end w:w="90" w:type="dxa"/>
            </w:tcMar>
          </w:tcPr>
          <w:p>
            <w:pPr>
              <w:jc w:val="left"/>
            </w:pPr>
            <w:r>
              <w:rPr>
                <w:rFonts w:ascii="Liberation Sans" w:hAnsi="Liberation Sans"/>
                <w:b/>
                <w:color w:val="FFFFFF"/>
                <w:sz w:val="17"/>
              </w:rPr>
              <w:t>Field</w:t>
            </w:r>
          </w:p>
        </w:tc>
        <w:tc>
          <w:tcPr>
            <w:tcW w:type="dxa" w:w="7992"/>
            <w:shd w:fill="17324D"/>
            <w:vAlign w:val="center"/>
            <w:tcMar>
              <w:top w:w="80" w:type="dxa"/>
              <w:start w:w="90" w:type="dxa"/>
              <w:bottom w:w="80" w:type="dxa"/>
              <w:end w:w="90" w:type="dxa"/>
            </w:tcMar>
          </w:tcPr>
          <w:p>
            <w:pPr>
              <w:jc w:val="left"/>
            </w:pPr>
            <w:r>
              <w:rPr>
                <w:rFonts w:ascii="Liberation Sans" w:hAnsi="Liberation Sans"/>
                <w:b/>
                <w:color w:val="FFFFFF"/>
                <w:sz w:val="17"/>
              </w:rPr>
              <w:t>Required content</w:t>
            </w:r>
          </w:p>
        </w:tc>
      </w:tr>
      <w:tr>
        <w:tc>
          <w:tcPr>
            <w:tcW w:type="dxa" w:w="180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Series key</w:t>
            </w:r>
          </w:p>
        </w:tc>
        <w:tc>
          <w:tcPr>
            <w:tcW w:type="dxa" w:w="7992"/>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Stable snake_case identifier used in JSON and frontend configuration.</w:t>
            </w:r>
          </w:p>
        </w:tc>
      </w:tr>
      <w:tr>
        <w:tc>
          <w:tcPr>
            <w:tcW w:type="dxa" w:w="180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Definition</w:t>
            </w:r>
          </w:p>
        </w:tc>
        <w:tc>
          <w:tcPr>
            <w:tcW w:type="dxa" w:w="7992"/>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Exact economic concept, population or institutional perimeter and sign convention.</w:t>
            </w:r>
          </w:p>
        </w:tc>
      </w:tr>
      <w:tr>
        <w:tc>
          <w:tcPr>
            <w:tcW w:type="dxa" w:w="180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Unit</w:t>
            </w:r>
          </w:p>
        </w:tc>
        <w:tc>
          <w:tcPr>
            <w:tcW w:type="dxa" w:w="7992"/>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Percentage points, decimal return, index, INR crore, USD, months, count per capita, etc.</w:t>
            </w:r>
          </w:p>
        </w:tc>
      </w:tr>
      <w:tr>
        <w:tc>
          <w:tcPr>
            <w:tcW w:type="dxa" w:w="180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Frequency</w:t>
            </w:r>
          </w:p>
        </w:tc>
        <w:tc>
          <w:tcPr>
            <w:tcW w:type="dxa" w:w="7992"/>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Daily, monthly, quarterly, annual or fiscal year.</w:t>
            </w:r>
          </w:p>
        </w:tc>
      </w:tr>
      <w:tr>
        <w:tc>
          <w:tcPr>
            <w:tcW w:type="dxa" w:w="180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Source and field</w:t>
            </w:r>
          </w:p>
        </w:tc>
        <w:tc>
          <w:tcPr>
            <w:tcW w:type="dxa" w:w="7992"/>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Provider, table/report and exact source column.</w:t>
            </w:r>
          </w:p>
        </w:tc>
      </w:tr>
      <w:tr>
        <w:tc>
          <w:tcPr>
            <w:tcW w:type="dxa" w:w="180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Transformation</w:t>
            </w:r>
          </w:p>
        </w:tc>
        <w:tc>
          <w:tcPr>
            <w:tcW w:type="dxa" w:w="7992"/>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Formula, denominator, rolling window, lag and treatment of missing observations.</w:t>
            </w:r>
          </w:p>
        </w:tc>
      </w:tr>
      <w:tr>
        <w:tc>
          <w:tcPr>
            <w:tcW w:type="dxa" w:w="1800"/>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Status</w:t>
            </w:r>
          </w:p>
        </w:tc>
        <w:tc>
          <w:tcPr>
            <w:tcW w:type="dxa" w:w="7992"/>
            <w:shd w:fill="F8FAFC"/>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Actual, provisional, revised, estimate or budget.</w:t>
            </w:r>
          </w:p>
        </w:tc>
      </w:tr>
      <w:tr>
        <w:tc>
          <w:tcPr>
            <w:tcW w:type="dxa" w:w="1800"/>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Known limitation</w:t>
            </w:r>
          </w:p>
        </w:tc>
        <w:tc>
          <w:tcPr>
            <w:tcW w:type="dxa" w:w="7992"/>
            <w:vAlign w:val="top"/>
            <w:tcMar>
              <w:top w:w="75" w:type="dxa"/>
              <w:start w:w="90" w:type="dxa"/>
              <w:bottom w:w="75" w:type="dxa"/>
              <w:end w:w="90" w:type="dxa"/>
            </w:tcMar>
            <w:tcBorders>
              <w:bottom w:val="single" w:sz="3" w:color="E2E8F0"/>
            </w:tcBorders>
          </w:tcPr>
          <w:p>
            <w:pPr>
              <w:spacing w:after="0"/>
            </w:pPr>
            <w:r>
              <w:rPr>
                <w:rFonts w:ascii="Liberation Sans" w:hAnsi="Liberation Sans"/>
                <w:color w:val="1F2937"/>
                <w:sz w:val="17"/>
              </w:rPr>
              <w:t>The strongest reason the series may be misinterpreted.</w:t>
            </w:r>
          </w:p>
        </w:tc>
      </w:tr>
    </w:tbl>
    <w:p>
      <w:pPr>
        <w:spacing w:after="20"/>
      </w:pPr>
    </w:p>
    <w:p>
      <w:pPr>
        <w:pStyle w:val="Heading1"/>
        <w:keepNext/>
        <w:spacing w:before="200" w:after="100"/>
      </w:pPr>
      <w:r>
        <w:rPr>
          <w:rFonts w:ascii="Liberation Sans" w:hAnsi="Liberation Sans"/>
          <w:b/>
          <w:color w:val="17324D"/>
          <w:sz w:val="40"/>
        </w:rPr>
        <w:t>8. Analytical and engineering guardrails</w:t>
      </w:r>
    </w:p>
    <w:p>
      <w:pPr>
        <w:pStyle w:val="Heading2"/>
        <w:keepNext/>
        <w:spacing w:before="140" w:after="100"/>
      </w:pPr>
      <w:r>
        <w:rPr>
          <w:rFonts w:ascii="Liberation Sans" w:hAnsi="Liberation Sans"/>
          <w:b/>
          <w:color w:val="0F766E"/>
          <w:sz w:val="30"/>
        </w:rPr>
        <w:t>8.1 Analytical guardrails</w:t>
      </w:r>
    </w:p>
    <w:p>
      <w:pPr>
        <w:pStyle w:val="ListBullet"/>
        <w:spacing w:before="0" w:after="60" w:line="245" w:lineRule="auto"/>
        <w:ind w:left="403" w:hanging="245"/>
      </w:pPr>
      <w:r>
        <w:rPr>
          <w:rFonts w:ascii="Liberation Sans" w:hAnsi="Liberation Sans"/>
          <w:color w:val="1F2937"/>
          <w:sz w:val="20"/>
        </w:rPr>
        <w:t>One primary question per section and one primary chart per question.</w:t>
      </w:r>
    </w:p>
    <w:p>
      <w:pPr>
        <w:pStyle w:val="ListBullet"/>
        <w:spacing w:before="0" w:after="60" w:line="245" w:lineRule="auto"/>
        <w:ind w:left="403" w:hanging="245"/>
      </w:pPr>
      <w:r>
        <w:rPr>
          <w:rFonts w:ascii="Liberation Sans" w:hAnsi="Liberation Sans"/>
          <w:color w:val="1F2937"/>
          <w:sz w:val="20"/>
        </w:rPr>
        <w:t>No more than three visible series by default; secondary measures sit behind toggles.</w:t>
      </w:r>
    </w:p>
    <w:p>
      <w:pPr>
        <w:pStyle w:val="ListBullet"/>
        <w:spacing w:before="0" w:after="60" w:line="245" w:lineRule="auto"/>
        <w:ind w:left="403" w:hanging="245"/>
      </w:pPr>
      <w:r>
        <w:rPr>
          <w:rFonts w:ascii="Liberation Sans" w:hAnsi="Liberation Sans"/>
          <w:color w:val="1F2937"/>
          <w:sz w:val="20"/>
        </w:rPr>
        <w:t>Do not claim causation from coincident trends. Use language such as “consistent with”, “associated with” and “suggests”.</w:t>
      </w:r>
    </w:p>
    <w:p>
      <w:pPr>
        <w:pStyle w:val="ListBullet"/>
        <w:spacing w:before="0" w:after="60" w:line="245" w:lineRule="auto"/>
        <w:ind w:left="403" w:hanging="245"/>
      </w:pPr>
      <w:r>
        <w:rPr>
          <w:rFonts w:ascii="Liberation Sans" w:hAnsi="Liberation Sans"/>
          <w:color w:val="1F2937"/>
          <w:sz w:val="20"/>
        </w:rPr>
        <w:t>Keep estimates, revised figures and actual observations visibly distinct.</w:t>
      </w:r>
    </w:p>
    <w:p>
      <w:pPr>
        <w:pStyle w:val="ListBullet"/>
        <w:spacing w:before="0" w:after="60" w:line="245" w:lineRule="auto"/>
        <w:ind w:left="403" w:hanging="245"/>
      </w:pPr>
      <w:r>
        <w:rPr>
          <w:rFonts w:ascii="Liberation Sans" w:hAnsi="Liberation Sans"/>
          <w:color w:val="1F2937"/>
          <w:sz w:val="20"/>
        </w:rPr>
        <w:t>Predefine event windows before examining DII/FPI outcomes to reduce cherry-picking.</w:t>
      </w:r>
    </w:p>
    <w:p>
      <w:pPr>
        <w:pStyle w:val="ListBullet"/>
        <w:spacing w:before="0" w:after="60" w:line="245" w:lineRule="auto"/>
        <w:ind w:left="403" w:hanging="245"/>
      </w:pPr>
      <w:r>
        <w:rPr>
          <w:rFonts w:ascii="Liberation Sans" w:hAnsi="Liberation Sans"/>
          <w:color w:val="1F2937"/>
          <w:sz w:val="20"/>
        </w:rPr>
        <w:t>Normalise large nominal series by population, GDP, total spending, revenue or market capitalisation where appropriate.</w:t>
      </w:r>
    </w:p>
    <w:p>
      <w:pPr>
        <w:pStyle w:val="ListBullet"/>
        <w:spacing w:before="0" w:after="60" w:line="245" w:lineRule="auto"/>
        <w:ind w:left="403" w:hanging="245"/>
      </w:pPr>
      <w:r>
        <w:rPr>
          <w:rFonts w:ascii="Liberation Sans" w:hAnsi="Liberation Sans"/>
          <w:color w:val="1F2937"/>
          <w:sz w:val="20"/>
        </w:rPr>
        <w:t>Every section must state its strongest caveat and any methodology break.</w:t>
      </w:r>
    </w:p>
    <w:p>
      <w:pPr>
        <w:pStyle w:val="Heading2"/>
        <w:keepNext/>
        <w:spacing w:before="140" w:after="100"/>
      </w:pPr>
      <w:r>
        <w:rPr>
          <w:rFonts w:ascii="Liberation Sans" w:hAnsi="Liberation Sans"/>
          <w:b/>
          <w:color w:val="0F766E"/>
          <w:sz w:val="30"/>
        </w:rPr>
        <w:t>8.2 Engineering guardrails</w:t>
      </w:r>
    </w:p>
    <w:p>
      <w:pPr>
        <w:pStyle w:val="ListBullet"/>
        <w:spacing w:before="0" w:after="60" w:line="245" w:lineRule="auto"/>
        <w:ind w:left="403" w:hanging="245"/>
      </w:pPr>
      <w:r>
        <w:rPr>
          <w:rFonts w:ascii="Liberation Sans" w:hAnsi="Liberation Sans"/>
          <w:color w:val="1F2937"/>
          <w:sz w:val="20"/>
        </w:rPr>
        <w:t>Extractors must never write directly into public/data.</w:t>
      </w:r>
    </w:p>
    <w:p>
      <w:pPr>
        <w:pStyle w:val="ListBullet"/>
        <w:spacing w:before="0" w:after="60" w:line="245" w:lineRule="auto"/>
        <w:ind w:left="403" w:hanging="245"/>
      </w:pPr>
      <w:r>
        <w:rPr>
          <w:rFonts w:ascii="Liberation Sans" w:hAnsi="Liberation Sans"/>
          <w:color w:val="1F2937"/>
          <w:sz w:val="20"/>
        </w:rPr>
        <w:t>All derived fields carry is_derived=true and a methodology description.</w:t>
      </w:r>
    </w:p>
    <w:p>
      <w:pPr>
        <w:pStyle w:val="ListBullet"/>
        <w:spacing w:before="0" w:after="60" w:line="245" w:lineRule="auto"/>
        <w:ind w:left="403" w:hanging="245"/>
      </w:pPr>
      <w:r>
        <w:rPr>
          <w:rFonts w:ascii="Liberation Sans" w:hAnsi="Liberation Sans"/>
          <w:color w:val="1F2937"/>
          <w:sz w:val="20"/>
        </w:rPr>
        <w:t>Reject NaN and infinite values before JSON serialisation.</w:t>
      </w:r>
    </w:p>
    <w:p>
      <w:pPr>
        <w:pStyle w:val="ListBullet"/>
        <w:spacing w:before="0" w:after="60" w:line="245" w:lineRule="auto"/>
        <w:ind w:left="403" w:hanging="245"/>
      </w:pPr>
      <w:r>
        <w:rPr>
          <w:rFonts w:ascii="Liberation Sans" w:hAnsi="Liberation Sans"/>
          <w:color w:val="1F2937"/>
          <w:sz w:val="20"/>
        </w:rPr>
        <w:t>Use atomic writes and promote only files that pass both quality and schema validation.</w:t>
      </w:r>
    </w:p>
    <w:p>
      <w:pPr>
        <w:pStyle w:val="ListBullet"/>
        <w:spacing w:before="0" w:after="60" w:line="245" w:lineRule="auto"/>
        <w:ind w:left="403" w:hanging="245"/>
      </w:pPr>
      <w:r>
        <w:rPr>
          <w:rFonts w:ascii="Liberation Sans" w:hAnsi="Liberation Sans"/>
          <w:color w:val="1F2937"/>
          <w:sz w:val="20"/>
        </w:rPr>
        <w:t>Run build-time checks that every catalogue path exists and every data file matches its declared schema.</w:t>
      </w:r>
    </w:p>
    <w:p>
      <w:pPr>
        <w:pStyle w:val="ListBullet"/>
        <w:spacing w:before="0" w:after="60" w:line="245" w:lineRule="auto"/>
        <w:ind w:left="403" w:hanging="245"/>
      </w:pPr>
      <w:r>
        <w:rPr>
          <w:rFonts w:ascii="Liberation Sans" w:hAnsi="Liberation Sans"/>
          <w:color w:val="1F2937"/>
          <w:sz w:val="20"/>
        </w:rPr>
        <w:t>Preserve null observations as gaps; never silently convert missing data to zero.</w:t>
      </w:r>
    </w:p>
    <w:p>
      <w:pPr>
        <w:pStyle w:val="ListBullet"/>
        <w:spacing w:before="0" w:after="60" w:line="245" w:lineRule="auto"/>
        <w:ind w:left="403" w:hanging="245"/>
      </w:pPr>
      <w:r>
        <w:rPr>
          <w:rFonts w:ascii="Liberation Sans" w:hAnsi="Liberation Sans"/>
          <w:color w:val="1F2937"/>
          <w:sz w:val="20"/>
        </w:rPr>
        <w:t>Version or cache-bust static assets when a pipeline publishes a new data vintage.</w:t>
      </w:r>
    </w:p>
    <w:p>
      <w:r>
        <w:br w:type="page"/>
      </w:r>
    </w:p>
    <w:p>
      <w:pPr>
        <w:pStyle w:val="Heading1"/>
        <w:keepNext/>
        <w:spacing w:before="200" w:after="100"/>
      </w:pPr>
      <w:r>
        <w:rPr>
          <w:rFonts w:ascii="Liberation Sans" w:hAnsi="Liberation Sans"/>
          <w:b/>
          <w:color w:val="17324D"/>
          <w:sz w:val="40"/>
        </w:rPr>
        <w:t>9. Final scope decision</w:t>
      </w:r>
    </w:p>
    <w:p>
      <w:pPr>
        <w:spacing w:before="0" w:after="120" w:line="259" w:lineRule="auto"/>
      </w:pPr>
      <w:r>
        <w:rPr>
          <w:rFonts w:ascii="Liberation Sans" w:hAnsi="Liberation Sans"/>
          <w:i w:val="0"/>
          <w:color w:val="1F2937"/>
          <w:sz w:val="21"/>
        </w:rPr>
        <w:t>The final project should consist of seven connected sections: digital integration, government investment, private investment, fiscal capacity, external competitiveness, human-capital conversion and domestic capital resilience. This is broad enough to test a meaningful thesis but narrow enough to support close analysis.</w:t>
      </w:r>
    </w:p>
    <w:tbl>
      <w:tblPr>
        <w:tblW w:type="auto" w:w="0"/>
        <w:jc w:val="center"/>
        <w:tblLayout w:type="fixed"/>
        <w:tblLook w:firstColumn="1" w:firstRow="1" w:lastColumn="0" w:lastRow="0" w:noHBand="0" w:noVBand="1" w:val="04A0"/>
      </w:tblPr>
      <w:tblGrid>
        <w:gridCol w:w="173"/>
        <w:gridCol w:w="9432"/>
      </w:tblGrid>
      <w:tr>
        <w:tc>
          <w:tcPr>
            <w:tcW w:type="dxa" w:w="4917"/>
            <w:shd w:fill="D97706"/>
            <w:tcMar>
              <w:top w:w="40" w:type="dxa"/>
              <w:start w:w="20" w:type="dxa"/>
              <w:bottom w:w="40" w:type="dxa"/>
              <w:end w:w="20" w:type="dxa"/>
            </w:tcMar>
            <w:tcBorders>
              <w:top w:val="nil"/>
              <w:left w:val="nil"/>
              <w:bottom w:val="nil"/>
              <w:right w:val="nil"/>
            </w:tcBorders>
          </w:tcPr>
          <w:p/>
        </w:tc>
        <w:tc>
          <w:tcPr>
            <w:tcW w:type="dxa" w:w="4917"/>
            <w:shd w:fill="FFF4E5"/>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D97706"/>
                <w:sz w:val="21"/>
              </w:rPr>
              <w:t>Recommended stopping point</w:t>
            </w:r>
          </w:p>
          <w:p>
            <w:pPr>
              <w:spacing w:after="0"/>
            </w:pPr>
            <w:r>
              <w:rPr>
                <w:rFonts w:ascii="Liberation Sans" w:hAnsi="Liberation Sans"/>
                <w:color w:val="1F2937"/>
                <w:sz w:val="20"/>
              </w:rPr>
              <w:t>Do not add new core topics unless one of the seven research questions cannot be answered. Household financialisation and infrastructure utilisation can remain optional supporting extensions rather than new sections.</w:t>
            </w:r>
          </w:p>
        </w:tc>
      </w:tr>
    </w:tbl>
    <w:p>
      <w:pPr>
        <w:spacing w:after="20"/>
      </w:pPr>
    </w:p>
    <w:p>
      <w:pPr>
        <w:spacing w:before="0" w:after="120" w:line="259" w:lineRule="auto"/>
      </w:pPr>
      <w:r>
        <w:rPr>
          <w:rFonts w:ascii="Liberation Sans" w:hAnsi="Liberation Sans"/>
          <w:i w:val="0"/>
          <w:color w:val="1F2937"/>
          <w:sz w:val="21"/>
        </w:rPr>
        <w:t>The strongest overall conclusion will compare the evidence across mechanisms rather than score each chart independently. A plausible finding may be that India has developed strong digital and domestic financial infrastructure, while private-investment crowding-in, fiscal space, external competitiveness or employment conversion remain the binding tests of whether that progress becomes sustained productivity growth.</w:t>
      </w:r>
    </w:p>
    <w:tbl>
      <w:tblPr>
        <w:tblW w:type="auto" w:w="0"/>
        <w:jc w:val="center"/>
        <w:tblLayout w:type="fixed"/>
        <w:tblLook w:firstColumn="1" w:firstRow="1" w:lastColumn="0" w:lastRow="0" w:noHBand="0" w:noVBand="1" w:val="04A0"/>
      </w:tblPr>
      <w:tblGrid>
        <w:gridCol w:w="173"/>
        <w:gridCol w:w="9432"/>
      </w:tblGrid>
      <w:tr>
        <w:tc>
          <w:tcPr>
            <w:tcW w:type="dxa" w:w="4917"/>
            <w:shd w:fill="0F766E"/>
            <w:tcMar>
              <w:top w:w="40" w:type="dxa"/>
              <w:start w:w="20" w:type="dxa"/>
              <w:bottom w:w="40" w:type="dxa"/>
              <w:end w:w="20" w:type="dxa"/>
            </w:tcMar>
            <w:tcBorders>
              <w:top w:val="nil"/>
              <w:left w:val="nil"/>
              <w:bottom w:val="nil"/>
              <w:right w:val="nil"/>
            </w:tcBorders>
          </w:tcPr>
          <w:p/>
        </w:tc>
        <w:tc>
          <w:tcPr>
            <w:tcW w:type="dxa" w:w="4917"/>
            <w:shd w:fill="E8F5F2"/>
            <w:tcMar>
              <w:top w:w="110" w:type="dxa"/>
              <w:start w:w="130" w:type="dxa"/>
              <w:bottom w:w="110" w:type="dxa"/>
              <w:end w:w="130" w:type="dxa"/>
            </w:tcMar>
            <w:tcBorders>
              <w:top w:val="nil"/>
              <w:left w:val="nil"/>
              <w:bottom w:val="nil"/>
              <w:right w:val="nil"/>
            </w:tcBorders>
          </w:tcPr>
          <w:p>
            <w:pPr>
              <w:spacing w:after="40"/>
            </w:pPr>
            <w:r>
              <w:rPr>
                <w:rFonts w:ascii="Liberation Sans" w:hAnsi="Liberation Sans"/>
                <w:b/>
                <w:color w:val="0F766E"/>
                <w:sz w:val="21"/>
              </w:rPr>
              <w:t>Immediate next action</w:t>
            </w:r>
          </w:p>
          <w:p>
            <w:pPr>
              <w:spacing w:after="0"/>
            </w:pPr>
            <w:r>
              <w:rPr>
                <w:rFonts w:ascii="Liberation Sans" w:hAnsi="Liberation Sans"/>
                <w:color w:val="1F2937"/>
                <w:sz w:val="20"/>
              </w:rPr>
              <w:t>Complete the definition sheet and source-feasibility sample for each of the seven sections before building further frontend components. This is the point at which scope should be frozen.</w:t>
            </w:r>
          </w:p>
        </w:tc>
      </w:tr>
    </w:tbl>
    <w:p>
      <w:pPr>
        <w:spacing w:after="20"/>
      </w:pPr>
    </w:p>
    <w:sectPr w:rsidR="00FC693F" w:rsidRPr="0006063C" w:rsidSect="00034616">
      <w:headerReference w:type="default" r:id="rId9"/>
      <w:footerReference w:type="default" r:id="rId10"/>
      <w:pgSz w:w="11909" w:h="16834"/>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75569"/>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E1"/>
      </w:pBdr>
    </w:pPr>
    <w:r>
      <w:rPr>
        <w:rFonts w:ascii="Liberation Sans" w:hAnsi="Liberation Sans"/>
        <w:color w:val="475569"/>
        <w:sz w:val="16"/>
      </w:rPr>
      <w:t>India Structural Growth &amp; Resilience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