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</w:pPr>
      <w:r>
        <w:rPr>
          <w:rFonts w:ascii="Arial" w:hAnsi="Arial"/>
          <w:b/>
          <w:color w:val="183153"/>
          <w:sz w:val="50"/>
        </w:rPr>
        <w:t>India Growth Dashboard: Indicator Catalogue</w:t>
      </w:r>
    </w:p>
    <w:p>
      <w:pPr>
        <w:spacing w:after="280"/>
      </w:pPr>
      <w:r>
        <w:rPr>
          <w:rFonts w:ascii="Arial" w:hAnsi="Arial"/>
          <w:color w:val="4B5563"/>
          <w:sz w:val="21"/>
        </w:rPr>
        <w:t>Scope, rationale, authoritative sources, source-specific scripts and expected JSON output contracts</w:t>
      </w:r>
    </w:p>
    <w:p>
      <w:pPr>
        <w:spacing w:after="120"/>
      </w:pPr>
      <w:r>
        <w:rPr>
          <w:rFonts w:ascii="Arial" w:hAnsi="Arial"/>
          <w:b/>
          <w:color w:val="183153"/>
          <w:sz w:val="17"/>
        </w:rPr>
        <w:t xml:space="preserve">Design decision: </w:t>
      </w:r>
      <w:r>
        <w:rPr>
          <w:rFonts w:ascii="Arial" w:hAnsi="Arial"/>
          <w:color w:val="1F2937"/>
          <w:sz w:val="17"/>
        </w:rPr>
        <w:t>Keep extraction source-specific; share normalisation, transformations, validation and export after raw ingestion.</w:t>
      </w:r>
    </w:p>
    <w:p>
      <w:pPr>
        <w:pStyle w:val="Heading2"/>
        <w:spacing w:before="140" w:after="80"/>
        <w:keepNext/>
      </w:pPr>
      <w:r>
        <w:rPr>
          <w:rFonts w:ascii="Arial" w:hAnsi="Arial"/>
          <w:b/>
          <w:color w:val="183153"/>
          <w:sz w:val="25"/>
        </w:rPr>
        <w:t>Equities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1814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type="dxa" w:w="4082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Summary / justification</w:t>
            </w:r>
          </w:p>
        </w:tc>
        <w:tc>
          <w:tcPr>
            <w:tcW w:type="dxa" w:w="300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source(s)</w:t>
            </w:r>
          </w:p>
        </w:tc>
        <w:tc>
          <w:tcPr>
            <w:tcW w:type="dxa" w:w="2268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83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output format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India vs. global equity-index performance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Compares Indian equity growth and risk against global benchmarks. Use a fixed core bundle: normalised performance, total return, CAGR, annualised volatility, Sharpe ratio, maximum drawdown and rolling correlation.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Yahoo Finance through yfinance [S2].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scripts/build_yfinance_markets.py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transforms/market_stats.py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market_performance.schema.json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Daily or weekly market series plus scalar summary statistics.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Index P/E vs. 10-year rolling average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Shows whether an index is trading above or below its own long-run valuation range. Publish P/E, rolling 10-year average and percentage premium/discount; do not treat the average as intrinsic fair value.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Nifty Indices historical P/E [S3]. Global indices only where a dependable licensed/free source is available.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scripts/build_nifty_valuations.py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transforms/rolling_metrics.py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Monthly lines: pe_ratio, pe_10y_average, premium_discount_pct.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Implied index earnings growth (YoY)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Tracks underlying index earnings rather than price alone. Derive implied trailing earnings as index level divided by P/E, then calculate 12-month growth. Clearly label the series as derived.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Nifty Indices P/E [S3] + yfinance index levels [S2].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scripts/build_nifty_valuations.py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transforms/implied_earnings.py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Monthly lines: implied_eps and implied_eps_yoy_pct.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DII vs. FII/FPI net equity flows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Measures whether domestic institutions are offsetting foreign selling or reinforcing foreign buying. Prefer monthly net flows and rolling 3- and 12-month totals over a noisy daily headline.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NSE FII/FPI and DII trading activity CSV [S4].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scripts/build_nse_institutional_flows.py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transforms/flow_aggregation.py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Monthly lines: dii_net_flow, fpi_net_flow, optional domestic_offset_ratio.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Arial" w:hAnsi="Arial"/>
          <w:b/>
          <w:color w:val="183153"/>
          <w:sz w:val="25"/>
        </w:rPr>
        <w:t>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1814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type="dxa" w:w="4082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Summary / justification</w:t>
            </w:r>
          </w:p>
        </w:tc>
        <w:tc>
          <w:tcPr>
            <w:tcW w:type="dxa" w:w="300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source(s)</w:t>
            </w:r>
          </w:p>
        </w:tc>
        <w:tc>
          <w:tcPr>
            <w:tcW w:type="dxa" w:w="2268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83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output format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Real Effective Exchange Rate (REER)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Tracks changes in India’s external price competitiveness. Compare the index with its historical range; avoid claiming that a single level proves fundamental overvaluation or undervaluation.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indicator PX.REX.REER [S1, S12]; RBI can be an India-only higher-frequency alternative [S5].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India-versus-peer index values; derived long-run deviation may be a separate file.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Foreign-exchange reserves and import cover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Measures the RBI’s external liquidity buffer. Absolute reserves should be paired with months of import cover so the measure scales with the economy and import bill.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RBI DBIE reserves [S5] + merchandise imports from RBI/MoSPI or World Bank [S1].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scripts/build_rbi_series.py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transforms/import_cover.py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Monthly lines: fx_reserves_usd and import_cover_months.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Arial" w:hAnsi="Arial"/>
          <w:b/>
          <w:color w:val="183153"/>
          <w:sz w:val="25"/>
        </w:rPr>
        <w:t>Macro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1814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type="dxa" w:w="4082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Summary / justification</w:t>
            </w:r>
          </w:p>
        </w:tc>
        <w:tc>
          <w:tcPr>
            <w:tcW w:type="dxa" w:w="300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source(s)</w:t>
            </w:r>
          </w:p>
        </w:tc>
        <w:tc>
          <w:tcPr>
            <w:tcW w:type="dxa" w:w="2268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83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output format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Real, nominal and real per-capita GDP growth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Separates real output growth from price effects and population growth. Real per-capita growth is the cleanest addition for assessing whether output is rising faster than population.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MoSPI National Accounts [S6]; World Bank [S1] for consistent peer-country annual comparisons.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scripts/build_mospi_national_accounts.py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peer view: scripts/build_world_bank_series.py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or quarterly lines: real_gdp_growth, nominal_gdp_growth, real_gdp_per_capita_growth.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Fiscal deficit and current-account deficit (% GDP)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The twin-deficit view highlights domestic public-sector funding pressure and reliance on external financing. Keep sign conventions consistent and state whether deficits are shown as negative values or positive magnitudes.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Fiscal deficit: Union Budget/CGA/RBI [S5, S9]. Current account: RBI DBIE balance of payments [S5]. GDP denominator: MoSPI [S6].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scripts/build_rbi_series.py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transforms/twin_deficits.py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Quarterly/annual lines: fiscal_deficit_pct_gdp and current_account_balance_pct_gdp.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Central government CapEx (% total expenditure)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Shows whether spending is shifting toward asset creation rather than only current expenditure. Preserve Actual, Revised Estimate and Budget Estimate status instead of silently mixing them.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Union Budget Expenditure Profile Excel/PDF [S9].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scripts/build_union_budget_capex.py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line with status field: actual, revised or budget.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Headline vs. core CPI inflation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Separates broad consumer inflation from a fixed exclusion measure less affected by volatile food and fuel prices. Use one documented definition throughout, preferably CPI excluding food and fuel.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MoSPI CPI components and weights [S8]; RBI publications/DBIE [S5] where a ready-made core series is available.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scripts/build_mospi_cpi.py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transforms/core_inflation.py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Monthly lines: headline_cpi_yoy and core_cpi_yoy.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Non-food credit growth vs. nominal GDP growth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Tests whether bank credit is expanding broadly in line with the nominal economy. The spread between the two growth rates is often easier to interpret than two unlabelled levels.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RBI DBIE non-food bank credit [S5] + MoSPI nominal GDP [S6].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scripts/build_rbi_series.py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transforms/credit_growth_gap.py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Quarterly lines: non_food_credit_yoy, nominal_gdp_yoy, credit_growth_gap.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Central government debt (% GDP)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Provides a consistent sovereign-debt sustainability measure. Keep the coverage definition explicit: central government debt is not the same as general government debt.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[S1] for comparable series; RBI/Union Budget [S5, S9] for detailed India-only coverage.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percentage-of-GDP series.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Arial" w:hAnsi="Arial"/>
          <w:b/>
          <w:color w:val="183153"/>
          <w:sz w:val="25"/>
        </w:rPr>
        <w:t>Workforce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1814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type="dxa" w:w="4082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Summary / justification</w:t>
            </w:r>
          </w:p>
        </w:tc>
        <w:tc>
          <w:tcPr>
            <w:tcW w:type="dxa" w:w="300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source(s)</w:t>
            </w:r>
          </w:p>
        </w:tc>
        <w:tc>
          <w:tcPr>
            <w:tcW w:type="dxa" w:w="2268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83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output format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Labour Force Participation Rate (LFPR)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Measures the share of the working-age population that is employed or actively seeking work. Use a fixed age threshold and labour-status definition across countries.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Indicators API [S1]; PLFS [S7] for more detailed India breakdowns.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India and peer-country percentages.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Female-to-male LFPR ratio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Highlights the gender gap in economic participation. Derive the ratio from male and female LFPR series so the methodology remains transparent.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male and female LFPR indicators [S1].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transforms/ratios.py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derived ratio or percentage.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Working-age population share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Tracks the size of the population in its main productive years and the potential demographic dividend. It is a capacity measure, not proof that suitable jobs exist.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Indicators API [S1].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percentage of total population.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Youth unemployment rate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Measures the difficulty young labour-market entrants face in finding work. Use a consistent youth age band and unemployment definition across peers.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Indicators API [S1]; PLFS [S7] for India-specific detail.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India and peer-country percentages.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Non-agricultural employment share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Measures structural movement away from low-productivity agriculture. This should be labelled as a share, not employment growth, unless actual worker counts by industry are obtained from PLFS.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employment in agriculture [S1], derived as 100 minus agricultural employment share; PLFS [S7] for detailed counts.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transforms/complements.py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derived percentage.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Arial" w:hAnsi="Arial"/>
          <w:b/>
          <w:color w:val="183153"/>
          <w:sz w:val="25"/>
        </w:rPr>
        <w:t>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1814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type="dxa" w:w="4082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Summary / justification</w:t>
            </w:r>
          </w:p>
        </w:tc>
        <w:tc>
          <w:tcPr>
            <w:tcW w:type="dxa" w:w="300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source(s)</w:t>
            </w:r>
          </w:p>
        </w:tc>
        <w:tc>
          <w:tcPr>
            <w:tcW w:type="dxa" w:w="2268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83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output format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Tertiary Gross Enrolment Ratio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Measures participation in higher education among the relevant age cohort and indicates the future skilled-worker pipeline. Use 'tertiary' rather than 'higher education school enrolment'.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[S1] for international comparisons; AISHE reports and Excel time series [S10] for India detail.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scripts/build_aishe_series.py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peer view: scripts/build_world_bank_series.py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GER percentage; source-specific files should not be silently spliced.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Graduate-and-above unemployment rate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 more reproducible employment-outcome measure than proprietary graduate employability scores. It directly tests whether higher educational attainment converts into work.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MoSPI PLFS annual tables or microdata [S7].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scripts/build_mospi_plfs.py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India series; peers may be empty unless a comparable source is added.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Arial" w:hAnsi="Arial"/>
          <w:b/>
          <w:color w:val="183153"/>
          <w:sz w:val="25"/>
        </w:rPr>
        <w:t>Trade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1814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type="dxa" w:w="4082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Summary / justification</w:t>
            </w:r>
          </w:p>
        </w:tc>
        <w:tc>
          <w:tcPr>
            <w:tcW w:type="dxa" w:w="300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source(s)</w:t>
            </w:r>
          </w:p>
        </w:tc>
        <w:tc>
          <w:tcPr>
            <w:tcW w:type="dxa" w:w="2268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83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output format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Services share of services-plus-merchandise exports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Shows whether export growth is being driven more by services or goods. A derived share is easier to compare over time than two large current-dollar series.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services exports and merchandise exports [S1].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transforms/export_mix.py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derived percentage.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Medium- and high-technology exports (% manufactured exports)</w:t>
            </w:r>
          </w:p>
        </w:tc>
        <w:tc>
          <w:tcPr>
            <w:tcW w:type="dxa" w:w="408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Tracks movement toward more sophisticated manufacturing rather than low-value assembly. Keep the exact World Bank classification and denominator in metadata.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Indicators API [S1].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percentage of manufactured exports.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FDI net inflows (% GDP)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Measures long-term foreign corporate commitment while scaling flows to the size of the economy. Current-US-dollar FDI can remain a secondary series.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World Bank Indicators API [S1]; RBI can provide detailed India-only balance-of-payments context [S5].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scripts/build_world_bank_series.py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annual_country_series.schema.json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Annual India and peer-country percentage-of-GDP series.</w:t>
            </w:r>
          </w:p>
        </w:tc>
      </w:tr>
    </w:tbl>
    <w:p>
      <w:pPr>
        <w:spacing w:after="20"/>
      </w:pPr>
    </w:p>
    <w:p>
      <w:pPr>
        <w:pStyle w:val="Heading2"/>
        <w:spacing w:before="140" w:after="80"/>
        <w:keepNext/>
      </w:pPr>
      <w:r>
        <w:rPr>
          <w:rFonts w:ascii="Arial" w:hAnsi="Arial"/>
          <w:b/>
          <w:color w:val="183153"/>
          <w:sz w:val="25"/>
        </w:rPr>
        <w:t>Formalisation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1814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type="dxa" w:w="4082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Summary / justification</w:t>
            </w:r>
          </w:p>
        </w:tc>
        <w:tc>
          <w:tcPr>
            <w:tcW w:type="dxa" w:w="300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Data source(s)</w:t>
            </w:r>
          </w:p>
        </w:tc>
        <w:tc>
          <w:tcPr>
            <w:tcW w:type="dxa" w:w="2268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835"/>
            <w:shd w:fill="1831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output format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UPI transaction volume per capita and value (% GDP)</w:t>
            </w:r>
          </w:p>
        </w:tc>
        <w:tc>
          <w:tcPr>
            <w:tcW w:type="dxa" w:w="408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Tracks adoption of digital payments while controlling for population and economic scale. Raw transaction volume remains useful but should not be the only headline measure.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NPCI monthly UPI statistics [S11] + population and nominal GDP from World Bank/MoSPI [S1, S6].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5"/>
              </w:rPr>
              <w:t>scripts/build_npci_upi.py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shared: transforms/upi_normalisation.py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dated_multi_series.schema.json</w:t>
            </w:r>
            <w:r>
              <w:br/>
            </w:r>
            <w:r>
              <w:rPr>
                <w:rFonts w:ascii="Arial" w:hAnsi="Arial"/>
                <w:b w:val="0"/>
                <w:color w:val="1F2937"/>
                <w:sz w:val="15"/>
              </w:rPr>
              <w:t>Monthly lines: transactions_per_capita, transaction_value_pct_gdp and optional average_transaction_value.</w:t>
            </w:r>
          </w:p>
        </w:tc>
      </w:tr>
    </w:tbl>
    <w:p>
      <w:pPr>
        <w:spacing w:after="20"/>
      </w:pPr>
    </w:p>
    <w:p>
      <w:pPr>
        <w:pStyle w:val="Heading1"/>
      </w:pPr>
      <w:r>
        <w:t>Source reference key</w:t>
      </w:r>
    </w:p>
    <w:p>
      <w:r>
        <w:t>Official sources are preferred. yfinance is an open-source wrapper rather than an official exchange or index-provider feed, so retrieval failures and licensing constraints should be handled explicitly.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[S1] World Bank Indicators API - </w:t>
            </w:r>
            <w:hyperlink r:id="rId10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[S7] MoSPI Periodic Labour Force Survey - </w:t>
            </w:r>
            <w:hyperlink r:id="rId16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[S2] yfinance documentation - </w:t>
            </w:r>
            <w:hyperlink r:id="rId11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[S8] MoSPI CPI / e-Sankhyiki - </w:t>
            </w:r>
            <w:hyperlink r:id="rId17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[S3] Nifty Indices historical data - </w:t>
            </w:r>
            <w:hyperlink r:id="rId12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[S9] Union Budget Expenditure Profile - </w:t>
            </w:r>
            <w:hyperlink r:id="rId18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[S4] NSE FII/FPI and DII trading activity - </w:t>
            </w:r>
            <w:hyperlink r:id="rId13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[S10] AISHE final reports - </w:t>
            </w:r>
            <w:hyperlink r:id="rId19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[S5] RBI Statistics / DBIE - </w:t>
            </w:r>
            <w:hyperlink r:id="rId14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[S11] NPCI UPI product statistics - </w:t>
            </w:r>
            <w:hyperlink r:id="rId20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[S6] MoSPI National Accounts - </w:t>
            </w:r>
            <w:hyperlink r:id="rId15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  <w:tc>
          <w:tcPr>
            <w:tcW w:type="dxa" w:w="703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3153"/>
                <w:sz w:val="15"/>
              </w:rPr>
              <w:t xml:space="preserve">[S12] World Bank REER indicator - </w:t>
            </w:r>
            <w:hyperlink r:id="rId21">
              <w:r>
                <w:rPr>
                  <w:color w:val="2563EB"/>
                  <w:u w:val="single"/>
                </w:rPr>
                <w:t>Open source</w:t>
              </w:r>
            </w:hyperlink>
          </w:p>
        </w:tc>
      </w:tr>
    </w:tbl>
    <w:sectPr w:rsidR="00FC693F" w:rsidRPr="0006063C" w:rsidSect="00034616">
      <w:footerReference w:type="default" r:id="rId9"/>
      <w:pgSz w:w="15840" w:h="12240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India Growth Indicators Architecture Pack  |  16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1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atahelpdesk.worldbank.org/knowledgebase/articles/889392-about-the-indicators-api-documentation" TargetMode="External"/><Relationship Id="rId11" Type="http://schemas.openxmlformats.org/officeDocument/2006/relationships/hyperlink" Target="https://ranaroussi.github.io/yfinance/" TargetMode="External"/><Relationship Id="rId12" Type="http://schemas.openxmlformats.org/officeDocument/2006/relationships/hyperlink" Target="https://www.niftyindices.com/reports/historical-data" TargetMode="External"/><Relationship Id="rId13" Type="http://schemas.openxmlformats.org/officeDocument/2006/relationships/hyperlink" Target="https://www.nseindia.com/reports/fii-dii" TargetMode="External"/><Relationship Id="rId14" Type="http://schemas.openxmlformats.org/officeDocument/2006/relationships/hyperlink" Target="https://rbi.org.in/Scripts/Statistics.aspx" TargetMode="External"/><Relationship Id="rId15" Type="http://schemas.openxmlformats.org/officeDocument/2006/relationships/hyperlink" Target="https://www.mospi.gov.in/themes/product/6-gross-domestic-product" TargetMode="External"/><Relationship Id="rId16" Type="http://schemas.openxmlformats.org/officeDocument/2006/relationships/hyperlink" Target="https://www.mospi.gov.in/themes/product/69-periodic-labour-force-survey-plfs" TargetMode="External"/><Relationship Id="rId17" Type="http://schemas.openxmlformats.org/officeDocument/2006/relationships/hyperlink" Target="https://esankhyiki.mospi.gov.in/" TargetMode="External"/><Relationship Id="rId18" Type="http://schemas.openxmlformats.org/officeDocument/2006/relationships/hyperlink" Target="https://www.indiabudget.gov.in/budget_archive/vol1.asp" TargetMode="External"/><Relationship Id="rId19" Type="http://schemas.openxmlformats.org/officeDocument/2006/relationships/hyperlink" Target="https://aishe.gov.in/aishe-final-report/" TargetMode="External"/><Relationship Id="rId20" Type="http://schemas.openxmlformats.org/officeDocument/2006/relationships/hyperlink" Target="https://www.npci.org.in/product/upi/product-statistics" TargetMode="External"/><Relationship Id="rId21" Type="http://schemas.openxmlformats.org/officeDocument/2006/relationships/hyperlink" Target="https://data.worldbank.org/indicator/PX.REX.R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