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Liberation Sans" w:hAnsi="Liberation Sans" w:eastAsia="Liberation Sans"/>
          <w:b/>
          <w:color w:val="17324D"/>
          <w:sz w:val="60"/>
        </w:rPr>
        <w:t>SHANDA FUEL</w:t>
      </w:r>
    </w:p>
    <w:p>
      <w:pPr>
        <w:jc w:val="center"/>
      </w:pPr>
      <w:r>
        <w:rPr>
          <w:rFonts w:ascii="Liberation Sans" w:hAnsi="Liberation Sans" w:eastAsia="Liberation Sans"/>
          <w:b/>
          <w:color w:val="0F766E"/>
          <w:sz w:val="36"/>
        </w:rPr>
        <w:t>Master Product &amp; Engineering Blueprint</w:t>
      </w:r>
    </w:p>
    <w:p>
      <w:pPr>
        <w:jc w:val="center"/>
      </w:pPr>
      <w:r>
        <w:rPr>
          <w:rFonts w:ascii="Liberation Sans" w:hAnsi="Liberation Sans" w:eastAsia="Liberation Sans"/>
          <w:color w:val="667085"/>
          <w:sz w:val="21"/>
        </w:rPr>
        <w:t>Implementation-ready logical specification  •  Version 1.2 • Wireframe Edition • Visual Edition</w:t>
      </w:r>
    </w:p>
    <w:p>
      <w:pPr>
        <w:spacing w:before="600"/>
        <w:jc w:val="center"/>
      </w:pPr>
      <w:r>
        <w:rPr>
          <w:rFonts w:ascii="Liberation Sans" w:hAnsi="Liberation Sans" w:eastAsia="Liberation Sans"/>
          <w:color w:val="1F2937"/>
          <w:sz w:val="20"/>
        </w:rPr>
        <w:t>Prepared for the initial TEI Oils deployment and future multi-company commercial rollout</w:t>
      </w:r>
    </w:p>
    <w:tbl>
      <w:tblPr>
        <w:tblW w:type="auto" w:w="0"/>
        <w:jc w:val="center"/>
        <w:tblLayout w:type="autofit"/>
        <w:tblLook w:firstColumn="1" w:firstRow="1" w:lastColumn="0" w:lastRow="0" w:noHBand="0" w:noVBand="1" w:val="04A0"/>
      </w:tblPr>
      <w:tblGrid>
        <w:gridCol w:w="10036"/>
      </w:tblGrid>
      <w:tr>
        <w:tc>
          <w:tcPr>
            <w:tcW w:type="dxa" w:w="10036"/>
            <w:shd w:fill="FFF6DA"/>
            <w:tcMar>
              <w:top w:w="110" w:type="dxa"/>
              <w:start w:w="150" w:type="dxa"/>
              <w:bottom w:w="110" w:type="dxa"/>
              <w:end w:w="150" w:type="dxa"/>
            </w:tcMar>
          </w:tcPr>
          <w:p>
            <w:r>
              <w:t>STATUS</w:t>
              <w:br/>
              <w:t>Architecture, domain model, state machines, UX principles, visual wireframes, architecture diagrams, core workflows and V1 scope are frozen at logical-design level. Remaining real-world values such as tank capacities, bank accounts, supplier/customer masters and opening balances are onboarding data, not development blockers.</w:t>
            </w:r>
          </w:p>
        </w:tc>
      </w:tr>
    </w:tbl>
    <w:p>
      <w:pPr>
        <w:spacing w:after="20"/>
      </w:pPr>
    </w:p>
    <w:p>
      <w:pPr>
        <w:spacing w:before="360"/>
        <w:jc w:val="center"/>
      </w:pPr>
      <w:r>
        <w:rPr>
          <w:rFonts w:ascii="Liberation Sans" w:hAnsi="Liberation Sans" w:eastAsia="Liberation Sans"/>
          <w:color w:val="667085"/>
          <w:sz w:val="18"/>
        </w:rPr>
        <w:t>Business timezone: CAT / Africa/Harare   •   V1 currency: USD   •   Default shift duration: 8 hours, configurable</w:t>
      </w:r>
    </w:p>
    <w:p>
      <w:r>
        <w:br w:type="page"/>
      </w:r>
    </w:p>
    <w:p>
      <w:pPr>
        <w:pStyle w:val="Heading1"/>
        <w:keepNext/>
        <w:spacing w:before="180" w:after="80"/>
      </w:pPr>
      <w:r>
        <w:rPr>
          <w:rFonts w:ascii="Liberation Sans" w:hAnsi="Liberation Sans" w:eastAsia="Liberation Sans"/>
          <w:b/>
          <w:color w:val="17324D"/>
          <w:sz w:val="36"/>
        </w:rPr>
        <w:t>0. Document Control</w:t>
      </w:r>
    </w:p>
    <w:p>
      <w:r>
        <w:rPr>
          <w:b/>
          <w:color w:val="0F766E"/>
        </w:rPr>
        <w:t>Visual coverage in v1.2: eight architecture/process diagrams, 15 wireframe flow boards and 38 mapped V1 screens are embedded in the blueprint; the standalone V1 Wireframe Pack is the primary UX review artifact.</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551"/>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7"/>
              </w:rPr>
              <w:t>Field</w:t>
            </w:r>
          </w:p>
        </w:tc>
        <w:tc>
          <w:tcPr>
            <w:tcW w:type="dxa" w:w="6520"/>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7"/>
              </w:rPr>
              <w:t>Value</w:t>
            </w:r>
          </w:p>
        </w:tc>
      </w:tr>
      <w:tr>
        <w:trPr>
          <w:cantSplit/>
        </w:trPr>
        <w:tc>
          <w:tcPr>
            <w:tcW w:type="dxa" w:w="2551"/>
            <w:tcMar>
              <w:top w:w="80" w:type="dxa"/>
              <w:start w:w="90" w:type="dxa"/>
              <w:bottom w:w="80" w:type="dxa"/>
              <w:end w:w="90" w:type="dxa"/>
            </w:tcMar>
            <w:vAlign w:val="top"/>
          </w:tcPr>
          <w:p>
            <w:pPr>
              <w:spacing w:after="0"/>
            </w:pPr>
            <w:r>
              <w:rPr>
                <w:rFonts w:ascii="Liberation Sans" w:hAnsi="Liberation Sans" w:eastAsia="Liberation Sans"/>
                <w:color w:val="1F2937"/>
                <w:sz w:val="17"/>
              </w:rPr>
              <w:t>Document</w:t>
            </w:r>
          </w:p>
        </w:tc>
        <w:tc>
          <w:tcPr>
            <w:tcW w:type="dxa" w:w="6520"/>
            <w:tcMar>
              <w:top w:w="80" w:type="dxa"/>
              <w:start w:w="90" w:type="dxa"/>
              <w:bottom w:w="80" w:type="dxa"/>
              <w:end w:w="90" w:type="dxa"/>
            </w:tcMar>
            <w:vAlign w:val="top"/>
          </w:tcPr>
          <w:p>
            <w:pPr>
              <w:spacing w:after="0"/>
            </w:pPr>
            <w:r>
              <w:rPr>
                <w:rFonts w:ascii="Liberation Sans" w:hAnsi="Liberation Sans" w:eastAsia="Liberation Sans"/>
                <w:color w:val="1F2937"/>
                <w:sz w:val="17"/>
              </w:rPr>
              <w:t>Shanda Fuel Master Product &amp; Engineering Blueprint</w:t>
            </w:r>
          </w:p>
        </w:tc>
      </w:tr>
      <w:tr>
        <w:trPr>
          <w:cantSplit/>
        </w:trPr>
        <w:tc>
          <w:tcPr>
            <w:tcW w:type="dxa" w:w="2551"/>
            <w:tcMar>
              <w:top w:w="80" w:type="dxa"/>
              <w:start w:w="90" w:type="dxa"/>
              <w:bottom w:w="80" w:type="dxa"/>
              <w:end w:w="90" w:type="dxa"/>
            </w:tcMar>
            <w:vAlign w:val="top"/>
            <w:shd w:fill="F8FAFB"/>
          </w:tcPr>
          <w:p>
            <w:pPr>
              <w:spacing w:after="0"/>
            </w:pPr>
            <w:r>
              <w:rPr>
                <w:rFonts w:ascii="Liberation Sans" w:hAnsi="Liberation Sans" w:eastAsia="Liberation Sans"/>
                <w:color w:val="1F2937"/>
                <w:sz w:val="17"/>
              </w:rPr>
              <w:t>Version</w:t>
            </w:r>
          </w:p>
        </w:tc>
        <w:tc>
          <w:tcPr>
            <w:tcW w:type="dxa" w:w="6520"/>
            <w:tcMar>
              <w:top w:w="80" w:type="dxa"/>
              <w:start w:w="90" w:type="dxa"/>
              <w:bottom w:w="80" w:type="dxa"/>
              <w:end w:w="90" w:type="dxa"/>
            </w:tcMar>
            <w:vAlign w:val="top"/>
            <w:shd w:fill="F8FAFB"/>
          </w:tcPr>
          <w:p>
            <w:r>
              <w:t>1.2</w:t>
            </w:r>
          </w:p>
        </w:tc>
      </w:tr>
      <w:tr>
        <w:trPr>
          <w:cantSplit/>
        </w:trPr>
        <w:tc>
          <w:tcPr>
            <w:tcW w:type="dxa" w:w="2551"/>
            <w:tcMar>
              <w:top w:w="80" w:type="dxa"/>
              <w:start w:w="90" w:type="dxa"/>
              <w:bottom w:w="80" w:type="dxa"/>
              <w:end w:w="90" w:type="dxa"/>
            </w:tcMar>
            <w:vAlign w:val="top"/>
          </w:tcPr>
          <w:p>
            <w:pPr>
              <w:spacing w:after="0"/>
            </w:pPr>
            <w:r>
              <w:rPr>
                <w:rFonts w:ascii="Liberation Sans" w:hAnsi="Liberation Sans" w:eastAsia="Liberation Sans"/>
                <w:color w:val="1F2937"/>
                <w:sz w:val="17"/>
              </w:rPr>
              <w:t>Product domain</w:t>
            </w:r>
          </w:p>
        </w:tc>
        <w:tc>
          <w:tcPr>
            <w:tcW w:type="dxa" w:w="6520"/>
            <w:tcMar>
              <w:top w:w="80" w:type="dxa"/>
              <w:start w:w="90" w:type="dxa"/>
              <w:bottom w:w="80" w:type="dxa"/>
              <w:end w:w="90" w:type="dxa"/>
            </w:tcMar>
            <w:vAlign w:val="top"/>
          </w:tcPr>
          <w:p>
            <w:pPr>
              <w:spacing w:after="0"/>
            </w:pPr>
            <w:r>
              <w:rPr>
                <w:rFonts w:ascii="Liberation Sans" w:hAnsi="Liberation Sans" w:eastAsia="Liberation Sans"/>
                <w:color w:val="1F2937"/>
                <w:sz w:val="17"/>
              </w:rPr>
              <w:t>fuel.shandahr.com</w:t>
            </w:r>
          </w:p>
        </w:tc>
      </w:tr>
      <w:tr>
        <w:trPr>
          <w:cantSplit/>
        </w:trPr>
        <w:tc>
          <w:tcPr>
            <w:tcW w:type="dxa" w:w="2551"/>
            <w:tcMar>
              <w:top w:w="80" w:type="dxa"/>
              <w:start w:w="90" w:type="dxa"/>
              <w:bottom w:w="80" w:type="dxa"/>
              <w:end w:w="90" w:type="dxa"/>
            </w:tcMar>
            <w:vAlign w:val="top"/>
            <w:shd w:fill="F8FAFB"/>
          </w:tcPr>
          <w:p>
            <w:pPr>
              <w:spacing w:after="0"/>
            </w:pPr>
            <w:r>
              <w:rPr>
                <w:rFonts w:ascii="Liberation Sans" w:hAnsi="Liberation Sans" w:eastAsia="Liberation Sans"/>
                <w:color w:val="1F2937"/>
                <w:sz w:val="17"/>
              </w:rPr>
              <w:t>Product family</w:t>
            </w:r>
          </w:p>
        </w:tc>
        <w:tc>
          <w:tcPr>
            <w:tcW w:type="dxa" w:w="6520"/>
            <w:tcMar>
              <w:top w:w="80" w:type="dxa"/>
              <w:start w:w="90" w:type="dxa"/>
              <w:bottom w:w="80" w:type="dxa"/>
              <w:end w:w="90" w:type="dxa"/>
            </w:tcMar>
            <w:vAlign w:val="top"/>
            <w:shd w:fill="F8FAFB"/>
          </w:tcPr>
          <w:p>
            <w:pPr>
              <w:spacing w:after="0"/>
            </w:pPr>
            <w:r>
              <w:rPr>
                <w:rFonts w:ascii="Liberation Sans" w:hAnsi="Liberation Sans" w:eastAsia="Liberation Sans"/>
                <w:color w:val="1F2937"/>
                <w:sz w:val="17"/>
              </w:rPr>
              <w:t>Shanda Fuel by ShandaHR</w:t>
            </w:r>
          </w:p>
        </w:tc>
      </w:tr>
      <w:tr>
        <w:trPr>
          <w:cantSplit/>
        </w:trPr>
        <w:tc>
          <w:tcPr>
            <w:tcW w:type="dxa" w:w="2551"/>
            <w:tcMar>
              <w:top w:w="80" w:type="dxa"/>
              <w:start w:w="90" w:type="dxa"/>
              <w:bottom w:w="80" w:type="dxa"/>
              <w:end w:w="90" w:type="dxa"/>
            </w:tcMar>
            <w:vAlign w:val="top"/>
          </w:tcPr>
          <w:p>
            <w:pPr>
              <w:spacing w:after="0"/>
            </w:pPr>
            <w:r>
              <w:rPr>
                <w:rFonts w:ascii="Liberation Sans" w:hAnsi="Liberation Sans" w:eastAsia="Liberation Sans"/>
                <w:color w:val="1F2937"/>
                <w:sz w:val="17"/>
              </w:rPr>
              <w:t>Initial operating customer</w:t>
            </w:r>
          </w:p>
        </w:tc>
        <w:tc>
          <w:tcPr>
            <w:tcW w:type="dxa" w:w="6520"/>
            <w:tcMar>
              <w:top w:w="80" w:type="dxa"/>
              <w:start w:w="90" w:type="dxa"/>
              <w:bottom w:w="80" w:type="dxa"/>
              <w:end w:w="90" w:type="dxa"/>
            </w:tcMar>
            <w:vAlign w:val="top"/>
          </w:tcPr>
          <w:p>
            <w:pPr>
              <w:spacing w:after="0"/>
            </w:pPr>
            <w:r>
              <w:rPr>
                <w:rFonts w:ascii="Liberation Sans" w:hAnsi="Liberation Sans" w:eastAsia="Liberation Sans"/>
                <w:color w:val="1F2937"/>
                <w:sz w:val="17"/>
              </w:rPr>
              <w:t>TEI Oils / Triumph Energy working identity; legal spelling to be verified at onboarding</w:t>
            </w:r>
          </w:p>
        </w:tc>
      </w:tr>
      <w:tr>
        <w:trPr>
          <w:cantSplit/>
        </w:trPr>
        <w:tc>
          <w:tcPr>
            <w:tcW w:type="dxa" w:w="2551"/>
            <w:tcMar>
              <w:top w:w="80" w:type="dxa"/>
              <w:start w:w="90" w:type="dxa"/>
              <w:bottom w:w="80" w:type="dxa"/>
              <w:end w:w="90" w:type="dxa"/>
            </w:tcMar>
            <w:vAlign w:val="top"/>
            <w:shd w:fill="F8FAFB"/>
          </w:tcPr>
          <w:p>
            <w:pPr>
              <w:spacing w:after="0"/>
            </w:pPr>
            <w:r>
              <w:rPr>
                <w:rFonts w:ascii="Liberation Sans" w:hAnsi="Liberation Sans" w:eastAsia="Liberation Sans"/>
                <w:color w:val="1F2937"/>
                <w:sz w:val="17"/>
              </w:rPr>
              <w:t>Business timezone</w:t>
            </w:r>
          </w:p>
        </w:tc>
        <w:tc>
          <w:tcPr>
            <w:tcW w:type="dxa" w:w="6520"/>
            <w:tcMar>
              <w:top w:w="80" w:type="dxa"/>
              <w:start w:w="90" w:type="dxa"/>
              <w:bottom w:w="80" w:type="dxa"/>
              <w:end w:w="90" w:type="dxa"/>
            </w:tcMar>
            <w:vAlign w:val="top"/>
            <w:shd w:fill="F8FAFB"/>
          </w:tcPr>
          <w:p>
            <w:pPr>
              <w:spacing w:after="0"/>
            </w:pPr>
            <w:r>
              <w:rPr>
                <w:rFonts w:ascii="Liberation Sans" w:hAnsi="Liberation Sans" w:eastAsia="Liberation Sans"/>
                <w:color w:val="1F2937"/>
                <w:sz w:val="17"/>
              </w:rPr>
              <w:t>CAT; stored/configured technically as Africa/Harare</w:t>
            </w:r>
          </w:p>
        </w:tc>
      </w:tr>
      <w:tr>
        <w:trPr>
          <w:cantSplit/>
        </w:trPr>
        <w:tc>
          <w:tcPr>
            <w:tcW w:type="dxa" w:w="2551"/>
            <w:tcMar>
              <w:top w:w="80" w:type="dxa"/>
              <w:start w:w="90" w:type="dxa"/>
              <w:bottom w:w="80" w:type="dxa"/>
              <w:end w:w="90" w:type="dxa"/>
            </w:tcMar>
            <w:vAlign w:val="top"/>
          </w:tcPr>
          <w:p>
            <w:pPr>
              <w:spacing w:after="0"/>
            </w:pPr>
            <w:r>
              <w:rPr>
                <w:rFonts w:ascii="Liberation Sans" w:hAnsi="Liberation Sans" w:eastAsia="Liberation Sans"/>
                <w:color w:val="1F2937"/>
                <w:sz w:val="17"/>
              </w:rPr>
              <w:t>V1 currency</w:t>
            </w:r>
          </w:p>
        </w:tc>
        <w:tc>
          <w:tcPr>
            <w:tcW w:type="dxa" w:w="6520"/>
            <w:tcMar>
              <w:top w:w="80" w:type="dxa"/>
              <w:start w:w="90" w:type="dxa"/>
              <w:bottom w:w="80" w:type="dxa"/>
              <w:end w:w="90" w:type="dxa"/>
            </w:tcMar>
            <w:vAlign w:val="top"/>
          </w:tcPr>
          <w:p>
            <w:pPr>
              <w:spacing w:after="0"/>
            </w:pPr>
            <w:r>
              <w:rPr>
                <w:rFonts w:ascii="Liberation Sans" w:hAnsi="Liberation Sans" w:eastAsia="Liberation Sans"/>
                <w:color w:val="1F2937"/>
                <w:sz w:val="17"/>
              </w:rPr>
              <w:t>USD</w:t>
            </w:r>
          </w:p>
        </w:tc>
      </w:tr>
      <w:tr>
        <w:trPr>
          <w:cantSplit/>
        </w:trPr>
        <w:tc>
          <w:tcPr>
            <w:tcW w:type="dxa" w:w="2551"/>
            <w:tcMar>
              <w:top w:w="80" w:type="dxa"/>
              <w:start w:w="90" w:type="dxa"/>
              <w:bottom w:w="80" w:type="dxa"/>
              <w:end w:w="90" w:type="dxa"/>
            </w:tcMar>
            <w:vAlign w:val="top"/>
            <w:shd w:fill="F8FAFB"/>
          </w:tcPr>
          <w:p>
            <w:pPr>
              <w:spacing w:after="0"/>
            </w:pPr>
            <w:r>
              <w:rPr>
                <w:rFonts w:ascii="Liberation Sans" w:hAnsi="Liberation Sans" w:eastAsia="Liberation Sans"/>
                <w:color w:val="1F2937"/>
                <w:sz w:val="17"/>
              </w:rPr>
              <w:t>Shift default</w:t>
            </w:r>
          </w:p>
        </w:tc>
        <w:tc>
          <w:tcPr>
            <w:tcW w:type="dxa" w:w="6520"/>
            <w:tcMar>
              <w:top w:w="80" w:type="dxa"/>
              <w:start w:w="90" w:type="dxa"/>
              <w:bottom w:w="80" w:type="dxa"/>
              <w:end w:w="90" w:type="dxa"/>
            </w:tcMar>
            <w:vAlign w:val="top"/>
            <w:shd w:fill="F8FAFB"/>
          </w:tcPr>
          <w:p>
            <w:pPr>
              <w:spacing w:after="0"/>
            </w:pPr>
            <w:r>
              <w:rPr>
                <w:rFonts w:ascii="Liberation Sans" w:hAnsi="Liberation Sans" w:eastAsia="Liberation Sans"/>
                <w:color w:val="1F2937"/>
                <w:sz w:val="17"/>
              </w:rPr>
              <w:t>8 hours; station-configurable effective-dated templates</w:t>
            </w:r>
          </w:p>
        </w:tc>
      </w:tr>
      <w:tr>
        <w:trPr>
          <w:cantSplit/>
        </w:trPr>
        <w:tc>
          <w:tcPr>
            <w:tcW w:type="dxa" w:w="2551"/>
            <w:tcMar>
              <w:top w:w="80" w:type="dxa"/>
              <w:start w:w="90" w:type="dxa"/>
              <w:bottom w:w="80" w:type="dxa"/>
              <w:end w:w="90" w:type="dxa"/>
            </w:tcMar>
            <w:vAlign w:val="top"/>
          </w:tcPr>
          <w:p>
            <w:pPr>
              <w:spacing w:after="0"/>
            </w:pPr>
            <w:r>
              <w:rPr>
                <w:rFonts w:ascii="Liberation Sans" w:hAnsi="Liberation Sans" w:eastAsia="Liberation Sans"/>
                <w:color w:val="1F2937"/>
                <w:sz w:val="17"/>
              </w:rPr>
              <w:t>History migration</w:t>
            </w:r>
          </w:p>
        </w:tc>
        <w:tc>
          <w:tcPr>
            <w:tcW w:type="dxa" w:w="6520"/>
            <w:tcMar>
              <w:top w:w="80" w:type="dxa"/>
              <w:start w:w="90" w:type="dxa"/>
              <w:bottom w:w="80" w:type="dxa"/>
              <w:end w:w="90" w:type="dxa"/>
            </w:tcMar>
            <w:vAlign w:val="top"/>
          </w:tcPr>
          <w:p>
            <w:pPr>
              <w:spacing w:after="0"/>
            </w:pPr>
            <w:r>
              <w:rPr>
                <w:rFonts w:ascii="Liberation Sans" w:hAnsi="Liberation Sans" w:eastAsia="Liberation Sans"/>
                <w:color w:val="1F2937"/>
                <w:sz w:val="17"/>
              </w:rPr>
              <w:t>No broad historical migration. Approved opening positions plus selective useful recent history only.</w:t>
            </w:r>
          </w:p>
        </w:tc>
      </w:tr>
      <w:tr>
        <w:trPr>
          <w:cantSplit/>
        </w:trPr>
        <w:tc>
          <w:tcPr>
            <w:tcW w:type="dxa" w:w="2551"/>
            <w:tcMar>
              <w:top w:w="80" w:type="dxa"/>
              <w:start w:w="90" w:type="dxa"/>
              <w:bottom w:w="80" w:type="dxa"/>
              <w:end w:w="90" w:type="dxa"/>
            </w:tcMar>
            <w:vAlign w:val="top"/>
            <w:shd w:fill="F8FAFB"/>
          </w:tcPr>
          <w:p>
            <w:pPr>
              <w:spacing w:after="0"/>
            </w:pPr>
            <w:r>
              <w:rPr>
                <w:rFonts w:ascii="Liberation Sans" w:hAnsi="Liberation Sans" w:eastAsia="Liberation Sans"/>
                <w:color w:val="1F2937"/>
                <w:sz w:val="17"/>
              </w:rPr>
              <w:t>Build style</w:t>
            </w:r>
          </w:p>
        </w:tc>
        <w:tc>
          <w:tcPr>
            <w:tcW w:type="dxa" w:w="6520"/>
            <w:tcMar>
              <w:top w:w="80" w:type="dxa"/>
              <w:start w:w="90" w:type="dxa"/>
              <w:bottom w:w="80" w:type="dxa"/>
              <w:end w:w="90" w:type="dxa"/>
            </w:tcMar>
            <w:vAlign w:val="top"/>
            <w:shd w:fill="F8FAFB"/>
          </w:tcPr>
          <w:p>
            <w:pPr>
              <w:spacing w:after="0"/>
            </w:pPr>
            <w:r>
              <w:rPr>
                <w:rFonts w:ascii="Liberation Sans" w:hAnsi="Liberation Sans" w:eastAsia="Liberation Sans"/>
                <w:color w:val="1F2937"/>
                <w:sz w:val="17"/>
              </w:rPr>
              <w:t>Single-developer-friendly modular monolith with strict domain boundaries</w:t>
            </w:r>
          </w:p>
        </w:tc>
      </w:tr>
      <w:tr>
        <w:trPr>
          <w:cantSplit/>
        </w:trPr>
        <w:tc>
          <w:tcPr>
            <w:tcW w:type="dxa" w:w="2551"/>
            <w:tcMar>
              <w:top w:w="80" w:type="dxa"/>
              <w:start w:w="90" w:type="dxa"/>
              <w:bottom w:w="80" w:type="dxa"/>
              <w:end w:w="90" w:type="dxa"/>
            </w:tcMar>
            <w:vAlign w:val="top"/>
          </w:tcPr>
          <w:p>
            <w:pPr>
              <w:spacing w:after="0"/>
            </w:pPr>
            <w:r>
              <w:rPr>
                <w:rFonts w:ascii="Liberation Sans" w:hAnsi="Liberation Sans" w:eastAsia="Liberation Sans"/>
                <w:color w:val="1F2937"/>
                <w:sz w:val="17"/>
              </w:rPr>
              <w:t>Logical design status</w:t>
            </w:r>
          </w:p>
        </w:tc>
        <w:tc>
          <w:tcPr>
            <w:tcW w:type="dxa" w:w="6520"/>
            <w:tcMar>
              <w:top w:w="80" w:type="dxa"/>
              <w:start w:w="90" w:type="dxa"/>
              <w:bottom w:w="80" w:type="dxa"/>
              <w:end w:w="90" w:type="dxa"/>
            </w:tcMar>
            <w:vAlign w:val="top"/>
          </w:tcPr>
          <w:p>
            <w:pPr>
              <w:spacing w:after="0"/>
            </w:pPr>
            <w:r>
              <w:rPr>
                <w:rFonts w:ascii="Liberation Sans" w:hAnsi="Liberation Sans" w:eastAsia="Liberation Sans"/>
                <w:color w:val="1F2937"/>
                <w:sz w:val="17"/>
              </w:rPr>
              <w:t>Locked; changes require explicit architecture review</w:t>
            </w:r>
          </w:p>
        </w:tc>
      </w:tr>
    </w:tbl>
    <w:p>
      <w:pPr>
        <w:spacing w:after="40"/>
      </w:pPr>
    </w:p>
    <w:p>
      <w:pPr>
        <w:pStyle w:val="Heading2"/>
        <w:keepNext/>
        <w:spacing w:before="120" w:after="80"/>
      </w:pPr>
      <w:r>
        <w:rPr>
          <w:rFonts w:ascii="Liberation Sans" w:hAnsi="Liberation Sans" w:eastAsia="Liberation Sans"/>
          <w:b/>
          <w:color w:val="17324D"/>
          <w:sz w:val="27"/>
        </w:rPr>
        <w:t>0.1 Source Basis</w:t>
      </w:r>
    </w:p>
    <w:p>
      <w:pPr>
        <w:spacing w:after="100" w:line="259" w:lineRule="auto"/>
      </w:pPr>
      <w:r>
        <w:rPr>
          <w:rFonts w:ascii="Liberation Sans" w:hAnsi="Liberation Sans" w:eastAsia="Liberation Sans"/>
          <w:color w:val="1F2937"/>
          <w:sz w:val="18"/>
        </w:rPr>
        <w:t>This blueprint consolidates the client requirements summary, the locked design rounds and architecture audits, the TEI/Triumph Energy resources supplied in the project, confirmed operating assumptions, the discovery/setup workbook, and the forms we have authored for the new system.</w:t>
      </w:r>
    </w:p>
    <w:p>
      <w:pPr>
        <w:pStyle w:val="ListBullet"/>
        <w:spacing w:after="30" w:line="247" w:lineRule="auto"/>
        <w:ind w:left="255" w:hanging="113"/>
      </w:pPr>
      <w:r>
        <w:rPr>
          <w:rFonts w:ascii="Liberation Sans" w:hAnsi="Liberation Sans" w:eastAsia="Liberation Sans"/>
          <w:color w:val="1F2937"/>
          <w:sz w:val="18"/>
        </w:rPr>
        <w:t>Primary client requirement: replace handwritten daily reconciliation and management Excel re-entry with one connected system in which stock, sales, cash, creditors, customers, profitability and reporting update from the same underlying transactions.</w:t>
      </w:r>
    </w:p>
    <w:p>
      <w:pPr>
        <w:pStyle w:val="ListBullet"/>
        <w:spacing w:after="30" w:line="247" w:lineRule="auto"/>
        <w:ind w:left="255" w:hanging="113"/>
      </w:pPr>
      <w:r>
        <w:rPr>
          <w:rFonts w:ascii="Liberation Sans" w:hAnsi="Liberation Sans" w:eastAsia="Liberation Sans"/>
          <w:color w:val="1F2937"/>
          <w:sz w:val="18"/>
        </w:rPr>
        <w:t>Client-provided working location seed: Sandawana, Hwange, Bindura, Makaha, Kwekwe, Kadoma, Gweru, Harare, Mutare, Masvingo and Bulawayo. Each location type and production status is confirmed during onboarding rather than blocking development.</w:t>
      </w:r>
    </w:p>
    <w:p>
      <w:pPr>
        <w:pStyle w:val="ListBullet"/>
        <w:spacing w:after="30" w:line="247" w:lineRule="auto"/>
        <w:ind w:left="255" w:hanging="113"/>
      </w:pPr>
      <w:r>
        <w:rPr>
          <w:rFonts w:ascii="Liberation Sans" w:hAnsi="Liberation Sans" w:eastAsia="Liberation Sans"/>
          <w:color w:val="1F2937"/>
          <w:sz w:val="18"/>
        </w:rPr>
        <w:t>The client expects us to learn the operating process and create the recommended forms/workflows. Missing operational master data is therefore collected through onboarding forms rather than treated as a design blocker.</w:t>
      </w:r>
    </w:p>
    <w:p>
      <w:pPr>
        <w:pStyle w:val="Heading2"/>
        <w:keepNext/>
        <w:spacing w:before="120" w:after="80"/>
      </w:pPr>
      <w:r>
        <w:rPr>
          <w:rFonts w:ascii="Liberation Sans" w:hAnsi="Liberation Sans" w:eastAsia="Liberation Sans"/>
          <w:b/>
          <w:color w:val="17324D"/>
          <w:sz w:val="27"/>
        </w:rPr>
        <w:t>0.2 Decision Hierarchy</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1134"/>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7"/>
              </w:rPr>
              <w:t>Priority</w:t>
            </w:r>
          </w:p>
        </w:tc>
        <w:tc>
          <w:tcPr>
            <w:tcW w:type="dxa" w:w="7937"/>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7"/>
              </w:rPr>
              <w:t>Decision source</w:t>
            </w:r>
          </w:p>
        </w:tc>
      </w:tr>
      <w:tr>
        <w:trPr>
          <w:cantSplit/>
        </w:trPr>
        <w:tc>
          <w:tcPr>
            <w:tcW w:type="dxa" w:w="1134"/>
            <w:tcMar>
              <w:top w:w="80" w:type="dxa"/>
              <w:start w:w="90" w:type="dxa"/>
              <w:bottom w:w="80" w:type="dxa"/>
              <w:end w:w="90" w:type="dxa"/>
            </w:tcMar>
            <w:vAlign w:val="top"/>
          </w:tcPr>
          <w:p>
            <w:pPr>
              <w:spacing w:after="0"/>
            </w:pPr>
            <w:r>
              <w:rPr>
                <w:rFonts w:ascii="Liberation Sans" w:hAnsi="Liberation Sans" w:eastAsia="Liberation Sans"/>
                <w:color w:val="1F2937"/>
                <w:sz w:val="17"/>
              </w:rPr>
              <w:t>1</w:t>
            </w:r>
          </w:p>
        </w:tc>
        <w:tc>
          <w:tcPr>
            <w:tcW w:type="dxa" w:w="7937"/>
            <w:tcMar>
              <w:top w:w="80" w:type="dxa"/>
              <w:start w:w="90" w:type="dxa"/>
              <w:bottom w:w="80" w:type="dxa"/>
              <w:end w:w="90" w:type="dxa"/>
            </w:tcMar>
            <w:vAlign w:val="top"/>
          </w:tcPr>
          <w:p>
            <w:pPr>
              <w:spacing w:after="0"/>
            </w:pPr>
            <w:r>
              <w:rPr>
                <w:rFonts w:ascii="Liberation Sans" w:hAnsi="Liberation Sans" w:eastAsia="Liberation Sans"/>
                <w:color w:val="1F2937"/>
                <w:sz w:val="17"/>
              </w:rPr>
              <w:t>Confirmed client operating facts and legal/accounting sign-off</w:t>
            </w:r>
          </w:p>
        </w:tc>
      </w:tr>
      <w:tr>
        <w:trPr>
          <w:cantSplit/>
        </w:trPr>
        <w:tc>
          <w:tcPr>
            <w:tcW w:type="dxa" w:w="1134"/>
            <w:tcMar>
              <w:top w:w="80" w:type="dxa"/>
              <w:start w:w="90" w:type="dxa"/>
              <w:bottom w:w="80" w:type="dxa"/>
              <w:end w:w="90" w:type="dxa"/>
            </w:tcMar>
            <w:vAlign w:val="top"/>
            <w:shd w:fill="F8FAFB"/>
          </w:tcPr>
          <w:p>
            <w:pPr>
              <w:spacing w:after="0"/>
            </w:pPr>
            <w:r>
              <w:rPr>
                <w:rFonts w:ascii="Liberation Sans" w:hAnsi="Liberation Sans" w:eastAsia="Liberation Sans"/>
                <w:color w:val="1F2937"/>
                <w:sz w:val="17"/>
              </w:rPr>
              <w:t>2</w:t>
            </w:r>
          </w:p>
        </w:tc>
        <w:tc>
          <w:tcPr>
            <w:tcW w:type="dxa" w:w="7937"/>
            <w:tcMar>
              <w:top w:w="80" w:type="dxa"/>
              <w:start w:w="90" w:type="dxa"/>
              <w:bottom w:w="80" w:type="dxa"/>
              <w:end w:w="90" w:type="dxa"/>
            </w:tcMar>
            <w:vAlign w:val="top"/>
            <w:shd w:fill="F8FAFB"/>
          </w:tcPr>
          <w:p>
            <w:pPr>
              <w:spacing w:after="0"/>
            </w:pPr>
            <w:r>
              <w:rPr>
                <w:rFonts w:ascii="Liberation Sans" w:hAnsi="Liberation Sans" w:eastAsia="Liberation Sans"/>
                <w:color w:val="1F2937"/>
                <w:sz w:val="17"/>
              </w:rPr>
              <w:t>Client-provided business requirements and resources</w:t>
            </w:r>
          </w:p>
        </w:tc>
      </w:tr>
      <w:tr>
        <w:trPr>
          <w:cantSplit/>
        </w:trPr>
        <w:tc>
          <w:tcPr>
            <w:tcW w:type="dxa" w:w="1134"/>
            <w:tcMar>
              <w:top w:w="80" w:type="dxa"/>
              <w:start w:w="90" w:type="dxa"/>
              <w:bottom w:w="80" w:type="dxa"/>
              <w:end w:w="90" w:type="dxa"/>
            </w:tcMar>
            <w:vAlign w:val="top"/>
          </w:tcPr>
          <w:p>
            <w:pPr>
              <w:spacing w:after="0"/>
            </w:pPr>
            <w:r>
              <w:rPr>
                <w:rFonts w:ascii="Liberation Sans" w:hAnsi="Liberation Sans" w:eastAsia="Liberation Sans"/>
                <w:color w:val="1F2937"/>
                <w:sz w:val="17"/>
              </w:rPr>
              <w:t>3</w:t>
            </w:r>
          </w:p>
        </w:tc>
        <w:tc>
          <w:tcPr>
            <w:tcW w:type="dxa" w:w="7937"/>
            <w:tcMar>
              <w:top w:w="80" w:type="dxa"/>
              <w:start w:w="90" w:type="dxa"/>
              <w:bottom w:w="80" w:type="dxa"/>
              <w:end w:w="90" w:type="dxa"/>
            </w:tcMar>
            <w:vAlign w:val="top"/>
          </w:tcPr>
          <w:p>
            <w:pPr>
              <w:spacing w:after="0"/>
            </w:pPr>
            <w:r>
              <w:rPr>
                <w:rFonts w:ascii="Liberation Sans" w:hAnsi="Liberation Sans" w:eastAsia="Liberation Sans"/>
                <w:color w:val="1F2937"/>
                <w:sz w:val="17"/>
              </w:rPr>
              <w:t>Locked Shanda Fuel integrity, security and accounting invariants</w:t>
            </w:r>
          </w:p>
        </w:tc>
      </w:tr>
      <w:tr>
        <w:trPr>
          <w:cantSplit/>
        </w:trPr>
        <w:tc>
          <w:tcPr>
            <w:tcW w:type="dxa" w:w="1134"/>
            <w:tcMar>
              <w:top w:w="80" w:type="dxa"/>
              <w:start w:w="90" w:type="dxa"/>
              <w:bottom w:w="80" w:type="dxa"/>
              <w:end w:w="90" w:type="dxa"/>
            </w:tcMar>
            <w:vAlign w:val="top"/>
            <w:shd w:fill="F8FAFB"/>
          </w:tcPr>
          <w:p>
            <w:pPr>
              <w:spacing w:after="0"/>
            </w:pPr>
            <w:r>
              <w:rPr>
                <w:rFonts w:ascii="Liberation Sans" w:hAnsi="Liberation Sans" w:eastAsia="Liberation Sans"/>
                <w:color w:val="1F2937"/>
                <w:sz w:val="17"/>
              </w:rPr>
              <w:t>4</w:t>
            </w:r>
          </w:p>
        </w:tc>
        <w:tc>
          <w:tcPr>
            <w:tcW w:type="dxa" w:w="7937"/>
            <w:tcMar>
              <w:top w:w="80" w:type="dxa"/>
              <w:start w:w="90" w:type="dxa"/>
              <w:bottom w:w="80" w:type="dxa"/>
              <w:end w:w="90" w:type="dxa"/>
            </w:tcMar>
            <w:vAlign w:val="top"/>
            <w:shd w:fill="F8FAFB"/>
          </w:tcPr>
          <w:p>
            <w:pPr>
              <w:spacing w:after="0"/>
            </w:pPr>
            <w:r>
              <w:rPr>
                <w:rFonts w:ascii="Liberation Sans" w:hAnsi="Liberation Sans" w:eastAsia="Liberation Sans"/>
                <w:color w:val="1F2937"/>
                <w:sz w:val="17"/>
              </w:rPr>
              <w:t>Recommended product defaults where no company-specific fact exists</w:t>
            </w:r>
          </w:p>
        </w:tc>
      </w:tr>
      <w:tr>
        <w:trPr>
          <w:cantSplit/>
        </w:trPr>
        <w:tc>
          <w:tcPr>
            <w:tcW w:type="dxa" w:w="1134"/>
            <w:tcMar>
              <w:top w:w="80" w:type="dxa"/>
              <w:start w:w="90" w:type="dxa"/>
              <w:bottom w:w="80" w:type="dxa"/>
              <w:end w:w="90" w:type="dxa"/>
            </w:tcMar>
            <w:vAlign w:val="top"/>
          </w:tcPr>
          <w:p>
            <w:pPr>
              <w:spacing w:after="0"/>
            </w:pPr>
            <w:r>
              <w:rPr>
                <w:rFonts w:ascii="Liberation Sans" w:hAnsi="Liberation Sans" w:eastAsia="Liberation Sans"/>
                <w:color w:val="1F2937"/>
                <w:sz w:val="17"/>
              </w:rPr>
              <w:t>5</w:t>
            </w:r>
          </w:p>
        </w:tc>
        <w:tc>
          <w:tcPr>
            <w:tcW w:type="dxa" w:w="7937"/>
            <w:tcMar>
              <w:top w:w="80" w:type="dxa"/>
              <w:start w:w="90" w:type="dxa"/>
              <w:bottom w:w="80" w:type="dxa"/>
              <w:end w:w="90" w:type="dxa"/>
            </w:tcMar>
            <w:vAlign w:val="top"/>
          </w:tcPr>
          <w:p>
            <w:pPr>
              <w:spacing w:after="0"/>
            </w:pPr>
            <w:r>
              <w:rPr>
                <w:rFonts w:ascii="Liberation Sans" w:hAnsi="Liberation Sans" w:eastAsia="Liberation Sans"/>
                <w:color w:val="1F2937"/>
                <w:sz w:val="17"/>
              </w:rPr>
              <w:t>Pilot tuning for thresholds and operating convenience</w:t>
            </w:r>
          </w:p>
        </w:tc>
      </w:tr>
    </w:tbl>
    <w:p>
      <w:pPr>
        <w:spacing w:after="40"/>
      </w:pPr>
    </w:p>
    <w:p>
      <w:pPr>
        <w:pStyle w:val="Heading2"/>
        <w:keepNext/>
        <w:spacing w:before="120" w:after="80"/>
      </w:pPr>
      <w:r>
        <w:rPr>
          <w:rFonts w:ascii="Liberation Sans" w:hAnsi="Liberation Sans" w:eastAsia="Liberation Sans"/>
          <w:b/>
          <w:color w:val="17324D"/>
          <w:sz w:val="27"/>
        </w:rPr>
        <w:t>0.3 “Do Not Reopen Casually” Decisions</w:t>
      </w:r>
    </w:p>
    <w:p>
      <w:pPr>
        <w:pStyle w:val="ListBullet"/>
        <w:spacing w:after="30" w:line="247" w:lineRule="auto"/>
        <w:ind w:left="255" w:hanging="113"/>
      </w:pPr>
      <w:r>
        <w:rPr>
          <w:rFonts w:ascii="Liberation Sans" w:hAnsi="Liberation Sans" w:eastAsia="Liberation Sans"/>
          <w:color w:val="1F2937"/>
          <w:sz w:val="18"/>
        </w:rPr>
        <w:t>Multi-company SaaS and strict tenant isolation from day one.</w:t>
      </w:r>
    </w:p>
    <w:p>
      <w:pPr>
        <w:pStyle w:val="ListBullet"/>
        <w:spacing w:after="30" w:line="247" w:lineRule="auto"/>
        <w:ind w:left="255" w:hanging="113"/>
      </w:pPr>
      <w:r>
        <w:rPr>
          <w:rFonts w:ascii="Liberation Sans" w:hAnsi="Liberation Sans" w:eastAsia="Liberation Sans"/>
          <w:color w:val="1F2937"/>
          <w:sz w:val="18"/>
        </w:rPr>
        <w:t>Separate Shanda Fuel operational database/project; future ShandaHR integration only through explicit APIs/identity integration.</w:t>
      </w:r>
    </w:p>
    <w:p>
      <w:pPr>
        <w:pStyle w:val="ListBullet"/>
        <w:spacing w:after="30" w:line="247" w:lineRule="auto"/>
        <w:ind w:left="255" w:hanging="113"/>
      </w:pPr>
      <w:r>
        <w:rPr>
          <w:rFonts w:ascii="Liberation Sans" w:hAnsi="Liberation Sans" w:eastAsia="Liberation Sans"/>
          <w:color w:val="1F2937"/>
          <w:sz w:val="18"/>
        </w:rPr>
        <w:t>Modular monolith rather than microservices for V1 and early commercial scale.</w:t>
      </w:r>
    </w:p>
    <w:p>
      <w:pPr>
        <w:pStyle w:val="ListBullet"/>
        <w:spacing w:after="30" w:line="247" w:lineRule="auto"/>
        <w:ind w:left="255" w:hanging="113"/>
      </w:pPr>
      <w:r>
        <w:rPr>
          <w:rFonts w:ascii="Liberation Sans" w:hAnsi="Liberation Sans" w:eastAsia="Liberation Sans"/>
          <w:color w:val="1F2937"/>
          <w:sz w:val="18"/>
        </w:rPr>
        <w:t>Authoritative balances derive from immutable domain movements, not editable balance fields or dashboard totals.</w:t>
      </w:r>
    </w:p>
    <w:p>
      <w:pPr>
        <w:pStyle w:val="ListBullet"/>
        <w:spacing w:after="30" w:line="247" w:lineRule="auto"/>
        <w:ind w:left="255" w:hanging="113"/>
      </w:pPr>
      <w:r>
        <w:rPr>
          <w:rFonts w:ascii="Liberation Sans" w:hAnsi="Liberation Sans" w:eastAsia="Liberation Sans"/>
          <w:color w:val="1F2937"/>
          <w:sz w:val="18"/>
        </w:rPr>
        <w:t>Meter-derived quantity is canonical for ordinary forecourt sales; customer credit/prepaid/benefit records classify those sales rather than duplicating litres.</w:t>
      </w:r>
    </w:p>
    <w:p>
      <w:pPr>
        <w:pStyle w:val="ListBullet"/>
        <w:spacing w:after="30" w:line="247" w:lineRule="auto"/>
        <w:ind w:left="255" w:hanging="113"/>
      </w:pPr>
      <w:r>
        <w:rPr>
          <w:rFonts w:ascii="Liberation Sans" w:hAnsi="Liberation Sans" w:eastAsia="Liberation Sans"/>
          <w:color w:val="1F2937"/>
          <w:sz w:val="18"/>
        </w:rPr>
        <w:t>Cash custody, bank money and provider settlement balances are separate domains.</w:t>
      </w:r>
    </w:p>
    <w:p>
      <w:pPr>
        <w:pStyle w:val="ListBullet"/>
        <w:spacing w:after="30" w:line="247" w:lineRule="auto"/>
        <w:ind w:left="255" w:hanging="113"/>
      </w:pPr>
      <w:r>
        <w:rPr>
          <w:rFonts w:ascii="Liberation Sans" w:hAnsi="Liberation Sans" w:eastAsia="Liberation Sans"/>
          <w:color w:val="1F2937"/>
          <w:sz w:val="18"/>
        </w:rPr>
        <w:t>Supplier invoice quantity/commercial claim cannot rewrite physical delivery quantity.</w:t>
      </w:r>
    </w:p>
    <w:p>
      <w:pPr>
        <w:pStyle w:val="ListBullet"/>
        <w:spacing w:after="30" w:line="247" w:lineRule="auto"/>
        <w:ind w:left="255" w:hanging="113"/>
      </w:pPr>
      <w:r>
        <w:rPr>
          <w:rFonts w:ascii="Liberation Sans" w:hAnsi="Liberation Sans" w:eastAsia="Liberation Sans"/>
          <w:color w:val="1F2937"/>
          <w:sz w:val="18"/>
        </w:rPr>
        <w:t>Tank dips are physical observations and do not silently adjust book inventory.</w:t>
      </w:r>
    </w:p>
    <w:p>
      <w:pPr>
        <w:pStyle w:val="ListBullet"/>
        <w:spacing w:after="30" w:line="247" w:lineRule="auto"/>
        <w:ind w:left="255" w:hanging="113"/>
      </w:pPr>
      <w:r>
        <w:rPr>
          <w:rFonts w:ascii="Liberation Sans" w:hAnsi="Liberation Sans" w:eastAsia="Liberation Sans"/>
          <w:color w:val="1F2937"/>
          <w:sz w:val="18"/>
        </w:rPr>
        <w:t>Posted/locked business facts are corrected through reversal, compensation or approved adjustment rather than delete/edit.</w:t>
      </w:r>
    </w:p>
    <w:p>
      <w:pPr>
        <w:pStyle w:val="Heading1"/>
        <w:keepNext/>
        <w:spacing w:before="180" w:after="80"/>
      </w:pPr>
      <w:r>
        <w:rPr>
          <w:rFonts w:ascii="Liberation Sans" w:hAnsi="Liberation Sans" w:eastAsia="Liberation Sans"/>
          <w:b/>
          <w:color w:val="17324D"/>
          <w:sz w:val="36"/>
        </w:rPr>
        <w:t>1. Executive Product Definition</w:t>
      </w:r>
    </w:p>
    <w:p>
      <w:pPr>
        <w:jc w:val="center"/>
      </w:pPr>
      <w:r>
        <w:drawing>
          <wp:inline xmlns:a="http://schemas.openxmlformats.org/drawingml/2006/main" xmlns:pic="http://schemas.openxmlformats.org/drawingml/2006/picture">
            <wp:extent cx="5669280" cy="3335261"/>
            <wp:docPr id="1" name="Picture 1" descr="System context showing users, Shanda Fuel, ShandaHR API boundary, Neon PostgreSQL, private R2 storage, and notification/future integration adapters." title="Figure 1. System context and external boundaries."/>
            <wp:cNvGraphicFramePr>
              <a:graphicFrameLocks noChangeAspect="1"/>
            </wp:cNvGraphicFramePr>
            <a:graphic>
              <a:graphicData uri="http://schemas.openxmlformats.org/drawingml/2006/picture">
                <pic:pic>
                  <pic:nvPicPr>
                    <pic:cNvPr id="0" name="01_system_context.png"/>
                    <pic:cNvPicPr/>
                  </pic:nvPicPr>
                  <pic:blipFill>
                    <a:blip r:embed="rId11"/>
                    <a:stretch>
                      <a:fillRect/>
                    </a:stretch>
                  </pic:blipFill>
                  <pic:spPr>
                    <a:xfrm>
                      <a:off x="0" y="0"/>
                      <a:ext cx="5669280" cy="3335261"/>
                    </a:xfrm>
                    <a:prstGeom prst="rect"/>
                  </pic:spPr>
                </pic:pic>
              </a:graphicData>
            </a:graphic>
          </wp:inline>
        </w:drawing>
      </w:r>
    </w:p>
    <w:p>
      <w:pPr>
        <w:pStyle w:val="Caption"/>
        <w:jc w:val="center"/>
      </w:pPr>
      <w:r>
        <w:rPr>
          <w:i/>
          <w:color w:val="667085"/>
          <w:sz w:val="18"/>
        </w:rPr>
        <w:t>Figure 1. System context and external boundaries.</w:t>
      </w:r>
    </w:p>
    <w:p>
      <w:pPr>
        <w:spacing w:after="100" w:line="259" w:lineRule="auto"/>
      </w:pPr>
      <w:r>
        <w:rPr>
          <w:rFonts w:ascii="Liberation Sans" w:hAnsi="Liberation Sans" w:eastAsia="Liberation Sans"/>
          <w:color w:val="1F2937"/>
          <w:sz w:val="19"/>
        </w:rPr>
        <w:t>Shanda Fuel is a mobile-first service-station operations, reconciliation and management platform designed initially for TEI Oils and architected for commercial use by fuel-station businesses across Zimbabwe and Africa. The product connects the physical forecourt to inventory, cash custody, electronic settlements, suppliers, customer accounts, expenses, profitability, approvals, evidence and management reporting.</w:t>
      </w:r>
    </w:p>
    <w:tbl>
      <w:tblPr>
        <w:tblW w:type="auto" w:w="0"/>
        <w:jc w:val="center"/>
        <w:tblLayout w:type="autofit"/>
        <w:tblLook w:firstColumn="1" w:firstRow="1" w:lastColumn="0" w:lastRow="0" w:noHBand="0" w:noVBand="1" w:val="04A0"/>
      </w:tblPr>
      <w:tblGrid>
        <w:gridCol w:w="10036"/>
      </w:tblGrid>
      <w:tr>
        <w:tc>
          <w:tcPr>
            <w:tcW w:type="dxa" w:w="10036"/>
            <w:shd w:fill="EAF5F3"/>
            <w:tcMar>
              <w:top w:w="110" w:type="dxa"/>
              <w:start w:w="150" w:type="dxa"/>
              <w:bottom w:w="110" w:type="dxa"/>
              <w:end w:w="150" w:type="dxa"/>
            </w:tcMar>
          </w:tcPr>
          <w:p>
            <w:pPr>
              <w:spacing w:after="40"/>
            </w:pPr>
            <w:r>
              <w:rPr>
                <w:rFonts w:ascii="Liberation Sans" w:hAnsi="Liberation Sans" w:eastAsia="Liberation Sans"/>
                <w:b/>
                <w:color w:val="0F766E"/>
                <w:sz w:val="19"/>
              </w:rPr>
              <w:t>PRODUCT PROMISE</w:t>
            </w:r>
          </w:p>
          <w:p>
            <w:pPr>
              <w:spacing w:after="0"/>
            </w:pPr>
            <w:r>
              <w:rPr>
                <w:rFonts w:ascii="Liberation Sans" w:hAnsi="Liberation Sans" w:eastAsia="Liberation Sans"/>
                <w:color w:val="1F2937"/>
                <w:sz w:val="18"/>
              </w:rPr>
              <w:t>Enter operational information once, preserve physical and financial truth separately where necessary, approve it through explicit workflows, and use the same authoritative data for stock, cash, creditor/debtor, profitability and management reporting.</w:t>
            </w:r>
          </w:p>
        </w:tc>
      </w:tr>
    </w:tbl>
    <w:p>
      <w:pPr>
        <w:spacing w:after="20"/>
      </w:pPr>
    </w:p>
    <w:p>
      <w:pPr>
        <w:pStyle w:val="Heading2"/>
        <w:keepNext/>
        <w:spacing w:before="120" w:after="80"/>
      </w:pPr>
      <w:r>
        <w:rPr>
          <w:rFonts w:ascii="Liberation Sans" w:hAnsi="Liberation Sans" w:eastAsia="Liberation Sans"/>
          <w:b/>
          <w:color w:val="17324D"/>
          <w:sz w:val="27"/>
        </w:rPr>
        <w:t>1.1 Business Outcomes</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381"/>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Outcome</w:t>
            </w:r>
          </w:p>
        </w:tc>
        <w:tc>
          <w:tcPr>
            <w:tcW w:type="dxa" w:w="6690"/>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How Shanda Fuel achieves it</w:t>
            </w:r>
          </w:p>
        </w:tc>
      </w:tr>
      <w:tr>
        <w:trPr>
          <w:cantSplit/>
        </w:trPr>
        <w:tc>
          <w:tcPr>
            <w:tcW w:type="dxa" w:w="2381"/>
            <w:tcMar>
              <w:top w:w="80" w:type="dxa"/>
              <w:start w:w="90" w:type="dxa"/>
              <w:bottom w:w="80" w:type="dxa"/>
              <w:end w:w="90" w:type="dxa"/>
            </w:tcMar>
            <w:vAlign w:val="top"/>
          </w:tcPr>
          <w:p>
            <w:pPr>
              <w:spacing w:after="0"/>
            </w:pPr>
            <w:r>
              <w:rPr>
                <w:rFonts w:ascii="Liberation Sans" w:hAnsi="Liberation Sans" w:eastAsia="Liberation Sans"/>
                <w:color w:val="1F2937"/>
                <w:sz w:val="16"/>
              </w:rPr>
              <w:t>Remove paper-to-Excel duplication</w:t>
            </w:r>
          </w:p>
        </w:tc>
        <w:tc>
          <w:tcPr>
            <w:tcW w:type="dxa" w:w="6690"/>
            <w:tcMar>
              <w:top w:w="80" w:type="dxa"/>
              <w:start w:w="90" w:type="dxa"/>
              <w:bottom w:w="80" w:type="dxa"/>
              <w:end w:w="90" w:type="dxa"/>
            </w:tcMar>
            <w:vAlign w:val="top"/>
          </w:tcPr>
          <w:p>
            <w:pPr>
              <w:spacing w:after="0"/>
            </w:pPr>
            <w:r>
              <w:rPr>
                <w:rFonts w:ascii="Liberation Sans" w:hAnsi="Liberation Sans" w:eastAsia="Liberation Sans"/>
                <w:color w:val="1F2937"/>
                <w:sz w:val="16"/>
              </w:rPr>
              <w:t>Guided mobile workflows feed the same database used by management reports and exports.</w:t>
            </w:r>
          </w:p>
        </w:tc>
      </w:tr>
      <w:tr>
        <w:trPr>
          <w:cantSplit/>
        </w:trPr>
        <w:tc>
          <w:tcPr>
            <w:tcW w:type="dxa" w:w="2381"/>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Improve daily control</w:t>
            </w:r>
          </w:p>
        </w:tc>
        <w:tc>
          <w:tcPr>
            <w:tcW w:type="dxa" w:w="6690"/>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Meter, payment, cash, tank and delivery variances are calculated automatically and surfaced exception-first.</w:t>
            </w:r>
          </w:p>
        </w:tc>
      </w:tr>
      <w:tr>
        <w:trPr>
          <w:cantSplit/>
        </w:trPr>
        <w:tc>
          <w:tcPr>
            <w:tcW w:type="dxa" w:w="2381"/>
            <w:tcMar>
              <w:top w:w="80" w:type="dxa"/>
              <w:start w:w="90" w:type="dxa"/>
              <w:bottom w:w="80" w:type="dxa"/>
              <w:end w:w="90" w:type="dxa"/>
            </w:tcMar>
            <w:vAlign w:val="top"/>
          </w:tcPr>
          <w:p>
            <w:pPr>
              <w:spacing w:after="0"/>
            </w:pPr>
            <w:r>
              <w:rPr>
                <w:rFonts w:ascii="Liberation Sans" w:hAnsi="Liberation Sans" w:eastAsia="Liberation Sans"/>
                <w:color w:val="1F2937"/>
                <w:sz w:val="16"/>
              </w:rPr>
              <w:t>Know where money is</w:t>
            </w:r>
          </w:p>
        </w:tc>
        <w:tc>
          <w:tcPr>
            <w:tcW w:type="dxa" w:w="6690"/>
            <w:tcMar>
              <w:top w:w="80" w:type="dxa"/>
              <w:start w:w="90" w:type="dxa"/>
              <w:bottom w:w="80" w:type="dxa"/>
              <w:end w:w="90" w:type="dxa"/>
            </w:tcMar>
            <w:vAlign w:val="top"/>
          </w:tcPr>
          <w:p>
            <w:pPr>
              <w:spacing w:after="0"/>
            </w:pPr>
            <w:r>
              <w:rPr>
                <w:rFonts w:ascii="Liberation Sans" w:hAnsi="Liberation Sans" w:eastAsia="Liberation Sans"/>
                <w:color w:val="1F2937"/>
                <w:sz w:val="16"/>
              </w:rPr>
              <w:t>Cash custody follows station → transit/collector → deposit pending → bank confirmation; POS/EcoCash stays separate until settlement.</w:t>
            </w:r>
          </w:p>
        </w:tc>
      </w:tr>
      <w:tr>
        <w:trPr>
          <w:cantSplit/>
        </w:trPr>
        <w:tc>
          <w:tcPr>
            <w:tcW w:type="dxa" w:w="2381"/>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Know true stock and cost</w:t>
            </w:r>
          </w:p>
        </w:tc>
        <w:tc>
          <w:tcPr>
            <w:tcW w:type="dxa" w:w="6690"/>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Inventory pool ledger records receipt, sale, transfer, adjustment and revaluation quantities/values with moving WAC.</w:t>
            </w:r>
          </w:p>
        </w:tc>
      </w:tr>
      <w:tr>
        <w:trPr>
          <w:cantSplit/>
        </w:trPr>
        <w:tc>
          <w:tcPr>
            <w:tcW w:type="dxa" w:w="2381"/>
            <w:tcMar>
              <w:top w:w="80" w:type="dxa"/>
              <w:start w:w="90" w:type="dxa"/>
              <w:bottom w:w="80" w:type="dxa"/>
              <w:end w:w="90" w:type="dxa"/>
            </w:tcMar>
            <w:vAlign w:val="top"/>
          </w:tcPr>
          <w:p>
            <w:pPr>
              <w:spacing w:after="0"/>
            </w:pPr>
            <w:r>
              <w:rPr>
                <w:rFonts w:ascii="Liberation Sans" w:hAnsi="Liberation Sans" w:eastAsia="Liberation Sans"/>
                <w:color w:val="1F2937"/>
                <w:sz w:val="16"/>
              </w:rPr>
              <w:t>Control credit and suppliers</w:t>
            </w:r>
          </w:p>
        </w:tc>
        <w:tc>
          <w:tcPr>
            <w:tcW w:type="dxa" w:w="6690"/>
            <w:tcMar>
              <w:top w:w="80" w:type="dxa"/>
              <w:start w:w="90" w:type="dxa"/>
              <w:bottom w:w="80" w:type="dxa"/>
              <w:end w:w="90" w:type="dxa"/>
            </w:tcMar>
            <w:vAlign w:val="top"/>
          </w:tcPr>
          <w:p>
            <w:pPr>
              <w:spacing w:after="0"/>
            </w:pPr>
            <w:r>
              <w:rPr>
                <w:rFonts w:ascii="Liberation Sans" w:hAnsi="Liberation Sans" w:eastAsia="Liberation Sans"/>
                <w:color w:val="1F2937"/>
                <w:sz w:val="16"/>
              </w:rPr>
              <w:t>Supplier and customer ledgers, allocations, aging, limits and approvals are explicit.</w:t>
            </w:r>
          </w:p>
        </w:tc>
      </w:tr>
      <w:tr>
        <w:trPr>
          <w:cantSplit/>
        </w:trPr>
        <w:tc>
          <w:tcPr>
            <w:tcW w:type="dxa" w:w="2381"/>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Get trustworthy profit</w:t>
            </w:r>
          </w:p>
        </w:tc>
        <w:tc>
          <w:tcPr>
            <w:tcW w:type="dxa" w:w="6690"/>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Revenue, COGS, operating expenses and fixed-cost recognition come from canonical movements and calculation logic.</w:t>
            </w:r>
          </w:p>
        </w:tc>
      </w:tr>
      <w:tr>
        <w:trPr>
          <w:cantSplit/>
        </w:trPr>
        <w:tc>
          <w:tcPr>
            <w:tcW w:type="dxa" w:w="2381"/>
            <w:tcMar>
              <w:top w:w="80" w:type="dxa"/>
              <w:start w:w="90" w:type="dxa"/>
              <w:bottom w:w="80" w:type="dxa"/>
              <w:end w:w="90" w:type="dxa"/>
            </w:tcMar>
            <w:vAlign w:val="top"/>
          </w:tcPr>
          <w:p>
            <w:pPr>
              <w:spacing w:after="0"/>
            </w:pPr>
            <w:r>
              <w:rPr>
                <w:rFonts w:ascii="Liberation Sans" w:hAnsi="Liberation Sans" w:eastAsia="Liberation Sans"/>
                <w:color w:val="1F2937"/>
                <w:sz w:val="16"/>
              </w:rPr>
              <w:t>Prepare for scale</w:t>
            </w:r>
          </w:p>
        </w:tc>
        <w:tc>
          <w:tcPr>
            <w:tcW w:type="dxa" w:w="6690"/>
            <w:tcMar>
              <w:top w:w="80" w:type="dxa"/>
              <w:start w:w="90" w:type="dxa"/>
              <w:bottom w:w="80" w:type="dxa"/>
              <w:end w:w="90" w:type="dxa"/>
            </w:tcMar>
            <w:vAlign w:val="top"/>
          </w:tcPr>
          <w:p>
            <w:pPr>
              <w:spacing w:after="0"/>
            </w:pPr>
            <w:r>
              <w:rPr>
                <w:rFonts w:ascii="Liberation Sans" w:hAnsi="Liberation Sans" w:eastAsia="Liberation Sans"/>
                <w:color w:val="1F2937"/>
                <w:sz w:val="16"/>
              </w:rPr>
              <w:t>Tenant-aware schema, granular permissions, reproducible reports, jobs, audit and onboarding are designed from day one.</w:t>
            </w:r>
          </w:p>
        </w:tc>
      </w:tr>
    </w:tbl>
    <w:p>
      <w:pPr>
        <w:spacing w:after="40"/>
      </w:pPr>
    </w:p>
    <w:p>
      <w:pPr>
        <w:pStyle w:val="Heading2"/>
        <w:keepNext/>
        <w:spacing w:before="120" w:after="80"/>
      </w:pPr>
      <w:r>
        <w:rPr>
          <w:rFonts w:ascii="Liberation Sans" w:hAnsi="Liberation Sans" w:eastAsia="Liberation Sans"/>
          <w:b/>
          <w:color w:val="17324D"/>
          <w:sz w:val="27"/>
        </w:rPr>
        <w:t>1.2 Product Principles</w:t>
      </w:r>
    </w:p>
    <w:p>
      <w:pPr>
        <w:pStyle w:val="ListBullet"/>
        <w:spacing w:after="30" w:line="247" w:lineRule="auto"/>
        <w:ind w:left="255" w:hanging="113"/>
      </w:pPr>
      <w:r>
        <w:rPr>
          <w:rFonts w:ascii="Liberation Sans" w:hAnsi="Liberation Sans" w:eastAsia="Liberation Sans"/>
          <w:color w:val="1F2937"/>
          <w:sz w:val="18"/>
        </w:rPr>
        <w:t>Simple by default. Powerful when needed. Explicit when risky.</w:t>
      </w:r>
    </w:p>
    <w:p>
      <w:pPr>
        <w:pStyle w:val="ListBullet"/>
        <w:spacing w:after="30" w:line="247" w:lineRule="auto"/>
        <w:ind w:left="255" w:hanging="113"/>
      </w:pPr>
      <w:r>
        <w:rPr>
          <w:rFonts w:ascii="Liberation Sans" w:hAnsi="Liberation Sans" w:eastAsia="Liberation Sans"/>
          <w:color w:val="1F2937"/>
          <w:sz w:val="18"/>
        </w:rPr>
        <w:t>Physical occurrence, commercial paperwork and financial recognition may happen at different times; none is silently erased to make numbers look neat.</w:t>
      </w:r>
    </w:p>
    <w:p>
      <w:pPr>
        <w:pStyle w:val="ListBullet"/>
        <w:spacing w:after="30" w:line="247" w:lineRule="auto"/>
        <w:ind w:left="255" w:hanging="113"/>
      </w:pPr>
      <w:r>
        <w:rPr>
          <w:rFonts w:ascii="Liberation Sans" w:hAnsi="Liberation Sans" w:eastAsia="Liberation Sans"/>
          <w:color w:val="1F2937"/>
          <w:sz w:val="18"/>
        </w:rPr>
        <w:t>One dominant action per screen where practical; normal matching data stays quiet and exceptions get attention.</w:t>
      </w:r>
    </w:p>
    <w:p>
      <w:pPr>
        <w:pStyle w:val="ListBullet"/>
        <w:spacing w:after="30" w:line="247" w:lineRule="auto"/>
        <w:ind w:left="255" w:hanging="113"/>
      </w:pPr>
      <w:r>
        <w:rPr>
          <w:rFonts w:ascii="Liberation Sans" w:hAnsi="Liberation Sans" w:eastAsia="Liberation Sans"/>
          <w:color w:val="1F2937"/>
          <w:sz w:val="18"/>
        </w:rPr>
        <w:t>Official state changes occur through named commands and state machines, never arbitrary status updates.</w:t>
      </w:r>
    </w:p>
    <w:p>
      <w:pPr>
        <w:pStyle w:val="ListBullet"/>
        <w:spacing w:after="30" w:line="247" w:lineRule="auto"/>
        <w:ind w:left="255" w:hanging="113"/>
      </w:pPr>
      <w:r>
        <w:rPr>
          <w:rFonts w:ascii="Liberation Sans" w:hAnsi="Liberation Sans" w:eastAsia="Liberation Sans"/>
          <w:color w:val="1F2937"/>
          <w:sz w:val="18"/>
        </w:rPr>
        <w:t>The owner has highest business authority but is not an integrity/security bypass.</w:t>
      </w:r>
    </w:p>
    <w:p>
      <w:pPr>
        <w:pStyle w:val="Heading2"/>
        <w:keepNext/>
        <w:spacing w:before="120" w:after="80"/>
      </w:pPr>
      <w:r>
        <w:rPr>
          <w:rFonts w:ascii="Liberation Sans" w:hAnsi="Liberation Sans" w:eastAsia="Liberation Sans"/>
          <w:b/>
          <w:color w:val="17324D"/>
          <w:sz w:val="27"/>
        </w:rPr>
        <w:t>1.3 V1 Scope</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1928"/>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Area</w:t>
            </w:r>
          </w:p>
        </w:tc>
        <w:tc>
          <w:tcPr>
            <w:tcW w:type="dxa" w:w="7143"/>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V1 coverage</w:t>
            </w:r>
          </w:p>
        </w:tc>
      </w:tr>
      <w:tr>
        <w:trPr>
          <w:cantSplit/>
        </w:trPr>
        <w:tc>
          <w:tcPr>
            <w:tcW w:type="dxa" w:w="1928"/>
            <w:tcMar>
              <w:top w:w="80" w:type="dxa"/>
              <w:start w:w="90" w:type="dxa"/>
              <w:bottom w:w="80" w:type="dxa"/>
              <w:end w:w="90" w:type="dxa"/>
            </w:tcMar>
            <w:vAlign w:val="top"/>
          </w:tcPr>
          <w:p>
            <w:pPr>
              <w:spacing w:after="0"/>
            </w:pPr>
            <w:r>
              <w:rPr>
                <w:rFonts w:ascii="Liberation Sans" w:hAnsi="Liberation Sans" w:eastAsia="Liberation Sans"/>
                <w:color w:val="1F2937"/>
                <w:sz w:val="16"/>
              </w:rPr>
              <w:t>Access &amp; setup</w:t>
            </w:r>
          </w:p>
        </w:tc>
        <w:tc>
          <w:tcPr>
            <w:tcW w:type="dxa" w:w="7143"/>
            <w:tcMar>
              <w:top w:w="80" w:type="dxa"/>
              <w:start w:w="90" w:type="dxa"/>
              <w:bottom w:w="80" w:type="dxa"/>
              <w:end w:w="90" w:type="dxa"/>
            </w:tcMar>
            <w:vAlign w:val="top"/>
          </w:tcPr>
          <w:p>
            <w:pPr>
              <w:spacing w:after="0"/>
            </w:pPr>
            <w:r>
              <w:rPr>
                <w:rFonts w:ascii="Liberation Sans" w:hAnsi="Liberation Sans" w:eastAsia="Liberation Sans"/>
                <w:color w:val="1F2937"/>
                <w:sz w:val="16"/>
              </w:rPr>
              <w:t>Tenant, legal entity, stations, users, roles, permissions, products, shifts, pumps/nozzles/meters, tanks, prices and payment channels</w:t>
            </w:r>
          </w:p>
        </w:tc>
      </w:tr>
      <w:tr>
        <w:trPr>
          <w:cantSplit/>
        </w:trPr>
        <w:tc>
          <w:tcPr>
            <w:tcW w:type="dxa" w:w="1928"/>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Forecourt</w:t>
            </w:r>
          </w:p>
        </w:tc>
        <w:tc>
          <w:tcPr>
            <w:tcW w:type="dxa" w:w="7143"/>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Business day, shift, opening/closing meter boundaries, attendant handover, meter segments and expected sales</w:t>
            </w:r>
          </w:p>
        </w:tc>
      </w:tr>
      <w:tr>
        <w:trPr>
          <w:cantSplit/>
        </w:trPr>
        <w:tc>
          <w:tcPr>
            <w:tcW w:type="dxa" w:w="1928"/>
            <w:tcMar>
              <w:top w:w="80" w:type="dxa"/>
              <w:start w:w="90" w:type="dxa"/>
              <w:bottom w:w="80" w:type="dxa"/>
              <w:end w:w="90" w:type="dxa"/>
            </w:tcMar>
            <w:vAlign w:val="top"/>
          </w:tcPr>
          <w:p>
            <w:pPr>
              <w:spacing w:after="0"/>
            </w:pPr>
            <w:r>
              <w:rPr>
                <w:rFonts w:ascii="Liberation Sans" w:hAnsi="Liberation Sans" w:eastAsia="Liberation Sans"/>
                <w:color w:val="1F2937"/>
                <w:sz w:val="16"/>
              </w:rPr>
              <w:t>Reconciliation</w:t>
            </w:r>
          </w:p>
        </w:tc>
        <w:tc>
          <w:tcPr>
            <w:tcW w:type="dxa" w:w="7143"/>
            <w:tcMar>
              <w:top w:w="80" w:type="dxa"/>
              <w:start w:w="90" w:type="dxa"/>
              <w:bottom w:w="80" w:type="dxa"/>
              <w:end w:w="90" w:type="dxa"/>
            </w:tcMar>
            <w:vAlign w:val="top"/>
          </w:tcPr>
          <w:p>
            <w:pPr>
              <w:spacing w:after="0"/>
            </w:pPr>
            <w:r>
              <w:rPr>
                <w:rFonts w:ascii="Liberation Sans" w:hAnsi="Liberation Sans" w:eastAsia="Liberation Sans"/>
                <w:color w:val="1F2937"/>
                <w:sz w:val="16"/>
              </w:rPr>
              <w:t>Attendant declarations, supervisor reconciliation, variance explanations, management approval, posting and lock</w:t>
            </w:r>
          </w:p>
        </w:tc>
      </w:tr>
      <w:tr>
        <w:trPr>
          <w:cantSplit/>
        </w:trPr>
        <w:tc>
          <w:tcPr>
            <w:tcW w:type="dxa" w:w="1928"/>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Inventory</w:t>
            </w:r>
          </w:p>
        </w:tc>
        <w:tc>
          <w:tcPr>
            <w:tcW w:type="dxa" w:w="7143"/>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Inventory pools, deliveries, dips/calibration, WAC costing, adjustments, transfers structure, revaluation</w:t>
            </w:r>
          </w:p>
        </w:tc>
      </w:tr>
      <w:tr>
        <w:trPr>
          <w:cantSplit/>
        </w:trPr>
        <w:tc>
          <w:tcPr>
            <w:tcW w:type="dxa" w:w="1928"/>
            <w:tcMar>
              <w:top w:w="80" w:type="dxa"/>
              <w:start w:w="90" w:type="dxa"/>
              <w:bottom w:w="80" w:type="dxa"/>
              <w:end w:w="90" w:type="dxa"/>
            </w:tcMar>
            <w:vAlign w:val="top"/>
          </w:tcPr>
          <w:p>
            <w:pPr>
              <w:spacing w:after="0"/>
            </w:pPr>
            <w:r>
              <w:rPr>
                <w:rFonts w:ascii="Liberation Sans" w:hAnsi="Liberation Sans" w:eastAsia="Liberation Sans"/>
                <w:color w:val="1F2937"/>
                <w:sz w:val="16"/>
              </w:rPr>
              <w:t>Money</w:t>
            </w:r>
          </w:p>
        </w:tc>
        <w:tc>
          <w:tcPr>
            <w:tcW w:type="dxa" w:w="7143"/>
            <w:tcMar>
              <w:top w:w="80" w:type="dxa"/>
              <w:start w:w="90" w:type="dxa"/>
              <w:bottom w:w="80" w:type="dxa"/>
              <w:end w:w="90" w:type="dxa"/>
            </w:tcMar>
            <w:vAlign w:val="top"/>
          </w:tcPr>
          <w:p>
            <w:pPr>
              <w:spacing w:after="0"/>
            </w:pPr>
            <w:r>
              <w:rPr>
                <w:rFonts w:ascii="Liberation Sans" w:hAnsi="Liberation Sans" w:eastAsia="Liberation Sans"/>
                <w:color w:val="1F2937"/>
                <w:sz w:val="16"/>
              </w:rPr>
              <w:t>Cash custody/counts/handovers/collections/deposits, bank tracking, POS/EcoCash/provider settlement</w:t>
            </w:r>
          </w:p>
        </w:tc>
      </w:tr>
      <w:tr>
        <w:trPr>
          <w:cantSplit/>
        </w:trPr>
        <w:tc>
          <w:tcPr>
            <w:tcW w:type="dxa" w:w="1928"/>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Suppliers</w:t>
            </w:r>
          </w:p>
        </w:tc>
        <w:tc>
          <w:tcPr>
            <w:tcW w:type="dxa" w:w="7143"/>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Invoices, due dates, unbilled exposure, credit notes, payments, allocations, aging/statements</w:t>
            </w:r>
          </w:p>
        </w:tc>
      </w:tr>
      <w:tr>
        <w:trPr>
          <w:cantSplit/>
        </w:trPr>
        <w:tc>
          <w:tcPr>
            <w:tcW w:type="dxa" w:w="1928"/>
            <w:tcMar>
              <w:top w:w="80" w:type="dxa"/>
              <w:start w:w="90" w:type="dxa"/>
              <w:bottom w:w="80" w:type="dxa"/>
              <w:end w:w="90" w:type="dxa"/>
            </w:tcMar>
            <w:vAlign w:val="top"/>
          </w:tcPr>
          <w:p>
            <w:pPr>
              <w:spacing w:after="0"/>
            </w:pPr>
            <w:r>
              <w:rPr>
                <w:rFonts w:ascii="Liberation Sans" w:hAnsi="Liberation Sans" w:eastAsia="Liberation Sans"/>
                <w:color w:val="1F2937"/>
                <w:sz w:val="16"/>
              </w:rPr>
              <w:t>Customers</w:t>
            </w:r>
          </w:p>
        </w:tc>
        <w:tc>
          <w:tcPr>
            <w:tcW w:type="dxa" w:w="7143"/>
            <w:tcMar>
              <w:top w:w="80" w:type="dxa"/>
              <w:start w:w="90" w:type="dxa"/>
              <w:bottom w:w="80" w:type="dxa"/>
              <w:end w:w="90" w:type="dxa"/>
            </w:tcMar>
            <w:vAlign w:val="top"/>
          </w:tcPr>
          <w:p>
            <w:pPr>
              <w:spacing w:after="0"/>
            </w:pPr>
            <w:r>
              <w:rPr>
                <w:rFonts w:ascii="Liberation Sans" w:hAnsi="Liberation Sans" w:eastAsia="Liberation Sans"/>
                <w:color w:val="1F2937"/>
                <w:sz w:val="16"/>
              </w:rPr>
              <w:t>Credit, prepaid value, prepaid litres, benefit, vehicle/driver controls, authorizations, payments, billing</w:t>
            </w:r>
          </w:p>
        </w:tc>
      </w:tr>
      <w:tr>
        <w:trPr>
          <w:cantSplit/>
        </w:trPr>
        <w:tc>
          <w:tcPr>
            <w:tcW w:type="dxa" w:w="1928"/>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Expenses</w:t>
            </w:r>
          </w:p>
        </w:tc>
        <w:tc>
          <w:tcPr>
            <w:tcW w:type="dxa" w:w="7143"/>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Daily expense workflows, cash/bank/payable effects, recurring/fixed cost recognition</w:t>
            </w:r>
          </w:p>
        </w:tc>
      </w:tr>
      <w:tr>
        <w:trPr>
          <w:cantSplit/>
        </w:trPr>
        <w:tc>
          <w:tcPr>
            <w:tcW w:type="dxa" w:w="1928"/>
            <w:tcMar>
              <w:top w:w="80" w:type="dxa"/>
              <w:start w:w="90" w:type="dxa"/>
              <w:bottom w:w="80" w:type="dxa"/>
              <w:end w:w="90" w:type="dxa"/>
            </w:tcMar>
            <w:vAlign w:val="top"/>
          </w:tcPr>
          <w:p>
            <w:pPr>
              <w:spacing w:after="0"/>
            </w:pPr>
            <w:r>
              <w:rPr>
                <w:rFonts w:ascii="Liberation Sans" w:hAnsi="Liberation Sans" w:eastAsia="Liberation Sans"/>
                <w:color w:val="1F2937"/>
                <w:sz w:val="16"/>
              </w:rPr>
              <w:t>Management</w:t>
            </w:r>
          </w:p>
        </w:tc>
        <w:tc>
          <w:tcPr>
            <w:tcW w:type="dxa" w:w="7143"/>
            <w:tcMar>
              <w:top w:w="80" w:type="dxa"/>
              <w:start w:w="90" w:type="dxa"/>
              <w:bottom w:w="80" w:type="dxa"/>
              <w:end w:w="90" w:type="dxa"/>
            </w:tcMar>
            <w:vAlign w:val="top"/>
          </w:tcPr>
          <w:p>
            <w:pPr>
              <w:spacing w:after="0"/>
            </w:pPr>
            <w:r>
              <w:rPr>
                <w:rFonts w:ascii="Liberation Sans" w:hAnsi="Liberation Sans" w:eastAsia="Liberation Sans"/>
                <w:color w:val="1F2937"/>
                <w:sz w:val="16"/>
              </w:rPr>
              <w:t>Profitability, operational financial position, Action Center, curated reports, PDF/XLSX exports, audit</w:t>
            </w:r>
          </w:p>
        </w:tc>
      </w:tr>
    </w:tbl>
    <w:p>
      <w:pPr>
        <w:spacing w:after="40"/>
      </w:pPr>
    </w:p>
    <w:p>
      <w:pPr>
        <w:pStyle w:val="Heading2"/>
        <w:keepNext/>
        <w:spacing w:before="120" w:after="80"/>
      </w:pPr>
      <w:r>
        <w:rPr>
          <w:rFonts w:ascii="Liberation Sans" w:hAnsi="Liberation Sans" w:eastAsia="Liberation Sans"/>
          <w:b/>
          <w:color w:val="17324D"/>
          <w:sz w:val="27"/>
        </w:rPr>
        <w:t>1.4 Explicit V1 Non-Goals</w:t>
      </w:r>
    </w:p>
    <w:p>
      <w:pPr>
        <w:pStyle w:val="ListBullet"/>
        <w:spacing w:after="30" w:line="247" w:lineRule="auto"/>
        <w:ind w:left="255" w:hanging="113"/>
      </w:pPr>
      <w:r>
        <w:rPr>
          <w:rFonts w:ascii="Liberation Sans" w:hAnsi="Liberation Sans" w:eastAsia="Liberation Sans"/>
          <w:color w:val="1F2937"/>
          <w:sz w:val="18"/>
        </w:rPr>
        <w:t>No full general ledger or statutory accounting suite.</w:t>
      </w:r>
    </w:p>
    <w:p>
      <w:pPr>
        <w:pStyle w:val="ListBullet"/>
        <w:spacing w:after="30" w:line="247" w:lineRule="auto"/>
        <w:ind w:left="255" w:hanging="113"/>
      </w:pPr>
      <w:r>
        <w:rPr>
          <w:rFonts w:ascii="Liberation Sans" w:hAnsi="Liberation Sans" w:eastAsia="Liberation Sans"/>
          <w:color w:val="1F2937"/>
          <w:sz w:val="18"/>
        </w:rPr>
        <w:t>No invented tax engine before accountant confirmation of applicable treatment and invoice requirements.</w:t>
      </w:r>
    </w:p>
    <w:p>
      <w:pPr>
        <w:pStyle w:val="ListBullet"/>
        <w:spacing w:after="30" w:line="247" w:lineRule="auto"/>
        <w:ind w:left="255" w:hanging="113"/>
      </w:pPr>
      <w:r>
        <w:rPr>
          <w:rFonts w:ascii="Liberation Sans" w:hAnsi="Liberation Sans" w:eastAsia="Liberation Sans"/>
          <w:color w:val="1F2937"/>
          <w:sz w:val="18"/>
        </w:rPr>
        <w:t>No microservices, event-bus platform or premature warehouse/BI stack.</w:t>
      </w:r>
    </w:p>
    <w:p>
      <w:pPr>
        <w:pStyle w:val="ListBullet"/>
        <w:spacing w:after="30" w:line="247" w:lineRule="auto"/>
        <w:ind w:left="255" w:hanging="113"/>
      </w:pPr>
      <w:r>
        <w:rPr>
          <w:rFonts w:ascii="Liberation Sans" w:hAnsi="Liberation Sans" w:eastAsia="Liberation Sans"/>
          <w:color w:val="1F2937"/>
          <w:sz w:val="18"/>
        </w:rPr>
        <w:t>No unrestricted offline financial posting; offline support is for limited drafts only.</w:t>
      </w:r>
    </w:p>
    <w:p>
      <w:pPr>
        <w:pStyle w:val="ListBullet"/>
        <w:spacing w:after="30" w:line="247" w:lineRule="auto"/>
        <w:ind w:left="255" w:hanging="113"/>
      </w:pPr>
      <w:r>
        <w:rPr>
          <w:rFonts w:ascii="Liberation Sans" w:hAnsi="Liberation Sans" w:eastAsia="Liberation Sans"/>
          <w:color w:val="1F2937"/>
          <w:sz w:val="18"/>
        </w:rPr>
        <w:t>No OCR/AI posting of receipts/invoices in V1; upload + manual structured entry is safer and cheaper.</w:t>
      </w:r>
    </w:p>
    <w:p>
      <w:pPr>
        <w:pStyle w:val="ListBullet"/>
        <w:spacing w:after="30" w:line="247" w:lineRule="auto"/>
        <w:ind w:left="255" w:hanging="113"/>
      </w:pPr>
      <w:r>
        <w:rPr>
          <w:rFonts w:ascii="Liberation Sans" w:hAnsi="Liberation Sans" w:eastAsia="Liberation Sans"/>
          <w:color w:val="1F2937"/>
          <w:sz w:val="18"/>
        </w:rPr>
        <w:t>No direct bank integration required for V1; bank confirmation can be manual and auditable.</w:t>
      </w:r>
    </w:p>
    <w:p>
      <w:pPr>
        <w:pStyle w:val="Heading1"/>
        <w:keepNext/>
        <w:spacing w:before="180" w:after="80"/>
      </w:pPr>
      <w:r>
        <w:rPr>
          <w:rFonts w:ascii="Liberation Sans" w:hAnsi="Liberation Sans" w:eastAsia="Liberation Sans"/>
          <w:b/>
          <w:color w:val="17324D"/>
          <w:sz w:val="36"/>
        </w:rPr>
        <w:t>2. Users, Roles &amp; Experience</w:t>
      </w:r>
    </w:p>
    <w:p>
      <w:pPr>
        <w:pStyle w:val="Heading2"/>
        <w:keepNext/>
        <w:spacing w:before="120" w:after="80"/>
      </w:pPr>
      <w:r>
        <w:rPr>
          <w:rFonts w:ascii="Liberation Sans" w:hAnsi="Liberation Sans" w:eastAsia="Liberation Sans"/>
          <w:b/>
          <w:color w:val="17324D"/>
          <w:sz w:val="27"/>
        </w:rPr>
        <w:t>2.1 Role Model</w:t>
      </w:r>
    </w:p>
    <w:tbl>
      <w:tblPr>
        <w:tblStyle w:val="TableGrid"/>
        <w:tblW w:type="auto" w:w="0"/>
        <w:jc w:val="center"/>
        <w:tblLook w:firstColumn="1" w:firstRow="1" w:lastColumn="0" w:lastRow="0" w:noHBand="0" w:noVBand="1" w:val="04A0"/>
      </w:tblPr>
      <w:tblGrid>
        <w:gridCol w:w="3345"/>
        <w:gridCol w:w="3345"/>
        <w:gridCol w:w="3345"/>
      </w:tblGrid>
      <w:tr>
        <w:trPr>
          <w:tblHeader w:val="true"/>
        </w:trPr>
        <w:tc>
          <w:tcPr>
            <w:tcW w:type="dxa" w:w="1361"/>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Role</w:t>
            </w:r>
          </w:p>
        </w:tc>
        <w:tc>
          <w:tcPr>
            <w:tcW w:type="dxa" w:w="5102"/>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Primary responsibility</w:t>
            </w:r>
          </w:p>
        </w:tc>
        <w:tc>
          <w:tcPr>
            <w:tcW w:type="dxa" w:w="2608"/>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Default scope</w:t>
            </w:r>
          </w:p>
        </w:tc>
      </w:tr>
      <w:tr>
        <w:trPr>
          <w:cantSplit/>
        </w:trPr>
        <w:tc>
          <w:tcPr>
            <w:tcW w:type="dxa" w:w="1361"/>
            <w:tcMar>
              <w:top w:w="80" w:type="dxa"/>
              <w:start w:w="90" w:type="dxa"/>
              <w:bottom w:w="80" w:type="dxa"/>
              <w:end w:w="90" w:type="dxa"/>
            </w:tcMar>
            <w:vAlign w:val="top"/>
          </w:tcPr>
          <w:p>
            <w:pPr>
              <w:spacing w:after="0"/>
            </w:pPr>
            <w:r>
              <w:rPr>
                <w:rFonts w:ascii="Liberation Sans" w:hAnsi="Liberation Sans" w:eastAsia="Liberation Sans"/>
                <w:color w:val="1F2937"/>
                <w:sz w:val="16"/>
              </w:rPr>
              <w:t>Owner</w:t>
            </w:r>
          </w:p>
        </w:tc>
        <w:tc>
          <w:tcPr>
            <w:tcW w:type="dxa" w:w="5102"/>
            <w:tcMar>
              <w:top w:w="80" w:type="dxa"/>
              <w:start w:w="90" w:type="dxa"/>
              <w:bottom w:w="80" w:type="dxa"/>
              <w:end w:w="90" w:type="dxa"/>
            </w:tcMar>
            <w:vAlign w:val="top"/>
          </w:tcPr>
          <w:p>
            <w:pPr>
              <w:spacing w:after="0"/>
            </w:pPr>
            <w:r>
              <w:rPr>
                <w:rFonts w:ascii="Liberation Sans" w:hAnsi="Liberation Sans" w:eastAsia="Liberation Sans"/>
                <w:color w:val="1F2937"/>
                <w:sz w:val="16"/>
              </w:rPr>
              <w:t>Business authority, high-risk approvals, company-wide management and configuration</w:t>
            </w:r>
          </w:p>
        </w:tc>
        <w:tc>
          <w:tcPr>
            <w:tcW w:type="dxa" w:w="2608"/>
            <w:tcMar>
              <w:top w:w="80" w:type="dxa"/>
              <w:start w:w="90" w:type="dxa"/>
              <w:bottom w:w="80" w:type="dxa"/>
              <w:end w:w="90" w:type="dxa"/>
            </w:tcMar>
            <w:vAlign w:val="top"/>
          </w:tcPr>
          <w:p>
            <w:pPr>
              <w:spacing w:after="0"/>
            </w:pPr>
            <w:r>
              <w:rPr>
                <w:rFonts w:ascii="Liberation Sans" w:hAnsi="Liberation Sans" w:eastAsia="Liberation Sans"/>
                <w:color w:val="1F2937"/>
                <w:sz w:val="16"/>
              </w:rPr>
              <w:t>Tenant / legal entity</w:t>
            </w:r>
          </w:p>
        </w:tc>
      </w:tr>
      <w:tr>
        <w:trPr>
          <w:cantSplit/>
        </w:trPr>
        <w:tc>
          <w:tcPr>
            <w:tcW w:type="dxa" w:w="1361"/>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Administrator</w:t>
            </w:r>
          </w:p>
        </w:tc>
        <w:tc>
          <w:tcPr>
            <w:tcW w:type="dxa" w:w="5102"/>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Operational administration, users/configuration according to granted permissions</w:t>
            </w:r>
          </w:p>
        </w:tc>
        <w:tc>
          <w:tcPr>
            <w:tcW w:type="dxa" w:w="2608"/>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Tenant / legal entity / station</w:t>
            </w:r>
          </w:p>
        </w:tc>
      </w:tr>
      <w:tr>
        <w:trPr>
          <w:cantSplit/>
        </w:trPr>
        <w:tc>
          <w:tcPr>
            <w:tcW w:type="dxa" w:w="1361"/>
            <w:tcMar>
              <w:top w:w="80" w:type="dxa"/>
              <w:start w:w="90" w:type="dxa"/>
              <w:bottom w:w="80" w:type="dxa"/>
              <w:end w:w="90" w:type="dxa"/>
            </w:tcMar>
            <w:vAlign w:val="top"/>
          </w:tcPr>
          <w:p>
            <w:pPr>
              <w:spacing w:after="0"/>
            </w:pPr>
            <w:r>
              <w:rPr>
                <w:rFonts w:ascii="Liberation Sans" w:hAnsi="Liberation Sans" w:eastAsia="Liberation Sans"/>
                <w:color w:val="1F2937"/>
                <w:sz w:val="16"/>
              </w:rPr>
              <w:t>Finance</w:t>
            </w:r>
          </w:p>
        </w:tc>
        <w:tc>
          <w:tcPr>
            <w:tcW w:type="dxa" w:w="5102"/>
            <w:tcMar>
              <w:top w:w="80" w:type="dxa"/>
              <w:start w:w="90" w:type="dxa"/>
              <w:bottom w:w="80" w:type="dxa"/>
              <w:end w:w="90" w:type="dxa"/>
            </w:tcMar>
            <w:vAlign w:val="top"/>
          </w:tcPr>
          <w:p>
            <w:pPr>
              <w:spacing w:after="0"/>
            </w:pPr>
            <w:r>
              <w:rPr>
                <w:rFonts w:ascii="Liberation Sans" w:hAnsi="Liberation Sans" w:eastAsia="Liberation Sans"/>
                <w:color w:val="1F2937"/>
                <w:sz w:val="16"/>
              </w:rPr>
              <w:t>Suppliers, deposits, settlements, customers, expenses and financial reporting</w:t>
            </w:r>
          </w:p>
        </w:tc>
        <w:tc>
          <w:tcPr>
            <w:tcW w:type="dxa" w:w="2608"/>
            <w:tcMar>
              <w:top w:w="80" w:type="dxa"/>
              <w:start w:w="90" w:type="dxa"/>
              <w:bottom w:w="80" w:type="dxa"/>
              <w:end w:w="90" w:type="dxa"/>
            </w:tcMar>
            <w:vAlign w:val="top"/>
          </w:tcPr>
          <w:p>
            <w:pPr>
              <w:spacing w:after="0"/>
            </w:pPr>
            <w:r>
              <w:rPr>
                <w:rFonts w:ascii="Liberation Sans" w:hAnsi="Liberation Sans" w:eastAsia="Liberation Sans"/>
                <w:color w:val="1F2937"/>
                <w:sz w:val="16"/>
              </w:rPr>
              <w:t>Tenant / legal entity</w:t>
            </w:r>
          </w:p>
        </w:tc>
      </w:tr>
      <w:tr>
        <w:trPr>
          <w:cantSplit/>
        </w:trPr>
        <w:tc>
          <w:tcPr>
            <w:tcW w:type="dxa" w:w="1361"/>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Supervisor</w:t>
            </w:r>
          </w:p>
        </w:tc>
        <w:tc>
          <w:tcPr>
            <w:tcW w:type="dxa" w:w="5102"/>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Operate station day/shift, meters, deliveries, dips, cash, expenses and reconciliation submission</w:t>
            </w:r>
          </w:p>
        </w:tc>
        <w:tc>
          <w:tcPr>
            <w:tcW w:type="dxa" w:w="2608"/>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Station</w:t>
            </w:r>
          </w:p>
        </w:tc>
      </w:tr>
      <w:tr>
        <w:trPr>
          <w:cantSplit/>
        </w:trPr>
        <w:tc>
          <w:tcPr>
            <w:tcW w:type="dxa" w:w="1361"/>
            <w:tcMar>
              <w:top w:w="80" w:type="dxa"/>
              <w:start w:w="90" w:type="dxa"/>
              <w:bottom w:w="80" w:type="dxa"/>
              <w:end w:w="90" w:type="dxa"/>
            </w:tcMar>
            <w:vAlign w:val="top"/>
          </w:tcPr>
          <w:p>
            <w:pPr>
              <w:spacing w:after="0"/>
            </w:pPr>
            <w:r>
              <w:rPr>
                <w:rFonts w:ascii="Liberation Sans" w:hAnsi="Liberation Sans" w:eastAsia="Liberation Sans"/>
                <w:color w:val="1F2937"/>
                <w:sz w:val="16"/>
              </w:rPr>
              <w:t>Attendant</w:t>
            </w:r>
          </w:p>
        </w:tc>
        <w:tc>
          <w:tcPr>
            <w:tcW w:type="dxa" w:w="5102"/>
            <w:tcMar>
              <w:top w:w="80" w:type="dxa"/>
              <w:start w:w="90" w:type="dxa"/>
              <w:bottom w:w="80" w:type="dxa"/>
              <w:end w:w="90" w:type="dxa"/>
            </w:tcMar>
            <w:vAlign w:val="top"/>
          </w:tcPr>
          <w:p>
            <w:pPr>
              <w:spacing w:after="0"/>
            </w:pPr>
            <w:r>
              <w:rPr>
                <w:rFonts w:ascii="Liberation Sans" w:hAnsi="Liberation Sans" w:eastAsia="Liberation Sans"/>
                <w:color w:val="1F2937"/>
                <w:sz w:val="16"/>
              </w:rPr>
              <w:t>Assigned shift/nozzle work, account fuel and payment declaration</w:t>
            </w:r>
          </w:p>
        </w:tc>
        <w:tc>
          <w:tcPr>
            <w:tcW w:type="dxa" w:w="2608"/>
            <w:tcMar>
              <w:top w:w="80" w:type="dxa"/>
              <w:start w:w="90" w:type="dxa"/>
              <w:bottom w:w="80" w:type="dxa"/>
              <w:end w:w="90" w:type="dxa"/>
            </w:tcMar>
            <w:vAlign w:val="top"/>
          </w:tcPr>
          <w:p>
            <w:pPr>
              <w:spacing w:after="0"/>
            </w:pPr>
            <w:r>
              <w:rPr>
                <w:rFonts w:ascii="Liberation Sans" w:hAnsi="Liberation Sans" w:eastAsia="Liberation Sans"/>
                <w:color w:val="1F2937"/>
                <w:sz w:val="16"/>
              </w:rPr>
              <w:t>Station / shift / nozzle</w:t>
            </w:r>
          </w:p>
        </w:tc>
      </w:tr>
    </w:tbl>
    <w:p>
      <w:pPr>
        <w:spacing w:after="40"/>
      </w:pPr>
    </w:p>
    <w:p>
      <w:pPr>
        <w:pStyle w:val="Heading2"/>
        <w:keepNext/>
        <w:spacing w:before="120" w:after="80"/>
      </w:pPr>
      <w:r>
        <w:rPr>
          <w:rFonts w:ascii="Liberation Sans" w:hAnsi="Liberation Sans" w:eastAsia="Liberation Sans"/>
          <w:b/>
          <w:color w:val="17324D"/>
          <w:sz w:val="27"/>
        </w:rPr>
        <w:t>2.2 Permission Architecture</w:t>
      </w:r>
    </w:p>
    <w:p>
      <w:pPr>
        <w:spacing w:after="100" w:line="259" w:lineRule="auto"/>
      </w:pPr>
      <w:r>
        <w:rPr>
          <w:rFonts w:ascii="Liberation Sans" w:hAnsi="Liberation Sans" w:eastAsia="Liberation Sans"/>
          <w:color w:val="1F2937"/>
          <w:sz w:val="18"/>
        </w:rPr>
        <w:t>Role names are convenience templates; granular permission codes and scope are authoritative. A user may hold different scoped roles in different stations or legal entities. Temporary elevated grants are expiring and audited.</w:t>
      </w:r>
    </w:p>
    <w:tbl>
      <w:tblPr>
        <w:tblW w:type="auto" w:w="0"/>
        <w:jc w:val="center"/>
        <w:tblLook w:firstColumn="1" w:firstRow="1" w:lastColumn="0" w:lastRow="0" w:noHBand="0" w:noVBand="1" w:val="04A0"/>
      </w:tblPr>
      <w:tblGrid>
        <w:gridCol w:w="10036"/>
      </w:tblGrid>
      <w:tr>
        <w:tc>
          <w:tcPr>
            <w:tcW w:type="dxa" w:w="10036"/>
            <w:shd w:fill="F2F4F7"/>
            <w:tcMar>
              <w:top w:w="90" w:type="dxa"/>
              <w:start w:w="130" w:type="dxa"/>
              <w:bottom w:w="90" w:type="dxa"/>
              <w:end w:w="130" w:type="dxa"/>
            </w:tcMar>
          </w:tcPr>
          <w:p>
            <w:pPr>
              <w:spacing w:after="0"/>
            </w:pPr>
            <w:r>
              <w:rPr>
                <w:rFonts w:ascii="Liberation Mono" w:hAnsi="Liberation Mono" w:eastAsia="Liberation Mono"/>
                <w:color w:val="1F2937"/>
                <w:sz w:val="15"/>
              </w:rPr>
              <w:t>Tenant Membership</w:t>
            </w:r>
            <w:r>
              <w:br/>
            </w:r>
            <w:r>
              <w:rPr>
                <w:rFonts w:ascii="Liberation Mono" w:hAnsi="Liberation Mono" w:eastAsia="Liberation Mono"/>
                <w:color w:val="1F2937"/>
                <w:sz w:val="15"/>
              </w:rPr>
              <w:t xml:space="preserve">  ├─ Role Assignment (TENANT / LEGAL_ENTITY / STATION)</w:t>
            </w:r>
            <w:r>
              <w:br/>
            </w:r>
            <w:r>
              <w:rPr>
                <w:rFonts w:ascii="Liberation Mono" w:hAnsi="Liberation Mono" w:eastAsia="Liberation Mono"/>
                <w:color w:val="1F2937"/>
                <w:sz w:val="15"/>
              </w:rPr>
              <w:t xml:space="preserve">  ├─ Role → Permission Codes</w:t>
            </w:r>
            <w:r>
              <w:br/>
            </w:r>
            <w:r>
              <w:rPr>
                <w:rFonts w:ascii="Liberation Mono" w:hAnsi="Liberation Mono" w:eastAsia="Liberation Mono"/>
                <w:color w:val="1F2937"/>
                <w:sz w:val="15"/>
              </w:rPr>
              <w:t xml:space="preserve">  └─ Temporary Permission Grant (scoped + expires)</w:t>
            </w:r>
          </w:p>
        </w:tc>
      </w:tr>
    </w:tbl>
    <w:p>
      <w:pPr>
        <w:spacing w:after="20"/>
      </w:pPr>
    </w:p>
    <w:p>
      <w:pPr>
        <w:pStyle w:val="ListBullet"/>
        <w:spacing w:after="30" w:line="247" w:lineRule="auto"/>
        <w:ind w:left="255" w:hanging="113"/>
      </w:pPr>
      <w:r>
        <w:rPr>
          <w:rFonts w:ascii="Liberation Sans" w:hAnsi="Liberation Sans" w:eastAsia="Liberation Sans"/>
          <w:color w:val="1F2937"/>
          <w:sz w:val="18"/>
        </w:rPr>
        <w:t>Self-approval is prohibited by default.</w:t>
      </w:r>
    </w:p>
    <w:p>
      <w:pPr>
        <w:pStyle w:val="ListBullet"/>
        <w:spacing w:after="30" w:line="247" w:lineRule="auto"/>
        <w:ind w:left="255" w:hanging="113"/>
      </w:pPr>
      <w:r>
        <w:rPr>
          <w:rFonts w:ascii="Liberation Sans" w:hAnsi="Liberation Sans" w:eastAsia="Liberation Sans"/>
          <w:color w:val="1F2937"/>
          <w:sz w:val="18"/>
        </w:rPr>
        <w:t>Sensitive exports have separate view/export permissions.</w:t>
      </w:r>
    </w:p>
    <w:p>
      <w:pPr>
        <w:pStyle w:val="ListBullet"/>
        <w:spacing w:after="30" w:line="247" w:lineRule="auto"/>
        <w:ind w:left="255" w:hanging="113"/>
      </w:pPr>
      <w:r>
        <w:rPr>
          <w:rFonts w:ascii="Liberation Sans" w:hAnsi="Liberation Sans" w:eastAsia="Liberation Sans"/>
          <w:color w:val="1F2937"/>
          <w:sz w:val="18"/>
        </w:rPr>
        <w:t>Owner/Admin/Finance/Supervisor strong authentication is required by default; final rollout practicality can be tuned without weakening core controls.</w:t>
      </w:r>
    </w:p>
    <w:p>
      <w:pPr>
        <w:pStyle w:val="ListBullet"/>
        <w:spacing w:after="30" w:line="247" w:lineRule="auto"/>
        <w:ind w:left="255" w:hanging="113"/>
      </w:pPr>
      <w:r>
        <w:rPr>
          <w:rFonts w:ascii="Liberation Sans" w:hAnsi="Liberation Sans" w:eastAsia="Liberation Sans"/>
          <w:color w:val="1F2937"/>
          <w:sz w:val="18"/>
        </w:rPr>
        <w:t>Users are disabled, not deleted, after they have business history.</w:t>
      </w:r>
    </w:p>
    <w:p>
      <w:pPr>
        <w:pStyle w:val="Heading2"/>
        <w:keepNext/>
        <w:spacing w:before="120" w:after="80"/>
      </w:pPr>
      <w:r>
        <w:rPr>
          <w:rFonts w:ascii="Liberation Sans" w:hAnsi="Liberation Sans" w:eastAsia="Liberation Sans"/>
          <w:b/>
          <w:color w:val="17324D"/>
          <w:sz w:val="27"/>
        </w:rPr>
        <w:t>2.3 Navigation &amp; Device Strategy</w:t>
      </w:r>
    </w:p>
    <w:tbl>
      <w:tblPr>
        <w:tblStyle w:val="TableGrid"/>
        <w:tblW w:type="auto" w:w="0"/>
        <w:jc w:val="center"/>
        <w:tblLook w:firstColumn="1" w:firstRow="1" w:lastColumn="0" w:lastRow="0" w:noHBand="0" w:noVBand="1" w:val="04A0"/>
      </w:tblPr>
      <w:tblGrid>
        <w:gridCol w:w="3345"/>
        <w:gridCol w:w="3345"/>
        <w:gridCol w:w="3345"/>
      </w:tblGrid>
      <w:tr>
        <w:trPr>
          <w:tblHeader w:val="true"/>
        </w:trPr>
        <w:tc>
          <w:tcPr>
            <w:tcW w:type="dxa" w:w="1814"/>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Experience</w:t>
            </w:r>
          </w:p>
        </w:tc>
        <w:tc>
          <w:tcPr>
            <w:tcW w:type="dxa" w:w="2721"/>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Primary navigation</w:t>
            </w:r>
          </w:p>
        </w:tc>
        <w:tc>
          <w:tcPr>
            <w:tcW w:type="dxa" w:w="4535"/>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Design emphasis</w:t>
            </w:r>
          </w:p>
        </w:tc>
      </w:tr>
      <w:tr>
        <w:trPr>
          <w:cantSplit/>
        </w:trPr>
        <w:tc>
          <w:tcPr>
            <w:tcW w:type="dxa" w:w="1814"/>
            <w:tcMar>
              <w:top w:w="80" w:type="dxa"/>
              <w:start w:w="90" w:type="dxa"/>
              <w:bottom w:w="80" w:type="dxa"/>
              <w:end w:w="90" w:type="dxa"/>
            </w:tcMar>
            <w:vAlign w:val="top"/>
          </w:tcPr>
          <w:p>
            <w:pPr>
              <w:spacing w:after="0"/>
            </w:pPr>
            <w:r>
              <w:rPr>
                <w:rFonts w:ascii="Liberation Sans" w:hAnsi="Liberation Sans" w:eastAsia="Liberation Sans"/>
                <w:color w:val="1F2937"/>
                <w:sz w:val="16"/>
              </w:rPr>
              <w:t>Attendant mobile</w:t>
            </w:r>
          </w:p>
        </w:tc>
        <w:tc>
          <w:tcPr>
            <w:tcW w:type="dxa" w:w="2721"/>
            <w:tcMar>
              <w:top w:w="80" w:type="dxa"/>
              <w:start w:w="90" w:type="dxa"/>
              <w:bottom w:w="80" w:type="dxa"/>
              <w:end w:w="90" w:type="dxa"/>
            </w:tcMar>
            <w:vAlign w:val="top"/>
          </w:tcPr>
          <w:p>
            <w:pPr>
              <w:spacing w:after="0"/>
            </w:pPr>
            <w:r>
              <w:rPr>
                <w:rFonts w:ascii="Liberation Sans" w:hAnsi="Liberation Sans" w:eastAsia="Liberation Sans"/>
                <w:color w:val="1F2937"/>
                <w:sz w:val="16"/>
              </w:rPr>
              <w:t>Home / Tasks / Work / More</w:t>
            </w:r>
          </w:p>
        </w:tc>
        <w:tc>
          <w:tcPr>
            <w:tcW w:type="dxa" w:w="4535"/>
            <w:tcMar>
              <w:top w:w="80" w:type="dxa"/>
              <w:start w:w="90" w:type="dxa"/>
              <w:bottom w:w="80" w:type="dxa"/>
              <w:end w:w="90" w:type="dxa"/>
            </w:tcMar>
            <w:vAlign w:val="top"/>
          </w:tcPr>
          <w:p>
            <w:pPr>
              <w:spacing w:after="0"/>
            </w:pPr>
            <w:r>
              <w:rPr>
                <w:rFonts w:ascii="Liberation Sans" w:hAnsi="Liberation Sans" w:eastAsia="Liberation Sans"/>
                <w:color w:val="1F2937"/>
                <w:sz w:val="16"/>
              </w:rPr>
              <w:t>Fast, minimal, assignment-focused; no management complexity</w:t>
            </w:r>
          </w:p>
        </w:tc>
      </w:tr>
      <w:tr>
        <w:trPr>
          <w:cantSplit/>
        </w:trPr>
        <w:tc>
          <w:tcPr>
            <w:tcW w:type="dxa" w:w="1814"/>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Supervisor mobile/tablet</w:t>
            </w:r>
          </w:p>
        </w:tc>
        <w:tc>
          <w:tcPr>
            <w:tcW w:type="dxa" w:w="2721"/>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Today / Tasks / Work / More</w:t>
            </w:r>
          </w:p>
        </w:tc>
        <w:tc>
          <w:tcPr>
            <w:tcW w:type="dxa" w:w="4535"/>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Station operations, progress, exceptions, sticky next action</w:t>
            </w:r>
          </w:p>
        </w:tc>
      </w:tr>
      <w:tr>
        <w:trPr>
          <w:cantSplit/>
        </w:trPr>
        <w:tc>
          <w:tcPr>
            <w:tcW w:type="dxa" w:w="1814"/>
            <w:tcMar>
              <w:top w:w="80" w:type="dxa"/>
              <w:start w:w="90" w:type="dxa"/>
              <w:bottom w:w="80" w:type="dxa"/>
              <w:end w:w="90" w:type="dxa"/>
            </w:tcMar>
            <w:vAlign w:val="top"/>
          </w:tcPr>
          <w:p>
            <w:pPr>
              <w:spacing w:after="0"/>
            </w:pPr>
            <w:r>
              <w:rPr>
                <w:rFonts w:ascii="Liberation Sans" w:hAnsi="Liberation Sans" w:eastAsia="Liberation Sans"/>
                <w:color w:val="1F2937"/>
                <w:sz w:val="16"/>
              </w:rPr>
              <w:t>Finance desktop/tablet</w:t>
            </w:r>
          </w:p>
        </w:tc>
        <w:tc>
          <w:tcPr>
            <w:tcW w:type="dxa" w:w="2721"/>
            <w:tcMar>
              <w:top w:w="80" w:type="dxa"/>
              <w:start w:w="90" w:type="dxa"/>
              <w:bottom w:w="80" w:type="dxa"/>
              <w:end w:w="90" w:type="dxa"/>
            </w:tcMar>
            <w:vAlign w:val="top"/>
          </w:tcPr>
          <w:p>
            <w:pPr>
              <w:spacing w:after="0"/>
            </w:pPr>
            <w:r>
              <w:rPr>
                <w:rFonts w:ascii="Liberation Sans" w:hAnsi="Liberation Sans" w:eastAsia="Liberation Sans"/>
                <w:color w:val="1F2937"/>
                <w:sz w:val="16"/>
              </w:rPr>
              <w:t>Sidebar + Action Center</w:t>
            </w:r>
          </w:p>
        </w:tc>
        <w:tc>
          <w:tcPr>
            <w:tcW w:type="dxa" w:w="4535"/>
            <w:tcMar>
              <w:top w:w="80" w:type="dxa"/>
              <w:start w:w="90" w:type="dxa"/>
              <w:bottom w:w="80" w:type="dxa"/>
              <w:end w:w="90" w:type="dxa"/>
            </w:tcMar>
            <w:vAlign w:val="top"/>
          </w:tcPr>
          <w:p>
            <w:pPr>
              <w:spacing w:after="0"/>
            </w:pPr>
            <w:r>
              <w:rPr>
                <w:rFonts w:ascii="Liberation Sans" w:hAnsi="Liberation Sans" w:eastAsia="Liberation Sans"/>
                <w:color w:val="1F2937"/>
                <w:sz w:val="16"/>
              </w:rPr>
              <w:t>Queue processing, allocations, reconciliation, drill-down and exports</w:t>
            </w:r>
          </w:p>
        </w:tc>
      </w:tr>
      <w:tr>
        <w:trPr>
          <w:cantSplit/>
        </w:trPr>
        <w:tc>
          <w:tcPr>
            <w:tcW w:type="dxa" w:w="1814"/>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Owner desktop/mobile</w:t>
            </w:r>
          </w:p>
        </w:tc>
        <w:tc>
          <w:tcPr>
            <w:tcW w:type="dxa" w:w="2721"/>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Business health + approvals</w:t>
            </w:r>
          </w:p>
        </w:tc>
        <w:tc>
          <w:tcPr>
            <w:tcW w:type="dxa" w:w="4535"/>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Exception-first overview, consequence-aware approvals, explainable metrics</w:t>
            </w:r>
          </w:p>
        </w:tc>
      </w:tr>
    </w:tbl>
    <w:p>
      <w:pPr>
        <w:spacing w:after="40"/>
      </w:pPr>
    </w:p>
    <w:p>
      <w:pPr>
        <w:pStyle w:val="Heading2"/>
        <w:keepNext/>
        <w:spacing w:before="120" w:after="80"/>
      </w:pPr>
      <w:r>
        <w:rPr>
          <w:rFonts w:ascii="Liberation Sans" w:hAnsi="Liberation Sans" w:eastAsia="Liberation Sans"/>
          <w:b/>
          <w:color w:val="17324D"/>
          <w:sz w:val="27"/>
        </w:rPr>
        <w:t>2.4 UX Invariants</w:t>
      </w:r>
    </w:p>
    <w:p>
      <w:pPr>
        <w:pStyle w:val="ListBullet"/>
        <w:spacing w:after="30" w:line="247" w:lineRule="auto"/>
        <w:ind w:left="255" w:hanging="113"/>
      </w:pPr>
      <w:r>
        <w:rPr>
          <w:rFonts w:ascii="Liberation Sans" w:hAnsi="Liberation Sans" w:eastAsia="Liberation Sans"/>
          <w:color w:val="1F2937"/>
          <w:sz w:val="18"/>
        </w:rPr>
        <w:t>Mobile operational workflows are first-class; desktop is not simply shrunk onto a phone.</w:t>
      </w:r>
    </w:p>
    <w:p>
      <w:pPr>
        <w:pStyle w:val="ListBullet"/>
        <w:spacing w:after="30" w:line="247" w:lineRule="auto"/>
        <w:ind w:left="255" w:hanging="113"/>
      </w:pPr>
      <w:r>
        <w:rPr>
          <w:rFonts w:ascii="Liberation Sans" w:hAnsi="Liberation Sans" w:eastAsia="Liberation Sans"/>
          <w:color w:val="1F2937"/>
          <w:sz w:val="18"/>
        </w:rPr>
        <w:t>No giant Excel-style daily form in the app. Complex processes are broken into real operational steps.</w:t>
      </w:r>
    </w:p>
    <w:p>
      <w:pPr>
        <w:pStyle w:val="ListBullet"/>
        <w:spacing w:after="30" w:line="247" w:lineRule="auto"/>
        <w:ind w:left="255" w:hanging="113"/>
      </w:pPr>
      <w:r>
        <w:rPr>
          <w:rFonts w:ascii="Liberation Sans" w:hAnsi="Liberation Sans" w:eastAsia="Liberation Sans"/>
          <w:color w:val="1F2937"/>
          <w:sz w:val="18"/>
        </w:rPr>
        <w:t>At least 44px-equivalent touch targets; persistent labels; tabular numerals for financial values; status never conveyed by colour alone.</w:t>
      </w:r>
    </w:p>
    <w:p>
      <w:pPr>
        <w:pStyle w:val="ListBullet"/>
        <w:spacing w:after="30" w:line="247" w:lineRule="auto"/>
        <w:ind w:left="255" w:hanging="113"/>
      </w:pPr>
      <w:r>
        <w:rPr>
          <w:rFonts w:ascii="Liberation Sans" w:hAnsi="Liberation Sans" w:eastAsia="Liberation Sans"/>
          <w:color w:val="1F2937"/>
          <w:sz w:val="18"/>
        </w:rPr>
        <w:t>Posted records display View / Audit / Request Reversal, not normal Edit / Delete.</w:t>
      </w:r>
    </w:p>
    <w:p>
      <w:pPr>
        <w:pStyle w:val="ListBullet"/>
        <w:spacing w:after="30" w:line="247" w:lineRule="auto"/>
        <w:ind w:left="255" w:hanging="113"/>
      </w:pPr>
      <w:r>
        <w:rPr>
          <w:rFonts w:ascii="Liberation Sans" w:hAnsi="Liberation Sans" w:eastAsia="Liberation Sans"/>
          <w:color w:val="1F2937"/>
          <w:sz w:val="18"/>
        </w:rPr>
        <w:t>Authoritative actions only show success after server confirmation.</w:t>
      </w:r>
    </w:p>
    <w:p>
      <w:pPr>
        <w:pStyle w:val="ListBullet"/>
        <w:spacing w:after="30" w:line="247" w:lineRule="auto"/>
        <w:ind w:left="255" w:hanging="113"/>
      </w:pPr>
      <w:r>
        <w:rPr>
          <w:rFonts w:ascii="Liberation Sans" w:hAnsi="Liberation Sans" w:eastAsia="Liberation Sans"/>
          <w:color w:val="1F2937"/>
          <w:sz w:val="18"/>
        </w:rPr>
        <w:t>Weak connection state and local drafts are truthful and visible.</w:t>
      </w:r>
    </w:p>
    <w:p>
      <w:pPr>
        <w:pStyle w:val="Heading2"/>
        <w:keepNext/>
        <w:spacing w:before="120" w:after="80"/>
      </w:pPr>
      <w:r>
        <w:rPr>
          <w:rFonts w:ascii="Liberation Sans" w:hAnsi="Liberation Sans" w:eastAsia="Liberation Sans"/>
          <w:b/>
          <w:color w:val="17324D"/>
          <w:sz w:val="27"/>
        </w:rPr>
        <w:t>2.5 Critical User Journeys</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1701"/>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Journey</w:t>
            </w:r>
          </w:p>
        </w:tc>
        <w:tc>
          <w:tcPr>
            <w:tcW w:type="dxa" w:w="7370"/>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Happy path</w:t>
            </w:r>
          </w:p>
        </w:tc>
      </w:tr>
      <w:tr>
        <w:trPr>
          <w:cantSplit/>
        </w:trPr>
        <w:tc>
          <w:tcPr>
            <w:tcW w:type="dxa" w:w="1701"/>
            <w:tcMar>
              <w:top w:w="80" w:type="dxa"/>
              <w:start w:w="90" w:type="dxa"/>
              <w:bottom w:w="80" w:type="dxa"/>
              <w:end w:w="90" w:type="dxa"/>
            </w:tcMar>
            <w:vAlign w:val="top"/>
          </w:tcPr>
          <w:p>
            <w:pPr>
              <w:spacing w:after="0"/>
            </w:pPr>
            <w:r>
              <w:rPr>
                <w:rFonts w:ascii="Liberation Sans" w:hAnsi="Liberation Sans" w:eastAsia="Liberation Sans"/>
                <w:color w:val="1F2937"/>
                <w:sz w:val="16"/>
              </w:rPr>
              <w:t>Supervisor day</w:t>
            </w:r>
          </w:p>
        </w:tc>
        <w:tc>
          <w:tcPr>
            <w:tcW w:type="dxa" w:w="7370"/>
            <w:tcMar>
              <w:top w:w="80" w:type="dxa"/>
              <w:start w:w="90" w:type="dxa"/>
              <w:bottom w:w="80" w:type="dxa"/>
              <w:end w:w="90" w:type="dxa"/>
            </w:tcMar>
            <w:vAlign w:val="top"/>
          </w:tcPr>
          <w:p>
            <w:pPr>
              <w:spacing w:after="0"/>
            </w:pPr>
            <w:r>
              <w:rPr>
                <w:rFonts w:ascii="Liberation Sans" w:hAnsi="Liberation Sans" w:eastAsia="Liberation Sans"/>
                <w:color w:val="1F2937"/>
                <w:sz w:val="16"/>
              </w:rPr>
              <w:t>Open business day → start shift → confirm meters/team → operate/deliver/expense/cash → meter close → complete operations → reconcile exceptions → submit</w:t>
            </w:r>
          </w:p>
        </w:tc>
      </w:tr>
      <w:tr>
        <w:trPr>
          <w:cantSplit/>
        </w:trPr>
        <w:tc>
          <w:tcPr>
            <w:tcW w:type="dxa" w:w="1701"/>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Attendant</w:t>
            </w:r>
          </w:p>
        </w:tc>
        <w:tc>
          <w:tcPr>
            <w:tcW w:type="dxa" w:w="7370"/>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View assignment → record authorized account fuel when needed → submit payment declaration → hand over nozzle if needed</w:t>
            </w:r>
          </w:p>
        </w:tc>
      </w:tr>
      <w:tr>
        <w:trPr>
          <w:cantSplit/>
        </w:trPr>
        <w:tc>
          <w:tcPr>
            <w:tcW w:type="dxa" w:w="1701"/>
            <w:tcMar>
              <w:top w:w="80" w:type="dxa"/>
              <w:start w:w="90" w:type="dxa"/>
              <w:bottom w:w="80" w:type="dxa"/>
              <w:end w:w="90" w:type="dxa"/>
            </w:tcMar>
            <w:vAlign w:val="top"/>
          </w:tcPr>
          <w:p>
            <w:pPr>
              <w:spacing w:after="0"/>
            </w:pPr>
            <w:r>
              <w:rPr>
                <w:rFonts w:ascii="Liberation Sans" w:hAnsi="Liberation Sans" w:eastAsia="Liberation Sans"/>
                <w:color w:val="1F2937"/>
                <w:sz w:val="16"/>
              </w:rPr>
              <w:t>Finance</w:t>
            </w:r>
          </w:p>
        </w:tc>
        <w:tc>
          <w:tcPr>
            <w:tcW w:type="dxa" w:w="7370"/>
            <w:tcMar>
              <w:top w:w="80" w:type="dxa"/>
              <w:start w:w="90" w:type="dxa"/>
              <w:bottom w:w="80" w:type="dxa"/>
              <w:end w:w="90" w:type="dxa"/>
            </w:tcMar>
            <w:vAlign w:val="top"/>
          </w:tcPr>
          <w:p>
            <w:pPr>
              <w:spacing w:after="0"/>
            </w:pPr>
            <w:r>
              <w:rPr>
                <w:rFonts w:ascii="Liberation Sans" w:hAnsi="Liberation Sans" w:eastAsia="Liberation Sans"/>
                <w:color w:val="1F2937"/>
                <w:sz w:val="16"/>
              </w:rPr>
              <w:t>Review Action Center → record/approve creditor/customer/bank/provider work → resolve exceptions → export/report</w:t>
            </w:r>
          </w:p>
        </w:tc>
      </w:tr>
      <w:tr>
        <w:trPr>
          <w:cantSplit/>
        </w:trPr>
        <w:tc>
          <w:tcPr>
            <w:tcW w:type="dxa" w:w="1701"/>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Owner</w:t>
            </w:r>
          </w:p>
        </w:tc>
        <w:tc>
          <w:tcPr>
            <w:tcW w:type="dxa" w:w="7370"/>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Open business health → review high-severity items → inspect consequences/evidence → approve/return → review cash/stock/profit</w:t>
            </w:r>
          </w:p>
        </w:tc>
      </w:tr>
    </w:tbl>
    <w:p>
      <w:pPr>
        <w:spacing w:after="40"/>
      </w:pPr>
    </w:p>
    <w:p>
      <w:pPr>
        <w:pStyle w:val="Heading2"/>
      </w:pPr>
      <w:r>
        <w:t>2.6 V1 Mid-Fidelity Wireframes</w:t>
      </w:r>
    </w:p>
    <w:p>
      <w:r>
        <w:t>The previous conceptual UI gallery has been replaced. The screens below are mid-fidelity wireframes showing actual navigation, field hierarchy, primary actions, exception states and role-specific behavior. The complete embedded pack is in Appendix F; the standalone Wireframe Pack v1.2 is the easiest UX review artifact.</w:t>
      </w:r>
    </w:p>
    <w:p>
      <w:pPr>
        <w:jc w:val="center"/>
      </w:pPr>
      <w:r>
        <w:drawing>
          <wp:inline xmlns:a="http://schemas.openxmlformats.org/drawingml/2006/main" xmlns:pic="http://schemas.openxmlformats.org/drawingml/2006/picture">
            <wp:extent cx="5669280" cy="3398676"/>
            <wp:docPr id="9" name="Picture 9" descr="Supervisor start-shift flow." title="Supervisor start-shift flow."/>
            <wp:cNvGraphicFramePr>
              <a:graphicFrameLocks noChangeAspect="1"/>
            </wp:cNvGraphicFramePr>
            <a:graphic>
              <a:graphicData uri="http://schemas.openxmlformats.org/drawingml/2006/picture">
                <pic:pic>
                  <pic:nvPicPr>
                    <pic:cNvPr id="0" name="04_supervisor_start.png"/>
                    <pic:cNvPicPr/>
                  </pic:nvPicPr>
                  <pic:blipFill>
                    <a:blip r:embed="rId25"/>
                    <a:stretch>
                      <a:fillRect/>
                    </a:stretch>
                  </pic:blipFill>
                  <pic:spPr>
                    <a:xfrm>
                      <a:off x="0" y="0"/>
                      <a:ext cx="5669280" cy="3398676"/>
                    </a:xfrm>
                    <a:prstGeom prst="rect"/>
                  </pic:spPr>
                </pic:pic>
              </a:graphicData>
            </a:graphic>
          </wp:inline>
        </w:drawing>
      </w:r>
    </w:p>
    <w:p>
      <w:pPr>
        <w:pStyle w:val="Caption"/>
        <w:jc w:val="center"/>
      </w:pPr>
      <w:r>
        <w:t>Supervisor start-shift flow.</w:t>
      </w:r>
    </w:p>
    <w:p>
      <w:pPr>
        <w:jc w:val="center"/>
      </w:pPr>
      <w:r>
        <w:drawing>
          <wp:inline xmlns:a="http://schemas.openxmlformats.org/drawingml/2006/main" xmlns:pic="http://schemas.openxmlformats.org/drawingml/2006/picture">
            <wp:extent cx="5669280" cy="3398676"/>
            <wp:docPr id="10" name="Picture 10" descr="Guided delivery receipt flow." title="Guided delivery receipt flow."/>
            <wp:cNvGraphicFramePr>
              <a:graphicFrameLocks noChangeAspect="1"/>
            </wp:cNvGraphicFramePr>
            <a:graphic>
              <a:graphicData uri="http://schemas.openxmlformats.org/drawingml/2006/picture">
                <pic:pic>
                  <pic:nvPicPr>
                    <pic:cNvPr id="0" name="07_delivery.png"/>
                    <pic:cNvPicPr/>
                  </pic:nvPicPr>
                  <pic:blipFill>
                    <a:blip r:embed="rId26"/>
                    <a:stretch>
                      <a:fillRect/>
                    </a:stretch>
                  </pic:blipFill>
                  <pic:spPr>
                    <a:xfrm>
                      <a:off x="0" y="0"/>
                      <a:ext cx="5669280" cy="3398676"/>
                    </a:xfrm>
                    <a:prstGeom prst="rect"/>
                  </pic:spPr>
                </pic:pic>
              </a:graphicData>
            </a:graphic>
          </wp:inline>
        </w:drawing>
      </w:r>
    </w:p>
    <w:p>
      <w:pPr>
        <w:pStyle w:val="Caption"/>
        <w:jc w:val="center"/>
      </w:pPr>
      <w:r>
        <w:t>Guided delivery receipt flow.</w:t>
      </w:r>
    </w:p>
    <w:p>
      <w:pPr>
        <w:jc w:val="center"/>
      </w:pPr>
      <w:r>
        <w:drawing>
          <wp:inline xmlns:a="http://schemas.openxmlformats.org/drawingml/2006/main" xmlns:pic="http://schemas.openxmlformats.org/drawingml/2006/picture">
            <wp:extent cx="5669280" cy="2655138"/>
            <wp:docPr id="11" name="Picture 11" descr="Finance queue-based desktop workflow." title="Finance queue-based desktop workflow."/>
            <wp:cNvGraphicFramePr>
              <a:graphicFrameLocks noChangeAspect="1"/>
            </wp:cNvGraphicFramePr>
            <a:graphic>
              <a:graphicData uri="http://schemas.openxmlformats.org/drawingml/2006/picture">
                <pic:pic>
                  <pic:nvPicPr>
                    <pic:cNvPr id="0" name="09_finance.png"/>
                    <pic:cNvPicPr/>
                  </pic:nvPicPr>
                  <pic:blipFill>
                    <a:blip r:embed="rId27"/>
                    <a:stretch>
                      <a:fillRect/>
                    </a:stretch>
                  </pic:blipFill>
                  <pic:spPr>
                    <a:xfrm>
                      <a:off x="0" y="0"/>
                      <a:ext cx="5669280" cy="2655138"/>
                    </a:xfrm>
                    <a:prstGeom prst="rect"/>
                  </pic:spPr>
                </pic:pic>
              </a:graphicData>
            </a:graphic>
          </wp:inline>
        </w:drawing>
      </w:r>
    </w:p>
    <w:p>
      <w:pPr>
        <w:pStyle w:val="Caption"/>
        <w:jc w:val="center"/>
      </w:pPr>
      <w:r>
        <w:t>Finance queue-based desktop workflow.</w:t>
      </w:r>
    </w:p>
    <w:p>
      <w:pPr>
        <w:pStyle w:val="Heading1"/>
        <w:keepNext/>
        <w:spacing w:before="180" w:after="80"/>
      </w:pPr>
      <w:r>
        <w:rPr>
          <w:rFonts w:ascii="Liberation Sans" w:hAnsi="Liberation Sans" w:eastAsia="Liberation Sans"/>
          <w:b/>
          <w:color w:val="17324D"/>
          <w:sz w:val="36"/>
        </w:rPr>
        <w:t>3. Operating Model &amp; Master Data</w:t>
      </w:r>
    </w:p>
    <w:p>
      <w:pPr>
        <w:pStyle w:val="Heading2"/>
        <w:keepNext/>
        <w:spacing w:before="120" w:after="80"/>
      </w:pPr>
      <w:r>
        <w:rPr>
          <w:rFonts w:ascii="Liberation Sans" w:hAnsi="Liberation Sans" w:eastAsia="Liberation Sans"/>
          <w:b/>
          <w:color w:val="17324D"/>
          <w:sz w:val="27"/>
        </w:rPr>
        <w:t>3.1 Hierarchy</w:t>
      </w:r>
    </w:p>
    <w:tbl>
      <w:tblPr>
        <w:tblW w:type="auto" w:w="0"/>
        <w:jc w:val="center"/>
        <w:tblLook w:firstColumn="1" w:firstRow="1" w:lastColumn="0" w:lastRow="0" w:noHBand="0" w:noVBand="1" w:val="04A0"/>
      </w:tblPr>
      <w:tblGrid>
        <w:gridCol w:w="10036"/>
      </w:tblGrid>
      <w:tr>
        <w:tc>
          <w:tcPr>
            <w:tcW w:type="dxa" w:w="10036"/>
            <w:shd w:fill="F2F4F7"/>
            <w:tcMar>
              <w:top w:w="90" w:type="dxa"/>
              <w:start w:w="130" w:type="dxa"/>
              <w:bottom w:w="90" w:type="dxa"/>
              <w:end w:w="130" w:type="dxa"/>
            </w:tcMar>
          </w:tcPr>
          <w:p>
            <w:pPr>
              <w:spacing w:after="0"/>
            </w:pPr>
            <w:r>
              <w:rPr>
                <w:rFonts w:ascii="Liberation Mono" w:hAnsi="Liberation Mono" w:eastAsia="Liberation Mono"/>
                <w:color w:val="1F2937"/>
                <w:sz w:val="15"/>
              </w:rPr>
              <w:t>PLATFORM</w:t>
            </w:r>
            <w:r>
              <w:br/>
            </w:r>
            <w:r>
              <w:rPr>
                <w:rFonts w:ascii="Liberation Mono" w:hAnsi="Liberation Mono" w:eastAsia="Liberation Mono"/>
                <w:color w:val="1F2937"/>
                <w:sz w:val="15"/>
              </w:rPr>
              <w:t xml:space="preserve">  └─ TENANT</w:t>
            </w:r>
            <w:r>
              <w:br/>
            </w:r>
            <w:r>
              <w:rPr>
                <w:rFonts w:ascii="Liberation Mono" w:hAnsi="Liberation Mono" w:eastAsia="Liberation Mono"/>
                <w:color w:val="1F2937"/>
                <w:sz w:val="15"/>
              </w:rPr>
              <w:t xml:space="preserve">      └─ LEGAL ENTITY</w:t>
            </w:r>
            <w:r>
              <w:br/>
            </w:r>
            <w:r>
              <w:rPr>
                <w:rFonts w:ascii="Liberation Mono" w:hAnsi="Liberation Mono" w:eastAsia="Liberation Mono"/>
                <w:color w:val="1F2937"/>
                <w:sz w:val="15"/>
              </w:rPr>
              <w:t xml:space="preserve">          └─ STATION</w:t>
            </w:r>
            <w:r>
              <w:br/>
            </w:r>
            <w:r>
              <w:rPr>
                <w:rFonts w:ascii="Liberation Mono" w:hAnsi="Liberation Mono" w:eastAsia="Liberation Mono"/>
                <w:color w:val="1F2937"/>
                <w:sz w:val="15"/>
              </w:rPr>
              <w:t xml:space="preserve">              ├─ Business Days / Shifts</w:t>
            </w:r>
            <w:r>
              <w:br/>
            </w:r>
            <w:r>
              <w:rPr>
                <w:rFonts w:ascii="Liberation Mono" w:hAnsi="Liberation Mono" w:eastAsia="Liberation Mono"/>
                <w:color w:val="1F2937"/>
                <w:sz w:val="15"/>
              </w:rPr>
              <w:t xml:space="preserve">              ├─ Pumps / Nozzles / Meter Installations</w:t>
            </w:r>
            <w:r>
              <w:br/>
            </w:r>
            <w:r>
              <w:rPr>
                <w:rFonts w:ascii="Liberation Mono" w:hAnsi="Liberation Mono" w:eastAsia="Liberation Mono"/>
                <w:color w:val="1F2937"/>
                <w:sz w:val="15"/>
              </w:rPr>
              <w:t xml:space="preserve">              ├─ Tanks / Calibration / Dips</w:t>
            </w:r>
            <w:r>
              <w:br/>
            </w:r>
            <w:r>
              <w:rPr>
                <w:rFonts w:ascii="Liberation Mono" w:hAnsi="Liberation Mono" w:eastAsia="Liberation Mono"/>
                <w:color w:val="1F2937"/>
                <w:sz w:val="15"/>
              </w:rPr>
              <w:t xml:space="preserve">              ├─ Inventory Pools</w:t>
            </w:r>
            <w:r>
              <w:br/>
            </w:r>
            <w:r>
              <w:rPr>
                <w:rFonts w:ascii="Liberation Mono" w:hAnsi="Liberation Mono" w:eastAsia="Liberation Mono"/>
                <w:color w:val="1F2937"/>
                <w:sz w:val="15"/>
              </w:rPr>
              <w:t xml:space="preserve">              ├─ Cash Locations</w:t>
            </w:r>
            <w:r>
              <w:br/>
            </w:r>
            <w:r>
              <w:rPr>
                <w:rFonts w:ascii="Liberation Mono" w:hAnsi="Liberation Mono" w:eastAsia="Liberation Mono"/>
                <w:color w:val="1F2937"/>
                <w:sz w:val="15"/>
              </w:rPr>
              <w:t xml:space="preserve">              └─ Payment Channels</w:t>
            </w:r>
          </w:p>
        </w:tc>
      </w:tr>
    </w:tbl>
    <w:p>
      <w:pPr>
        <w:spacing w:after="20"/>
      </w:pPr>
    </w:p>
    <w:p>
      <w:pPr>
        <w:spacing w:after="100" w:line="259" w:lineRule="auto"/>
      </w:pPr>
      <w:r>
        <w:rPr>
          <w:rFonts w:ascii="Liberation Sans" w:hAnsi="Liberation Sans" w:eastAsia="Liberation Sans"/>
          <w:color w:val="1F2937"/>
          <w:sz w:val="18"/>
        </w:rPr>
        <w:t>The system is multi-company from day one. Tenant-owned tables carry tenant_id and tenant-aware foreign keys; application authorization is backed by PostgreSQL row-level security.</w:t>
      </w:r>
    </w:p>
    <w:p>
      <w:pPr>
        <w:pStyle w:val="Heading2"/>
        <w:keepNext/>
        <w:spacing w:before="120" w:after="80"/>
      </w:pPr>
      <w:r>
        <w:rPr>
          <w:rFonts w:ascii="Liberation Sans" w:hAnsi="Liberation Sans" w:eastAsia="Liberation Sans"/>
          <w:b/>
          <w:color w:val="17324D"/>
          <w:sz w:val="27"/>
        </w:rPr>
        <w:t>3.2 Confirmed / Recommended Operating Defaults</w:t>
      </w:r>
    </w:p>
    <w:tbl>
      <w:tblPr>
        <w:tblStyle w:val="TableGrid"/>
        <w:tblW w:type="auto" w:w="0"/>
        <w:jc w:val="center"/>
        <w:tblLook w:firstColumn="1" w:firstRow="1" w:lastColumn="0" w:lastRow="0" w:noHBand="0" w:noVBand="1" w:val="04A0"/>
      </w:tblPr>
      <w:tblGrid>
        <w:gridCol w:w="3345"/>
        <w:gridCol w:w="3345"/>
        <w:gridCol w:w="3345"/>
      </w:tblGrid>
      <w:tr>
        <w:trPr>
          <w:tblHeader w:val="true"/>
        </w:trPr>
        <w:tc>
          <w:tcPr>
            <w:tcW w:type="dxa" w:w="2381"/>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Setting</w:t>
            </w:r>
          </w:p>
        </w:tc>
        <w:tc>
          <w:tcPr>
            <w:tcW w:type="dxa" w:w="4139"/>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Current blueprint value</w:t>
            </w:r>
          </w:p>
        </w:tc>
        <w:tc>
          <w:tcPr>
            <w:tcW w:type="dxa" w:w="2551"/>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Change method</w:t>
            </w:r>
          </w:p>
        </w:tc>
      </w:tr>
      <w:tr>
        <w:trPr>
          <w:cantSplit/>
        </w:trPr>
        <w:tc>
          <w:tcPr>
            <w:tcW w:type="dxa" w:w="2381"/>
            <w:tcMar>
              <w:top w:w="80" w:type="dxa"/>
              <w:start w:w="90" w:type="dxa"/>
              <w:bottom w:w="80" w:type="dxa"/>
              <w:end w:w="90" w:type="dxa"/>
            </w:tcMar>
            <w:vAlign w:val="top"/>
          </w:tcPr>
          <w:p>
            <w:pPr>
              <w:spacing w:after="0"/>
            </w:pPr>
            <w:r>
              <w:rPr>
                <w:rFonts w:ascii="Liberation Sans" w:hAnsi="Liberation Sans" w:eastAsia="Liberation Sans"/>
                <w:color w:val="1F2937"/>
                <w:sz w:val="16"/>
              </w:rPr>
              <w:t>Business timezone</w:t>
            </w:r>
          </w:p>
        </w:tc>
        <w:tc>
          <w:tcPr>
            <w:tcW w:type="dxa" w:w="4139"/>
            <w:tcMar>
              <w:top w:w="80" w:type="dxa"/>
              <w:start w:w="90" w:type="dxa"/>
              <w:bottom w:w="80" w:type="dxa"/>
              <w:end w:w="90" w:type="dxa"/>
            </w:tcMar>
            <w:vAlign w:val="top"/>
          </w:tcPr>
          <w:p>
            <w:pPr>
              <w:spacing w:after="0"/>
            </w:pPr>
            <w:r>
              <w:rPr>
                <w:rFonts w:ascii="Liberation Sans" w:hAnsi="Liberation Sans" w:eastAsia="Liberation Sans"/>
                <w:color w:val="1F2937"/>
                <w:sz w:val="16"/>
              </w:rPr>
              <w:t>CAT; technical IANA zone Africa/Harare</w:t>
            </w:r>
          </w:p>
        </w:tc>
        <w:tc>
          <w:tcPr>
            <w:tcW w:type="dxa" w:w="2551"/>
            <w:tcMar>
              <w:top w:w="80" w:type="dxa"/>
              <w:start w:w="90" w:type="dxa"/>
              <w:bottom w:w="80" w:type="dxa"/>
              <w:end w:w="90" w:type="dxa"/>
            </w:tcMar>
            <w:vAlign w:val="top"/>
          </w:tcPr>
          <w:p>
            <w:pPr>
              <w:spacing w:after="0"/>
            </w:pPr>
            <w:r>
              <w:rPr>
                <w:rFonts w:ascii="Liberation Sans" w:hAnsi="Liberation Sans" w:eastAsia="Liberation Sans"/>
                <w:color w:val="1F2937"/>
                <w:sz w:val="16"/>
              </w:rPr>
              <w:t>Tenant/station configuration</w:t>
            </w:r>
          </w:p>
        </w:tc>
      </w:tr>
      <w:tr>
        <w:trPr>
          <w:cantSplit/>
        </w:trPr>
        <w:tc>
          <w:tcPr>
            <w:tcW w:type="dxa" w:w="2381"/>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Currency</w:t>
            </w:r>
          </w:p>
        </w:tc>
        <w:tc>
          <w:tcPr>
            <w:tcW w:type="dxa" w:w="4139"/>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USD for V1</w:t>
            </w:r>
          </w:p>
        </w:tc>
        <w:tc>
          <w:tcPr>
            <w:tcW w:type="dxa" w:w="2551"/>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Currency-aware schema supports future additions</w:t>
            </w:r>
          </w:p>
        </w:tc>
      </w:tr>
      <w:tr>
        <w:trPr>
          <w:cantSplit/>
        </w:trPr>
        <w:tc>
          <w:tcPr>
            <w:tcW w:type="dxa" w:w="2381"/>
            <w:tcMar>
              <w:top w:w="80" w:type="dxa"/>
              <w:start w:w="90" w:type="dxa"/>
              <w:bottom w:w="80" w:type="dxa"/>
              <w:end w:w="90" w:type="dxa"/>
            </w:tcMar>
            <w:vAlign w:val="top"/>
          </w:tcPr>
          <w:p>
            <w:pPr>
              <w:spacing w:after="0"/>
            </w:pPr>
            <w:r>
              <w:rPr>
                <w:rFonts w:ascii="Liberation Sans" w:hAnsi="Liberation Sans" w:eastAsia="Liberation Sans"/>
                <w:color w:val="1F2937"/>
                <w:sz w:val="16"/>
              </w:rPr>
              <w:t>Products</w:t>
            </w:r>
          </w:p>
        </w:tc>
        <w:tc>
          <w:tcPr>
            <w:tcW w:type="dxa" w:w="4139"/>
            <w:tcMar>
              <w:top w:w="80" w:type="dxa"/>
              <w:start w:w="90" w:type="dxa"/>
              <w:bottom w:w="80" w:type="dxa"/>
              <w:end w:w="90" w:type="dxa"/>
            </w:tcMar>
            <w:vAlign w:val="top"/>
          </w:tcPr>
          <w:p>
            <w:pPr>
              <w:spacing w:after="0"/>
            </w:pPr>
            <w:r>
              <w:rPr>
                <w:rFonts w:ascii="Liberation Sans" w:hAnsi="Liberation Sans" w:eastAsia="Liberation Sans"/>
                <w:color w:val="1F2937"/>
                <w:sz w:val="16"/>
              </w:rPr>
              <w:t>Diesel and Petrol seeded</w:t>
            </w:r>
          </w:p>
        </w:tc>
        <w:tc>
          <w:tcPr>
            <w:tcW w:type="dxa" w:w="2551"/>
            <w:tcMar>
              <w:top w:w="80" w:type="dxa"/>
              <w:start w:w="90" w:type="dxa"/>
              <w:bottom w:w="80" w:type="dxa"/>
              <w:end w:w="90" w:type="dxa"/>
            </w:tcMar>
            <w:vAlign w:val="top"/>
          </w:tcPr>
          <w:p>
            <w:pPr>
              <w:spacing w:after="0"/>
            </w:pPr>
            <w:r>
              <w:rPr>
                <w:rFonts w:ascii="Liberation Sans" w:hAnsi="Liberation Sans" w:eastAsia="Liberation Sans"/>
                <w:color w:val="1F2937"/>
                <w:sz w:val="16"/>
              </w:rPr>
              <w:t>Configurable product master</w:t>
            </w:r>
          </w:p>
        </w:tc>
      </w:tr>
      <w:tr>
        <w:trPr>
          <w:cantSplit/>
        </w:trPr>
        <w:tc>
          <w:tcPr>
            <w:tcW w:type="dxa" w:w="2381"/>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Shift length</w:t>
            </w:r>
          </w:p>
        </w:tc>
        <w:tc>
          <w:tcPr>
            <w:tcW w:type="dxa" w:w="4139"/>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8 hours by default</w:t>
            </w:r>
          </w:p>
        </w:tc>
        <w:tc>
          <w:tcPr>
            <w:tcW w:type="dxa" w:w="2551"/>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Effective-dated station shift templates</w:t>
            </w:r>
          </w:p>
        </w:tc>
      </w:tr>
      <w:tr>
        <w:trPr>
          <w:cantSplit/>
        </w:trPr>
        <w:tc>
          <w:tcPr>
            <w:tcW w:type="dxa" w:w="2381"/>
            <w:tcMar>
              <w:top w:w="80" w:type="dxa"/>
              <w:start w:w="90" w:type="dxa"/>
              <w:bottom w:w="80" w:type="dxa"/>
              <w:end w:w="90" w:type="dxa"/>
            </w:tcMar>
            <w:vAlign w:val="top"/>
          </w:tcPr>
          <w:p>
            <w:pPr>
              <w:spacing w:after="0"/>
            </w:pPr>
            <w:r>
              <w:rPr>
                <w:rFonts w:ascii="Liberation Sans" w:hAnsi="Liberation Sans" w:eastAsia="Liberation Sans"/>
                <w:color w:val="1F2937"/>
                <w:sz w:val="16"/>
              </w:rPr>
              <w:t>Shift clock times</w:t>
            </w:r>
          </w:p>
        </w:tc>
        <w:tc>
          <w:tcPr>
            <w:tcW w:type="dxa" w:w="4139"/>
            <w:tcMar>
              <w:top w:w="80" w:type="dxa"/>
              <w:start w:w="90" w:type="dxa"/>
              <w:bottom w:w="80" w:type="dxa"/>
              <w:end w:w="90" w:type="dxa"/>
            </w:tcMar>
            <w:vAlign w:val="top"/>
          </w:tcPr>
          <w:p>
            <w:pPr>
              <w:spacing w:after="0"/>
            </w:pPr>
            <w:r>
              <w:rPr>
                <w:rFonts w:ascii="Liberation Sans" w:hAnsi="Liberation Sans" w:eastAsia="Liberation Sans"/>
                <w:color w:val="1F2937"/>
                <w:sz w:val="16"/>
              </w:rPr>
              <w:t>Starter 00:00–08:00 / 08:00–16:00 / 16:00–00:00 only; not assumed TEI reality</w:t>
            </w:r>
          </w:p>
        </w:tc>
        <w:tc>
          <w:tcPr>
            <w:tcW w:type="dxa" w:w="2551"/>
            <w:tcMar>
              <w:top w:w="80" w:type="dxa"/>
              <w:start w:w="90" w:type="dxa"/>
              <w:bottom w:w="80" w:type="dxa"/>
              <w:end w:w="90" w:type="dxa"/>
            </w:tcMar>
            <w:vAlign w:val="top"/>
          </w:tcPr>
          <w:p>
            <w:pPr>
              <w:spacing w:after="0"/>
            </w:pPr>
            <w:r>
              <w:rPr>
                <w:rFonts w:ascii="Liberation Sans" w:hAnsi="Liberation Sans" w:eastAsia="Liberation Sans"/>
                <w:color w:val="1F2937"/>
                <w:sz w:val="16"/>
              </w:rPr>
              <w:t>Set during station onboarding</w:t>
            </w:r>
          </w:p>
        </w:tc>
      </w:tr>
      <w:tr>
        <w:trPr>
          <w:cantSplit/>
        </w:trPr>
        <w:tc>
          <w:tcPr>
            <w:tcW w:type="dxa" w:w="2381"/>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History migration</w:t>
            </w:r>
          </w:p>
        </w:tc>
        <w:tc>
          <w:tcPr>
            <w:tcW w:type="dxa" w:w="4139"/>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No broad migration</w:t>
            </w:r>
          </w:p>
        </w:tc>
        <w:tc>
          <w:tcPr>
            <w:tcW w:type="dxa" w:w="2551"/>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Opening positions + selective useful recent closed history</w:t>
            </w:r>
          </w:p>
        </w:tc>
      </w:tr>
      <w:tr>
        <w:trPr>
          <w:cantSplit/>
        </w:trPr>
        <w:tc>
          <w:tcPr>
            <w:tcW w:type="dxa" w:w="2381"/>
            <w:tcMar>
              <w:top w:w="80" w:type="dxa"/>
              <w:start w:w="90" w:type="dxa"/>
              <w:bottom w:w="80" w:type="dxa"/>
              <w:end w:w="90" w:type="dxa"/>
            </w:tcMar>
            <w:vAlign w:val="top"/>
          </w:tcPr>
          <w:p>
            <w:pPr>
              <w:spacing w:after="0"/>
            </w:pPr>
            <w:r>
              <w:rPr>
                <w:rFonts w:ascii="Liberation Sans" w:hAnsi="Liberation Sans" w:eastAsia="Liberation Sans"/>
                <w:color w:val="1F2937"/>
                <w:sz w:val="16"/>
              </w:rPr>
              <w:t>Cash unbanked warning</w:t>
            </w:r>
          </w:p>
        </w:tc>
        <w:tc>
          <w:tcPr>
            <w:tcW w:type="dxa" w:w="4139"/>
            <w:tcMar>
              <w:top w:w="80" w:type="dxa"/>
              <w:start w:w="90" w:type="dxa"/>
              <w:bottom w:w="80" w:type="dxa"/>
              <w:end w:w="90" w:type="dxa"/>
            </w:tcMar>
            <w:vAlign w:val="top"/>
          </w:tcPr>
          <w:p>
            <w:pPr>
              <w:spacing w:after="0"/>
            </w:pPr>
            <w:r>
              <w:rPr>
                <w:rFonts w:ascii="Liberation Sans" w:hAnsi="Liberation Sans" w:eastAsia="Liberation Sans"/>
                <w:color w:val="1F2937"/>
                <w:sz w:val="16"/>
              </w:rPr>
              <w:t>24h warning / 48h urgent pilot default</w:t>
            </w:r>
          </w:p>
        </w:tc>
        <w:tc>
          <w:tcPr>
            <w:tcW w:type="dxa" w:w="2551"/>
            <w:tcMar>
              <w:top w:w="80" w:type="dxa"/>
              <w:start w:w="90" w:type="dxa"/>
              <w:bottom w:w="80" w:type="dxa"/>
              <w:end w:w="90" w:type="dxa"/>
            </w:tcMar>
            <w:vAlign w:val="top"/>
          </w:tcPr>
          <w:p>
            <w:pPr>
              <w:spacing w:after="0"/>
            </w:pPr>
            <w:r>
              <w:rPr>
                <w:rFonts w:ascii="Liberation Sans" w:hAnsi="Liberation Sans" w:eastAsia="Liberation Sans"/>
                <w:color w:val="1F2937"/>
                <w:sz w:val="16"/>
              </w:rPr>
              <w:t>Effective policy configuration</w:t>
            </w:r>
          </w:p>
        </w:tc>
      </w:tr>
      <w:tr>
        <w:trPr>
          <w:cantSplit/>
        </w:trPr>
        <w:tc>
          <w:tcPr>
            <w:tcW w:type="dxa" w:w="2381"/>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Manual bank confirmation</w:t>
            </w:r>
          </w:p>
        </w:tc>
        <w:tc>
          <w:tcPr>
            <w:tcW w:type="dxa" w:w="4139"/>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Enabled in V1</w:t>
            </w:r>
          </w:p>
        </w:tc>
        <w:tc>
          <w:tcPr>
            <w:tcW w:type="dxa" w:w="2551"/>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Future integration adapter</w:t>
            </w:r>
          </w:p>
        </w:tc>
      </w:tr>
    </w:tbl>
    <w:p>
      <w:pPr>
        <w:spacing w:after="40"/>
      </w:pPr>
    </w:p>
    <w:p>
      <w:pPr>
        <w:pStyle w:val="Heading2"/>
        <w:keepNext/>
        <w:spacing w:before="120" w:after="80"/>
      </w:pPr>
      <w:r>
        <w:rPr>
          <w:rFonts w:ascii="Liberation Sans" w:hAnsi="Liberation Sans" w:eastAsia="Liberation Sans"/>
          <w:b/>
          <w:color w:val="17324D"/>
          <w:sz w:val="27"/>
        </w:rPr>
        <w:t>3.3 Working Location Seed</w:t>
      </w:r>
    </w:p>
    <w:p>
      <w:pPr>
        <w:spacing w:after="100" w:line="259" w:lineRule="auto"/>
      </w:pPr>
      <w:r>
        <w:rPr>
          <w:rFonts w:ascii="Liberation Sans" w:hAnsi="Liberation Sans" w:eastAsia="Liberation Sans"/>
          <w:color w:val="1F2937"/>
          <w:sz w:val="18"/>
        </w:rPr>
        <w:t>The following locations are seeded from the client-provided Triumph Energy resource. The software does not assume every entry is a retail station until onboarding confirms its type and active status.</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3402"/>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Location</w:t>
            </w:r>
          </w:p>
        </w:tc>
        <w:tc>
          <w:tcPr>
            <w:tcW w:type="dxa" w:w="5669"/>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Onboarding status</w:t>
            </w:r>
          </w:p>
        </w:tc>
      </w:tr>
      <w:tr>
        <w:trPr>
          <w:cantSplit/>
        </w:trPr>
        <w:tc>
          <w:tcPr>
            <w:tcW w:type="dxa" w:w="3402"/>
            <w:tcMar>
              <w:top w:w="80" w:type="dxa"/>
              <w:start w:w="90" w:type="dxa"/>
              <w:bottom w:w="80" w:type="dxa"/>
              <w:end w:w="90" w:type="dxa"/>
            </w:tcMar>
            <w:vAlign w:val="top"/>
          </w:tcPr>
          <w:p>
            <w:pPr>
              <w:spacing w:after="0"/>
            </w:pPr>
            <w:r>
              <w:rPr>
                <w:rFonts w:ascii="Liberation Sans" w:hAnsi="Liberation Sans" w:eastAsia="Liberation Sans"/>
                <w:color w:val="1F2937"/>
                <w:sz w:val="16"/>
              </w:rPr>
              <w:t>Sandawana</w:t>
            </w:r>
          </w:p>
        </w:tc>
        <w:tc>
          <w:tcPr>
            <w:tcW w:type="dxa" w:w="5669"/>
            <w:tcMar>
              <w:top w:w="80" w:type="dxa"/>
              <w:start w:w="90" w:type="dxa"/>
              <w:bottom w:w="80" w:type="dxa"/>
              <w:end w:w="90" w:type="dxa"/>
            </w:tcMar>
            <w:vAlign w:val="top"/>
          </w:tcPr>
          <w:p>
            <w:pPr>
              <w:spacing w:after="0"/>
            </w:pPr>
            <w:r>
              <w:rPr>
                <w:rFonts w:ascii="Liberation Sans" w:hAnsi="Liberation Sans" w:eastAsia="Liberation Sans"/>
                <w:color w:val="1F2937"/>
                <w:sz w:val="16"/>
              </w:rPr>
              <w:t>Type / active state to confirm; eligible pilot candidate</w:t>
            </w:r>
          </w:p>
        </w:tc>
      </w:tr>
      <w:tr>
        <w:trPr>
          <w:cantSplit/>
        </w:trPr>
        <w:tc>
          <w:tcPr>
            <w:tcW w:type="dxa" w:w="3402"/>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Hwange</w:t>
            </w:r>
          </w:p>
        </w:tc>
        <w:tc>
          <w:tcPr>
            <w:tcW w:type="dxa" w:w="5669"/>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Type / active state to confirm; eligible pilot candidate</w:t>
            </w:r>
          </w:p>
        </w:tc>
      </w:tr>
      <w:tr>
        <w:trPr>
          <w:cantSplit/>
        </w:trPr>
        <w:tc>
          <w:tcPr>
            <w:tcW w:type="dxa" w:w="3402"/>
            <w:tcMar>
              <w:top w:w="80" w:type="dxa"/>
              <w:start w:w="90" w:type="dxa"/>
              <w:bottom w:w="80" w:type="dxa"/>
              <w:end w:w="90" w:type="dxa"/>
            </w:tcMar>
            <w:vAlign w:val="top"/>
          </w:tcPr>
          <w:p>
            <w:pPr>
              <w:spacing w:after="0"/>
            </w:pPr>
            <w:r>
              <w:rPr>
                <w:rFonts w:ascii="Liberation Sans" w:hAnsi="Liberation Sans" w:eastAsia="Liberation Sans"/>
                <w:color w:val="1F2937"/>
                <w:sz w:val="16"/>
              </w:rPr>
              <w:t>Bindura</w:t>
            </w:r>
          </w:p>
        </w:tc>
        <w:tc>
          <w:tcPr>
            <w:tcW w:type="dxa" w:w="5669"/>
            <w:tcMar>
              <w:top w:w="80" w:type="dxa"/>
              <w:start w:w="90" w:type="dxa"/>
              <w:bottom w:w="80" w:type="dxa"/>
              <w:end w:w="90" w:type="dxa"/>
            </w:tcMar>
            <w:vAlign w:val="top"/>
          </w:tcPr>
          <w:p>
            <w:pPr>
              <w:spacing w:after="0"/>
            </w:pPr>
            <w:r>
              <w:rPr>
                <w:rFonts w:ascii="Liberation Sans" w:hAnsi="Liberation Sans" w:eastAsia="Liberation Sans"/>
                <w:color w:val="1F2937"/>
                <w:sz w:val="16"/>
              </w:rPr>
              <w:t>Type / active state to confirm; eligible pilot candidate</w:t>
            </w:r>
          </w:p>
        </w:tc>
      </w:tr>
      <w:tr>
        <w:trPr>
          <w:cantSplit/>
        </w:trPr>
        <w:tc>
          <w:tcPr>
            <w:tcW w:type="dxa" w:w="3402"/>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Makaha</w:t>
            </w:r>
          </w:p>
        </w:tc>
        <w:tc>
          <w:tcPr>
            <w:tcW w:type="dxa" w:w="5669"/>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Type / active state to confirm; eligible pilot candidate</w:t>
            </w:r>
          </w:p>
        </w:tc>
      </w:tr>
      <w:tr>
        <w:trPr>
          <w:cantSplit/>
        </w:trPr>
        <w:tc>
          <w:tcPr>
            <w:tcW w:type="dxa" w:w="3402"/>
            <w:tcMar>
              <w:top w:w="80" w:type="dxa"/>
              <w:start w:w="90" w:type="dxa"/>
              <w:bottom w:w="80" w:type="dxa"/>
              <w:end w:w="90" w:type="dxa"/>
            </w:tcMar>
            <w:vAlign w:val="top"/>
          </w:tcPr>
          <w:p>
            <w:pPr>
              <w:spacing w:after="0"/>
            </w:pPr>
            <w:r>
              <w:rPr>
                <w:rFonts w:ascii="Liberation Sans" w:hAnsi="Liberation Sans" w:eastAsia="Liberation Sans"/>
                <w:color w:val="1F2937"/>
                <w:sz w:val="16"/>
              </w:rPr>
              <w:t>Kwekwe</w:t>
            </w:r>
          </w:p>
        </w:tc>
        <w:tc>
          <w:tcPr>
            <w:tcW w:type="dxa" w:w="5669"/>
            <w:tcMar>
              <w:top w:w="80" w:type="dxa"/>
              <w:start w:w="90" w:type="dxa"/>
              <w:bottom w:w="80" w:type="dxa"/>
              <w:end w:w="90" w:type="dxa"/>
            </w:tcMar>
            <w:vAlign w:val="top"/>
          </w:tcPr>
          <w:p>
            <w:pPr>
              <w:spacing w:after="0"/>
            </w:pPr>
            <w:r>
              <w:rPr>
                <w:rFonts w:ascii="Liberation Sans" w:hAnsi="Liberation Sans" w:eastAsia="Liberation Sans"/>
                <w:color w:val="1F2937"/>
                <w:sz w:val="16"/>
              </w:rPr>
              <w:t>Type / active state to confirm; eligible pilot candidate</w:t>
            </w:r>
          </w:p>
        </w:tc>
      </w:tr>
      <w:tr>
        <w:trPr>
          <w:cantSplit/>
        </w:trPr>
        <w:tc>
          <w:tcPr>
            <w:tcW w:type="dxa" w:w="3402"/>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Kadoma</w:t>
            </w:r>
          </w:p>
        </w:tc>
        <w:tc>
          <w:tcPr>
            <w:tcW w:type="dxa" w:w="5669"/>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Type / active state to confirm; eligible pilot candidate</w:t>
            </w:r>
          </w:p>
        </w:tc>
      </w:tr>
      <w:tr>
        <w:trPr>
          <w:cantSplit/>
        </w:trPr>
        <w:tc>
          <w:tcPr>
            <w:tcW w:type="dxa" w:w="3402"/>
            <w:tcMar>
              <w:top w:w="80" w:type="dxa"/>
              <w:start w:w="90" w:type="dxa"/>
              <w:bottom w:w="80" w:type="dxa"/>
              <w:end w:w="90" w:type="dxa"/>
            </w:tcMar>
            <w:vAlign w:val="top"/>
          </w:tcPr>
          <w:p>
            <w:pPr>
              <w:spacing w:after="0"/>
            </w:pPr>
            <w:r>
              <w:rPr>
                <w:rFonts w:ascii="Liberation Sans" w:hAnsi="Liberation Sans" w:eastAsia="Liberation Sans"/>
                <w:color w:val="1F2937"/>
                <w:sz w:val="16"/>
              </w:rPr>
              <w:t>Gweru</w:t>
            </w:r>
          </w:p>
        </w:tc>
        <w:tc>
          <w:tcPr>
            <w:tcW w:type="dxa" w:w="5669"/>
            <w:tcMar>
              <w:top w:w="80" w:type="dxa"/>
              <w:start w:w="90" w:type="dxa"/>
              <w:bottom w:w="80" w:type="dxa"/>
              <w:end w:w="90" w:type="dxa"/>
            </w:tcMar>
            <w:vAlign w:val="top"/>
          </w:tcPr>
          <w:p>
            <w:pPr>
              <w:spacing w:after="0"/>
            </w:pPr>
            <w:r>
              <w:rPr>
                <w:rFonts w:ascii="Liberation Sans" w:hAnsi="Liberation Sans" w:eastAsia="Liberation Sans"/>
                <w:color w:val="1F2937"/>
                <w:sz w:val="16"/>
              </w:rPr>
              <w:t>Type / active state to confirm; eligible pilot candidate</w:t>
            </w:r>
          </w:p>
        </w:tc>
      </w:tr>
      <w:tr>
        <w:trPr>
          <w:cantSplit/>
        </w:trPr>
        <w:tc>
          <w:tcPr>
            <w:tcW w:type="dxa" w:w="3402"/>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Harare</w:t>
            </w:r>
          </w:p>
        </w:tc>
        <w:tc>
          <w:tcPr>
            <w:tcW w:type="dxa" w:w="5669"/>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Type / active state to confirm; eligible pilot candidate</w:t>
            </w:r>
          </w:p>
        </w:tc>
      </w:tr>
      <w:tr>
        <w:trPr>
          <w:cantSplit/>
        </w:trPr>
        <w:tc>
          <w:tcPr>
            <w:tcW w:type="dxa" w:w="3402"/>
            <w:tcMar>
              <w:top w:w="80" w:type="dxa"/>
              <w:start w:w="90" w:type="dxa"/>
              <w:bottom w:w="80" w:type="dxa"/>
              <w:end w:w="90" w:type="dxa"/>
            </w:tcMar>
            <w:vAlign w:val="top"/>
          </w:tcPr>
          <w:p>
            <w:pPr>
              <w:spacing w:after="0"/>
            </w:pPr>
            <w:r>
              <w:rPr>
                <w:rFonts w:ascii="Liberation Sans" w:hAnsi="Liberation Sans" w:eastAsia="Liberation Sans"/>
                <w:color w:val="1F2937"/>
                <w:sz w:val="16"/>
              </w:rPr>
              <w:t>Mutare</w:t>
            </w:r>
          </w:p>
        </w:tc>
        <w:tc>
          <w:tcPr>
            <w:tcW w:type="dxa" w:w="5669"/>
            <w:tcMar>
              <w:top w:w="80" w:type="dxa"/>
              <w:start w:w="90" w:type="dxa"/>
              <w:bottom w:w="80" w:type="dxa"/>
              <w:end w:w="90" w:type="dxa"/>
            </w:tcMar>
            <w:vAlign w:val="top"/>
          </w:tcPr>
          <w:p>
            <w:pPr>
              <w:spacing w:after="0"/>
            </w:pPr>
            <w:r>
              <w:rPr>
                <w:rFonts w:ascii="Liberation Sans" w:hAnsi="Liberation Sans" w:eastAsia="Liberation Sans"/>
                <w:color w:val="1F2937"/>
                <w:sz w:val="16"/>
              </w:rPr>
              <w:t>Type / active state to confirm; eligible pilot candidate</w:t>
            </w:r>
          </w:p>
        </w:tc>
      </w:tr>
      <w:tr>
        <w:trPr>
          <w:cantSplit/>
        </w:trPr>
        <w:tc>
          <w:tcPr>
            <w:tcW w:type="dxa" w:w="3402"/>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Masvingo</w:t>
            </w:r>
          </w:p>
        </w:tc>
        <w:tc>
          <w:tcPr>
            <w:tcW w:type="dxa" w:w="5669"/>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Type / active state to confirm; eligible pilot candidate</w:t>
            </w:r>
          </w:p>
        </w:tc>
      </w:tr>
      <w:tr>
        <w:trPr>
          <w:cantSplit/>
        </w:trPr>
        <w:tc>
          <w:tcPr>
            <w:tcW w:type="dxa" w:w="3402"/>
            <w:tcMar>
              <w:top w:w="80" w:type="dxa"/>
              <w:start w:w="90" w:type="dxa"/>
              <w:bottom w:w="80" w:type="dxa"/>
              <w:end w:w="90" w:type="dxa"/>
            </w:tcMar>
            <w:vAlign w:val="top"/>
          </w:tcPr>
          <w:p>
            <w:pPr>
              <w:spacing w:after="0"/>
            </w:pPr>
            <w:r>
              <w:rPr>
                <w:rFonts w:ascii="Liberation Sans" w:hAnsi="Liberation Sans" w:eastAsia="Liberation Sans"/>
                <w:color w:val="1F2937"/>
                <w:sz w:val="16"/>
              </w:rPr>
              <w:t>Bulawayo</w:t>
            </w:r>
          </w:p>
        </w:tc>
        <w:tc>
          <w:tcPr>
            <w:tcW w:type="dxa" w:w="5669"/>
            <w:tcMar>
              <w:top w:w="80" w:type="dxa"/>
              <w:start w:w="90" w:type="dxa"/>
              <w:bottom w:w="80" w:type="dxa"/>
              <w:end w:w="90" w:type="dxa"/>
            </w:tcMar>
            <w:vAlign w:val="top"/>
          </w:tcPr>
          <w:p>
            <w:pPr>
              <w:spacing w:after="0"/>
            </w:pPr>
            <w:r>
              <w:rPr>
                <w:rFonts w:ascii="Liberation Sans" w:hAnsi="Liberation Sans" w:eastAsia="Liberation Sans"/>
                <w:color w:val="1F2937"/>
                <w:sz w:val="16"/>
              </w:rPr>
              <w:t>Type / active state to confirm; eligible pilot candidate</w:t>
            </w:r>
          </w:p>
        </w:tc>
      </w:tr>
    </w:tbl>
    <w:p>
      <w:pPr>
        <w:spacing w:after="40"/>
      </w:pPr>
    </w:p>
    <w:p>
      <w:pPr>
        <w:pStyle w:val="Heading2"/>
        <w:keepNext/>
        <w:spacing w:before="120" w:after="80"/>
      </w:pPr>
      <w:r>
        <w:rPr>
          <w:rFonts w:ascii="Liberation Sans" w:hAnsi="Liberation Sans" w:eastAsia="Liberation Sans"/>
          <w:b/>
          <w:color w:val="17324D"/>
          <w:sz w:val="27"/>
        </w:rPr>
        <w:t>3.4 Effective-Dated Configuration</w:t>
      </w:r>
    </w:p>
    <w:p>
      <w:pPr>
        <w:spacing w:after="100" w:line="259" w:lineRule="auto"/>
      </w:pPr>
      <w:r>
        <w:rPr>
          <w:rFonts w:ascii="Liberation Sans" w:hAnsi="Liberation Sans" w:eastAsia="Liberation Sans"/>
          <w:color w:val="1F2937"/>
          <w:sz w:val="18"/>
        </w:rPr>
        <w:t>Critical configuration is versioned and effective-dated so that current settings never rewrite history. Examples include selling prices, shift templates, tank/nozzle configuration, calibration charts, customer account policies, supplier terms, recurring costs, approval policies and station cash floats.</w:t>
      </w:r>
    </w:p>
    <w:tbl>
      <w:tblPr>
        <w:tblW w:type="auto" w:w="0"/>
        <w:jc w:val="center"/>
        <w:tblLayout w:type="autofit"/>
        <w:tblLook w:firstColumn="1" w:firstRow="1" w:lastColumn="0" w:lastRow="0" w:noHBand="0" w:noVBand="1" w:val="04A0"/>
      </w:tblPr>
      <w:tblGrid>
        <w:gridCol w:w="10036"/>
      </w:tblGrid>
      <w:tr>
        <w:tc>
          <w:tcPr>
            <w:tcW w:type="dxa" w:w="10036"/>
            <w:shd w:fill="FFF6DA"/>
            <w:tcMar>
              <w:top w:w="110" w:type="dxa"/>
              <w:start w:w="150" w:type="dxa"/>
              <w:bottom w:w="110" w:type="dxa"/>
              <w:end w:w="150" w:type="dxa"/>
            </w:tcMar>
          </w:tcPr>
          <w:p>
            <w:pPr>
              <w:spacing w:after="40"/>
            </w:pPr>
            <w:r>
              <w:rPr>
                <w:rFonts w:ascii="Liberation Sans" w:hAnsi="Liberation Sans" w:eastAsia="Liberation Sans"/>
                <w:b/>
                <w:color w:val="C58B00"/>
                <w:sz w:val="19"/>
              </w:rPr>
              <w:t>RULE</w:t>
            </w:r>
          </w:p>
          <w:p>
            <w:pPr>
              <w:spacing w:after="0"/>
            </w:pPr>
            <w:r>
              <w:rPr>
                <w:rFonts w:ascii="Liberation Sans" w:hAnsi="Liberation Sans" w:eastAsia="Liberation Sans"/>
                <w:color w:val="1F2937"/>
                <w:sz w:val="18"/>
              </w:rPr>
              <w:t>Configuration may make workflows more or less strict, but it cannot disable tenant isolation, ledger conservation, immutable posting, authorization checks, or other integrity invariants.</w:t>
            </w:r>
          </w:p>
        </w:tc>
      </w:tr>
    </w:tbl>
    <w:p>
      <w:pPr>
        <w:spacing w:after="20"/>
      </w:pPr>
    </w:p>
    <w:p>
      <w:pPr>
        <w:pStyle w:val="Heading1"/>
        <w:keepNext/>
        <w:spacing w:before="180" w:after="80"/>
      </w:pPr>
      <w:r>
        <w:rPr>
          <w:rFonts w:ascii="Liberation Sans" w:hAnsi="Liberation Sans" w:eastAsia="Liberation Sans"/>
          <w:b/>
          <w:color w:val="17324D"/>
          <w:sz w:val="36"/>
        </w:rPr>
        <w:t>4. Source-of-Truth &amp; Financial Integrity Model</w:t>
      </w:r>
    </w:p>
    <w:p>
      <w:pPr>
        <w:pStyle w:val="Heading2"/>
        <w:keepNext/>
        <w:spacing w:before="120" w:after="80"/>
      </w:pPr>
      <w:r>
        <w:rPr>
          <w:rFonts w:ascii="Liberation Sans" w:hAnsi="Liberation Sans" w:eastAsia="Liberation Sans"/>
          <w:b/>
          <w:color w:val="17324D"/>
          <w:sz w:val="27"/>
        </w:rPr>
        <w:t>4.1 Four Layers of Truth</w:t>
      </w:r>
    </w:p>
    <w:p>
      <w:pPr>
        <w:jc w:val="center"/>
      </w:pPr>
      <w:r>
        <w:drawing>
          <wp:inline xmlns:a="http://schemas.openxmlformats.org/drawingml/2006/main" xmlns:pic="http://schemas.openxmlformats.org/drawingml/2006/picture">
            <wp:extent cx="5669280" cy="2914305"/>
            <wp:docPr id="2" name="Picture 2" descr="Four-layer source-of-truth model for Shanda Fuel." title="Figure 2. Four layers of truth: observations, workflows, authoritative movements, and read models."/>
            <wp:cNvGraphicFramePr>
              <a:graphicFrameLocks noChangeAspect="1"/>
            </wp:cNvGraphicFramePr>
            <a:graphic>
              <a:graphicData uri="http://schemas.openxmlformats.org/drawingml/2006/picture">
                <pic:pic>
                  <pic:nvPicPr>
                    <pic:cNvPr id="0" name="02_source_of_truth.png"/>
                    <pic:cNvPicPr/>
                  </pic:nvPicPr>
                  <pic:blipFill>
                    <a:blip r:embed="rId12"/>
                    <a:stretch>
                      <a:fillRect/>
                    </a:stretch>
                  </pic:blipFill>
                  <pic:spPr>
                    <a:xfrm>
                      <a:off x="0" y="0"/>
                      <a:ext cx="5669280" cy="2914305"/>
                    </a:xfrm>
                    <a:prstGeom prst="rect"/>
                  </pic:spPr>
                </pic:pic>
              </a:graphicData>
            </a:graphic>
          </wp:inline>
        </w:drawing>
      </w:r>
    </w:p>
    <w:p>
      <w:pPr>
        <w:pStyle w:val="Caption"/>
        <w:jc w:val="center"/>
      </w:pPr>
      <w:r>
        <w:rPr>
          <w:i/>
          <w:color w:val="667085"/>
          <w:sz w:val="18"/>
        </w:rPr>
        <w:t>Figure 2. Four layers of truth: observations, workflows, authoritative movements, and read models.</w:t>
      </w:r>
    </w:p>
    <w:tbl>
      <w:tblPr>
        <w:tblStyle w:val="TableGrid"/>
        <w:tblW w:type="auto" w:w="0"/>
        <w:jc w:val="center"/>
        <w:tblLook w:firstColumn="1" w:firstRow="1" w:lastColumn="0" w:lastRow="0" w:noHBand="0" w:noVBand="1" w:val="04A0"/>
      </w:tblPr>
      <w:tblGrid>
        <w:gridCol w:w="3345"/>
        <w:gridCol w:w="3345"/>
        <w:gridCol w:w="3345"/>
      </w:tblGrid>
      <w:tr>
        <w:trPr>
          <w:tblHeader w:val="true"/>
        </w:trPr>
        <w:tc>
          <w:tcPr>
            <w:tcW w:type="dxa" w:w="1814"/>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Layer</w:t>
            </w:r>
          </w:p>
        </w:tc>
        <w:tc>
          <w:tcPr>
            <w:tcW w:type="dxa" w:w="3402"/>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Examples</w:t>
            </w:r>
          </w:p>
        </w:tc>
        <w:tc>
          <w:tcPr>
            <w:tcW w:type="dxa" w:w="3855"/>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Rule</w:t>
            </w:r>
          </w:p>
        </w:tc>
      </w:tr>
      <w:tr>
        <w:trPr>
          <w:cantSplit/>
        </w:trPr>
        <w:tc>
          <w:tcPr>
            <w:tcW w:type="dxa" w:w="1814"/>
            <w:tcMar>
              <w:top w:w="80" w:type="dxa"/>
              <w:start w:w="90" w:type="dxa"/>
              <w:bottom w:w="80" w:type="dxa"/>
              <w:end w:w="90" w:type="dxa"/>
            </w:tcMar>
            <w:vAlign w:val="top"/>
          </w:tcPr>
          <w:p>
            <w:pPr>
              <w:spacing w:after="0"/>
            </w:pPr>
            <w:r>
              <w:rPr>
                <w:rFonts w:ascii="Liberation Sans" w:hAnsi="Liberation Sans" w:eastAsia="Liberation Sans"/>
                <w:color w:val="1F2937"/>
                <w:sz w:val="16"/>
              </w:rPr>
              <w:t>Physical observations</w:t>
            </w:r>
          </w:p>
        </w:tc>
        <w:tc>
          <w:tcPr>
            <w:tcW w:type="dxa" w:w="3402"/>
            <w:tcMar>
              <w:top w:w="80" w:type="dxa"/>
              <w:start w:w="90" w:type="dxa"/>
              <w:bottom w:w="80" w:type="dxa"/>
              <w:end w:w="90" w:type="dxa"/>
            </w:tcMar>
            <w:vAlign w:val="top"/>
          </w:tcPr>
          <w:p>
            <w:pPr>
              <w:spacing w:after="0"/>
            </w:pPr>
            <w:r>
              <w:rPr>
                <w:rFonts w:ascii="Liberation Sans" w:hAnsi="Liberation Sans" w:eastAsia="Liberation Sans"/>
                <w:color w:val="1F2937"/>
                <w:sz w:val="16"/>
              </w:rPr>
              <w:t>Meter reading, tank dip, cash count, provider/bank observation</w:t>
            </w:r>
          </w:p>
        </w:tc>
        <w:tc>
          <w:tcPr>
            <w:tcW w:type="dxa" w:w="3855"/>
            <w:tcMar>
              <w:top w:w="80" w:type="dxa"/>
              <w:start w:w="90" w:type="dxa"/>
              <w:bottom w:w="80" w:type="dxa"/>
              <w:end w:w="90" w:type="dxa"/>
            </w:tcMar>
            <w:vAlign w:val="top"/>
          </w:tcPr>
          <w:p>
            <w:pPr>
              <w:spacing w:after="0"/>
            </w:pPr>
            <w:r>
              <w:rPr>
                <w:rFonts w:ascii="Liberation Sans" w:hAnsi="Liberation Sans" w:eastAsia="Liberation Sans"/>
                <w:color w:val="1F2937"/>
                <w:sz w:val="16"/>
              </w:rPr>
              <w:t>Record what was observed; do not automatically rewrite financial/book truth.</w:t>
            </w:r>
          </w:p>
        </w:tc>
      </w:tr>
      <w:tr>
        <w:trPr>
          <w:cantSplit/>
        </w:trPr>
        <w:tc>
          <w:tcPr>
            <w:tcW w:type="dxa" w:w="1814"/>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Business workflows</w:t>
            </w:r>
          </w:p>
        </w:tc>
        <w:tc>
          <w:tcPr>
            <w:tcW w:type="dxa" w:w="3402"/>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Shift, delivery, invoice, payment, expense, collection, reconciliation</w:t>
            </w:r>
          </w:p>
        </w:tc>
        <w:tc>
          <w:tcPr>
            <w:tcW w:type="dxa" w:w="3855"/>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Represent authorization and state progression.</w:t>
            </w:r>
          </w:p>
        </w:tc>
      </w:tr>
      <w:tr>
        <w:trPr>
          <w:cantSplit/>
        </w:trPr>
        <w:tc>
          <w:tcPr>
            <w:tcW w:type="dxa" w:w="1814"/>
            <w:tcMar>
              <w:top w:w="80" w:type="dxa"/>
              <w:start w:w="90" w:type="dxa"/>
              <w:bottom w:w="80" w:type="dxa"/>
              <w:end w:w="90" w:type="dxa"/>
            </w:tcMar>
            <w:vAlign w:val="top"/>
          </w:tcPr>
          <w:p>
            <w:pPr>
              <w:spacing w:after="0"/>
            </w:pPr>
            <w:r>
              <w:rPr>
                <w:rFonts w:ascii="Liberation Sans" w:hAnsi="Liberation Sans" w:eastAsia="Liberation Sans"/>
                <w:color w:val="1F2937"/>
                <w:sz w:val="16"/>
              </w:rPr>
              <w:t>Authoritative movements</w:t>
            </w:r>
          </w:p>
        </w:tc>
        <w:tc>
          <w:tcPr>
            <w:tcW w:type="dxa" w:w="3402"/>
            <w:tcMar>
              <w:top w:w="80" w:type="dxa"/>
              <w:start w:w="90" w:type="dxa"/>
              <w:bottom w:w="80" w:type="dxa"/>
              <w:end w:w="90" w:type="dxa"/>
            </w:tcMar>
            <w:vAlign w:val="top"/>
          </w:tcPr>
          <w:p>
            <w:pPr>
              <w:spacing w:after="0"/>
            </w:pPr>
            <w:r>
              <w:rPr>
                <w:rFonts w:ascii="Liberation Sans" w:hAnsi="Liberation Sans" w:eastAsia="Liberation Sans"/>
                <w:color w:val="1F2937"/>
                <w:sz w:val="16"/>
              </w:rPr>
              <w:t>Inventory, sales recognition, cash, bank, provider, supplier, customer/prepaid ledgers</w:t>
            </w:r>
          </w:p>
        </w:tc>
        <w:tc>
          <w:tcPr>
            <w:tcW w:type="dxa" w:w="3855"/>
            <w:tcMar>
              <w:top w:w="80" w:type="dxa"/>
              <w:start w:w="90" w:type="dxa"/>
              <w:bottom w:w="80" w:type="dxa"/>
              <w:end w:w="90" w:type="dxa"/>
            </w:tcMar>
            <w:vAlign w:val="top"/>
          </w:tcPr>
          <w:p>
            <w:pPr>
              <w:spacing w:after="0"/>
            </w:pPr>
            <w:r>
              <w:rPr>
                <w:rFonts w:ascii="Liberation Sans" w:hAnsi="Liberation Sans" w:eastAsia="Liberation Sans"/>
                <w:color w:val="1F2937"/>
                <w:sz w:val="16"/>
              </w:rPr>
              <w:t>Immutable after posting; corrections are compensating movements.</w:t>
            </w:r>
          </w:p>
        </w:tc>
      </w:tr>
      <w:tr>
        <w:trPr>
          <w:cantSplit/>
        </w:trPr>
        <w:tc>
          <w:tcPr>
            <w:tcW w:type="dxa" w:w="1814"/>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Projections &amp; reports</w:t>
            </w:r>
          </w:p>
        </w:tc>
        <w:tc>
          <w:tcPr>
            <w:tcW w:type="dxa" w:w="3402"/>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Stock position, cash position, aging, profitability, Action Center</w:t>
            </w:r>
          </w:p>
        </w:tc>
        <w:tc>
          <w:tcPr>
            <w:tcW w:type="dxa" w:w="3855"/>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Rebuildable; never override authoritative history.</w:t>
            </w:r>
          </w:p>
        </w:tc>
      </w:tr>
    </w:tbl>
    <w:p>
      <w:pPr>
        <w:spacing w:after="40"/>
      </w:pPr>
    </w:p>
    <w:p>
      <w:pPr>
        <w:pStyle w:val="Heading2"/>
        <w:keepNext/>
        <w:spacing w:before="120" w:after="80"/>
      </w:pPr>
      <w:r>
        <w:rPr>
          <w:rFonts w:ascii="Liberation Sans" w:hAnsi="Liberation Sans" w:eastAsia="Liberation Sans"/>
          <w:b/>
          <w:color w:val="17324D"/>
          <w:sz w:val="27"/>
        </w:rPr>
        <w:t>4.2 Canonical Ledgers</w:t>
      </w:r>
    </w:p>
    <w:tbl>
      <w:tblPr>
        <w:tblStyle w:val="TableGrid"/>
        <w:tblW w:type="auto" w:w="0"/>
        <w:jc w:val="center"/>
        <w:tblLook w:firstColumn="1" w:firstRow="1" w:lastColumn="0" w:lastRow="0" w:noHBand="0" w:noVBand="1" w:val="04A0"/>
      </w:tblPr>
      <w:tblGrid>
        <w:gridCol w:w="3345"/>
        <w:gridCol w:w="3345"/>
        <w:gridCol w:w="3345"/>
      </w:tblGrid>
      <w:tr>
        <w:trPr>
          <w:tblHeader w:val="true"/>
        </w:trPr>
        <w:tc>
          <w:tcPr>
            <w:tcW w:type="dxa" w:w="1984"/>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Domain</w:t>
            </w:r>
          </w:p>
        </w:tc>
        <w:tc>
          <w:tcPr>
            <w:tcW w:type="dxa" w:w="3628"/>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Authoritative movement source</w:t>
            </w:r>
          </w:p>
        </w:tc>
        <w:tc>
          <w:tcPr>
            <w:tcW w:type="dxa" w:w="3458"/>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Projection / report examples</w:t>
            </w:r>
          </w:p>
        </w:tc>
      </w:tr>
      <w:tr>
        <w:trPr>
          <w:cantSplit/>
        </w:trPr>
        <w:tc>
          <w:tcPr>
            <w:tcW w:type="dxa" w:w="1984"/>
            <w:tcMar>
              <w:top w:w="80" w:type="dxa"/>
              <w:start w:w="90" w:type="dxa"/>
              <w:bottom w:w="80" w:type="dxa"/>
              <w:end w:w="90" w:type="dxa"/>
            </w:tcMar>
            <w:vAlign w:val="top"/>
          </w:tcPr>
          <w:p>
            <w:pPr>
              <w:spacing w:after="0"/>
            </w:pPr>
            <w:r>
              <w:rPr>
                <w:rFonts w:ascii="Liberation Sans" w:hAnsi="Liberation Sans" w:eastAsia="Liberation Sans"/>
                <w:color w:val="1F2937"/>
                <w:sz w:val="16"/>
              </w:rPr>
              <w:t>Inventory</w:t>
            </w:r>
          </w:p>
        </w:tc>
        <w:tc>
          <w:tcPr>
            <w:tcW w:type="dxa" w:w="3628"/>
            <w:tcMar>
              <w:top w:w="80" w:type="dxa"/>
              <w:start w:w="90" w:type="dxa"/>
              <w:bottom w:w="80" w:type="dxa"/>
              <w:end w:w="90" w:type="dxa"/>
            </w:tcMar>
            <w:vAlign w:val="top"/>
          </w:tcPr>
          <w:p>
            <w:pPr>
              <w:spacing w:after="0"/>
            </w:pPr>
            <w:r>
              <w:rPr>
                <w:rFonts w:ascii="Liberation Sans" w:hAnsi="Liberation Sans" w:eastAsia="Liberation Sans"/>
                <w:color w:val="1F2937"/>
                <w:sz w:val="16"/>
              </w:rPr>
              <w:t>inventory_movement + inventory_revaluation</w:t>
            </w:r>
          </w:p>
        </w:tc>
        <w:tc>
          <w:tcPr>
            <w:tcW w:type="dxa" w:w="3458"/>
            <w:tcMar>
              <w:top w:w="80" w:type="dxa"/>
              <w:start w:w="90" w:type="dxa"/>
              <w:bottom w:w="80" w:type="dxa"/>
              <w:end w:w="90" w:type="dxa"/>
            </w:tcMar>
            <w:vAlign w:val="top"/>
          </w:tcPr>
          <w:p>
            <w:pPr>
              <w:spacing w:after="0"/>
            </w:pPr>
            <w:r>
              <w:rPr>
                <w:rFonts w:ascii="Liberation Sans" w:hAnsi="Liberation Sans" w:eastAsia="Liberation Sans"/>
                <w:color w:val="1F2937"/>
                <w:sz w:val="16"/>
              </w:rPr>
              <w:t>Inventory pool state, stock reports, COGS</w:t>
            </w:r>
          </w:p>
        </w:tc>
      </w:tr>
      <w:tr>
        <w:trPr>
          <w:cantSplit/>
        </w:trPr>
        <w:tc>
          <w:tcPr>
            <w:tcW w:type="dxa" w:w="1984"/>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Official revenue</w:t>
            </w:r>
          </w:p>
        </w:tc>
        <w:tc>
          <w:tcPr>
            <w:tcW w:type="dxa" w:w="3628"/>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sale_recognition_movement</w:t>
            </w:r>
          </w:p>
        </w:tc>
        <w:tc>
          <w:tcPr>
            <w:tcW w:type="dxa" w:w="3458"/>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Revenue/profitability</w:t>
            </w:r>
          </w:p>
        </w:tc>
      </w:tr>
      <w:tr>
        <w:trPr>
          <w:cantSplit/>
        </w:trPr>
        <w:tc>
          <w:tcPr>
            <w:tcW w:type="dxa" w:w="1984"/>
            <w:tcMar>
              <w:top w:w="80" w:type="dxa"/>
              <w:start w:w="90" w:type="dxa"/>
              <w:bottom w:w="80" w:type="dxa"/>
              <w:end w:w="90" w:type="dxa"/>
            </w:tcMar>
            <w:vAlign w:val="top"/>
          </w:tcPr>
          <w:p>
            <w:pPr>
              <w:spacing w:after="0"/>
            </w:pPr>
            <w:r>
              <w:rPr>
                <w:rFonts w:ascii="Liberation Sans" w:hAnsi="Liberation Sans" w:eastAsia="Liberation Sans"/>
                <w:color w:val="1F2937"/>
                <w:sz w:val="16"/>
              </w:rPr>
              <w:t>Physical cash</w:t>
            </w:r>
          </w:p>
        </w:tc>
        <w:tc>
          <w:tcPr>
            <w:tcW w:type="dxa" w:w="3628"/>
            <w:tcMar>
              <w:top w:w="80" w:type="dxa"/>
              <w:start w:w="90" w:type="dxa"/>
              <w:bottom w:w="80" w:type="dxa"/>
              <w:end w:w="90" w:type="dxa"/>
            </w:tcMar>
            <w:vAlign w:val="top"/>
          </w:tcPr>
          <w:p>
            <w:pPr>
              <w:spacing w:after="0"/>
            </w:pPr>
            <w:r>
              <w:rPr>
                <w:rFonts w:ascii="Liberation Sans" w:hAnsi="Liberation Sans" w:eastAsia="Liberation Sans"/>
                <w:color w:val="1F2937"/>
                <w:sz w:val="16"/>
              </w:rPr>
              <w:t>cash_movement</w:t>
            </w:r>
          </w:p>
        </w:tc>
        <w:tc>
          <w:tcPr>
            <w:tcW w:type="dxa" w:w="3458"/>
            <w:tcMar>
              <w:top w:w="80" w:type="dxa"/>
              <w:start w:w="90" w:type="dxa"/>
              <w:bottom w:w="80" w:type="dxa"/>
              <w:end w:w="90" w:type="dxa"/>
            </w:tcMar>
            <w:vAlign w:val="top"/>
          </w:tcPr>
          <w:p>
            <w:pPr>
              <w:spacing w:after="0"/>
            </w:pPr>
            <w:r>
              <w:rPr>
                <w:rFonts w:ascii="Liberation Sans" w:hAnsi="Liberation Sans" w:eastAsia="Liberation Sans"/>
                <w:color w:val="1F2937"/>
                <w:sz w:val="16"/>
              </w:rPr>
              <w:t>Cash position / custody aging</w:t>
            </w:r>
          </w:p>
        </w:tc>
      </w:tr>
      <w:tr>
        <w:trPr>
          <w:cantSplit/>
        </w:trPr>
        <w:tc>
          <w:tcPr>
            <w:tcW w:type="dxa" w:w="1984"/>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Tracked bank money</w:t>
            </w:r>
          </w:p>
        </w:tc>
        <w:tc>
          <w:tcPr>
            <w:tcW w:type="dxa" w:w="3628"/>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bank_movement</w:t>
            </w:r>
          </w:p>
        </w:tc>
        <w:tc>
          <w:tcPr>
            <w:tcW w:type="dxa" w:w="3458"/>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Tracked bank position</w:t>
            </w:r>
          </w:p>
        </w:tc>
      </w:tr>
      <w:tr>
        <w:trPr>
          <w:cantSplit/>
        </w:trPr>
        <w:tc>
          <w:tcPr>
            <w:tcW w:type="dxa" w:w="1984"/>
            <w:tcMar>
              <w:top w:w="80" w:type="dxa"/>
              <w:start w:w="90" w:type="dxa"/>
              <w:bottom w:w="80" w:type="dxa"/>
              <w:end w:w="90" w:type="dxa"/>
            </w:tcMar>
            <w:vAlign w:val="top"/>
          </w:tcPr>
          <w:p>
            <w:pPr>
              <w:spacing w:after="0"/>
            </w:pPr>
            <w:r>
              <w:rPr>
                <w:rFonts w:ascii="Liberation Sans" w:hAnsi="Liberation Sans" w:eastAsia="Liberation Sans"/>
                <w:color w:val="1F2937"/>
                <w:sz w:val="16"/>
              </w:rPr>
              <w:t>Electronic provider</w:t>
            </w:r>
          </w:p>
        </w:tc>
        <w:tc>
          <w:tcPr>
            <w:tcW w:type="dxa" w:w="3628"/>
            <w:tcMar>
              <w:top w:w="80" w:type="dxa"/>
              <w:start w:w="90" w:type="dxa"/>
              <w:bottom w:w="80" w:type="dxa"/>
              <w:end w:w="90" w:type="dxa"/>
            </w:tcMar>
            <w:vAlign w:val="top"/>
          </w:tcPr>
          <w:p>
            <w:pPr>
              <w:spacing w:after="0"/>
            </w:pPr>
            <w:r>
              <w:rPr>
                <w:rFonts w:ascii="Liberation Sans" w:hAnsi="Liberation Sans" w:eastAsia="Liberation Sans"/>
                <w:color w:val="1F2937"/>
                <w:sz w:val="16"/>
              </w:rPr>
              <w:t>provider_account_movement</w:t>
            </w:r>
          </w:p>
        </w:tc>
        <w:tc>
          <w:tcPr>
            <w:tcW w:type="dxa" w:w="3458"/>
            <w:tcMar>
              <w:top w:w="80" w:type="dxa"/>
              <w:start w:w="90" w:type="dxa"/>
              <w:bottom w:w="80" w:type="dxa"/>
              <w:end w:w="90" w:type="dxa"/>
            </w:tcMar>
            <w:vAlign w:val="top"/>
          </w:tcPr>
          <w:p>
            <w:pPr>
              <w:spacing w:after="0"/>
            </w:pPr>
            <w:r>
              <w:rPr>
                <w:rFonts w:ascii="Liberation Sans" w:hAnsi="Liberation Sans" w:eastAsia="Liberation Sans"/>
                <w:color w:val="1F2937"/>
                <w:sz w:val="16"/>
              </w:rPr>
              <w:t>Provider outstanding / settlement</w:t>
            </w:r>
          </w:p>
        </w:tc>
      </w:tr>
      <w:tr>
        <w:trPr>
          <w:cantSplit/>
        </w:trPr>
        <w:tc>
          <w:tcPr>
            <w:tcW w:type="dxa" w:w="1984"/>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Supplier creditor</w:t>
            </w:r>
          </w:p>
        </w:tc>
        <w:tc>
          <w:tcPr>
            <w:tcW w:type="dxa" w:w="3628"/>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supplier_account_movement</w:t>
            </w:r>
          </w:p>
        </w:tc>
        <w:tc>
          <w:tcPr>
            <w:tcW w:type="dxa" w:w="3458"/>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Payables, aging, statements</w:t>
            </w:r>
          </w:p>
        </w:tc>
      </w:tr>
      <w:tr>
        <w:trPr>
          <w:cantSplit/>
        </w:trPr>
        <w:tc>
          <w:tcPr>
            <w:tcW w:type="dxa" w:w="1984"/>
            <w:tcMar>
              <w:top w:w="80" w:type="dxa"/>
              <w:start w:w="90" w:type="dxa"/>
              <w:bottom w:w="80" w:type="dxa"/>
              <w:end w:w="90" w:type="dxa"/>
            </w:tcMar>
            <w:vAlign w:val="top"/>
          </w:tcPr>
          <w:p>
            <w:pPr>
              <w:spacing w:after="0"/>
            </w:pPr>
            <w:r>
              <w:rPr>
                <w:rFonts w:ascii="Liberation Sans" w:hAnsi="Liberation Sans" w:eastAsia="Liberation Sans"/>
                <w:color w:val="1F2937"/>
                <w:sz w:val="16"/>
              </w:rPr>
              <w:t>Customer credit</w:t>
            </w:r>
          </w:p>
        </w:tc>
        <w:tc>
          <w:tcPr>
            <w:tcW w:type="dxa" w:w="3628"/>
            <w:tcMar>
              <w:top w:w="80" w:type="dxa"/>
              <w:start w:w="90" w:type="dxa"/>
              <w:bottom w:w="80" w:type="dxa"/>
              <w:end w:w="90" w:type="dxa"/>
            </w:tcMar>
            <w:vAlign w:val="top"/>
          </w:tcPr>
          <w:p>
            <w:pPr>
              <w:spacing w:after="0"/>
            </w:pPr>
            <w:r>
              <w:rPr>
                <w:rFonts w:ascii="Liberation Sans" w:hAnsi="Liberation Sans" w:eastAsia="Liberation Sans"/>
                <w:color w:val="1F2937"/>
                <w:sz w:val="16"/>
              </w:rPr>
              <w:t>customer_credit_movement</w:t>
            </w:r>
          </w:p>
        </w:tc>
        <w:tc>
          <w:tcPr>
            <w:tcW w:type="dxa" w:w="3458"/>
            <w:tcMar>
              <w:top w:w="80" w:type="dxa"/>
              <w:start w:w="90" w:type="dxa"/>
              <w:bottom w:w="80" w:type="dxa"/>
              <w:end w:w="90" w:type="dxa"/>
            </w:tcMar>
            <w:vAlign w:val="top"/>
          </w:tcPr>
          <w:p>
            <w:pPr>
              <w:spacing w:after="0"/>
            </w:pPr>
            <w:r>
              <w:rPr>
                <w:rFonts w:ascii="Liberation Sans" w:hAnsi="Liberation Sans" w:eastAsia="Liberation Sans"/>
                <w:color w:val="1F2937"/>
                <w:sz w:val="16"/>
              </w:rPr>
              <w:t>Receivables, exposure, aging</w:t>
            </w:r>
          </w:p>
        </w:tc>
      </w:tr>
      <w:tr>
        <w:trPr>
          <w:cantSplit/>
        </w:trPr>
        <w:tc>
          <w:tcPr>
            <w:tcW w:type="dxa" w:w="1984"/>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Prepaid value</w:t>
            </w:r>
          </w:p>
        </w:tc>
        <w:tc>
          <w:tcPr>
            <w:tcW w:type="dxa" w:w="3628"/>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prepaid_value_movement</w:t>
            </w:r>
          </w:p>
        </w:tc>
        <w:tc>
          <w:tcPr>
            <w:tcW w:type="dxa" w:w="3458"/>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Available prepaid value</w:t>
            </w:r>
          </w:p>
        </w:tc>
      </w:tr>
      <w:tr>
        <w:trPr>
          <w:cantSplit/>
        </w:trPr>
        <w:tc>
          <w:tcPr>
            <w:tcW w:type="dxa" w:w="1984"/>
            <w:tcMar>
              <w:top w:w="80" w:type="dxa"/>
              <w:start w:w="90" w:type="dxa"/>
              <w:bottom w:w="80" w:type="dxa"/>
              <w:end w:w="90" w:type="dxa"/>
            </w:tcMar>
            <w:vAlign w:val="top"/>
          </w:tcPr>
          <w:p>
            <w:pPr>
              <w:spacing w:after="0"/>
            </w:pPr>
            <w:r>
              <w:rPr>
                <w:rFonts w:ascii="Liberation Sans" w:hAnsi="Liberation Sans" w:eastAsia="Liberation Sans"/>
                <w:color w:val="1F2937"/>
                <w:sz w:val="16"/>
              </w:rPr>
              <w:t>Prepaid litres</w:t>
            </w:r>
          </w:p>
        </w:tc>
        <w:tc>
          <w:tcPr>
            <w:tcW w:type="dxa" w:w="3628"/>
            <w:tcMar>
              <w:top w:w="80" w:type="dxa"/>
              <w:start w:w="90" w:type="dxa"/>
              <w:bottom w:w="80" w:type="dxa"/>
              <w:end w:w="90" w:type="dxa"/>
            </w:tcMar>
            <w:vAlign w:val="top"/>
          </w:tcPr>
          <w:p>
            <w:pPr>
              <w:spacing w:after="0"/>
            </w:pPr>
            <w:r>
              <w:rPr>
                <w:rFonts w:ascii="Liberation Sans" w:hAnsi="Liberation Sans" w:eastAsia="Liberation Sans"/>
                <w:color w:val="1F2937"/>
                <w:sz w:val="16"/>
              </w:rPr>
              <w:t>prepaid_litre_movement</w:t>
            </w:r>
          </w:p>
        </w:tc>
        <w:tc>
          <w:tcPr>
            <w:tcW w:type="dxa" w:w="3458"/>
            <w:tcMar>
              <w:top w:w="80" w:type="dxa"/>
              <w:start w:w="90" w:type="dxa"/>
              <w:bottom w:w="80" w:type="dxa"/>
              <w:end w:w="90" w:type="dxa"/>
            </w:tcMar>
            <w:vAlign w:val="top"/>
          </w:tcPr>
          <w:p>
            <w:pPr>
              <w:spacing w:after="0"/>
            </w:pPr>
            <w:r>
              <w:rPr>
                <w:rFonts w:ascii="Liberation Sans" w:hAnsi="Liberation Sans" w:eastAsia="Liberation Sans"/>
                <w:color w:val="1F2937"/>
                <w:sz w:val="16"/>
              </w:rPr>
              <w:t>Product-specific litre balance</w:t>
            </w:r>
          </w:p>
        </w:tc>
      </w:tr>
      <w:tr>
        <w:trPr>
          <w:cantSplit/>
        </w:trPr>
        <w:tc>
          <w:tcPr>
            <w:tcW w:type="dxa" w:w="1984"/>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Expenses</w:t>
            </w:r>
          </w:p>
        </w:tc>
        <w:tc>
          <w:tcPr>
            <w:tcW w:type="dxa" w:w="3628"/>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posted expense + recurring recognition</w:t>
            </w:r>
          </w:p>
        </w:tc>
        <w:tc>
          <w:tcPr>
            <w:tcW w:type="dxa" w:w="3458"/>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Operating/fixed cost reporting</w:t>
            </w:r>
          </w:p>
        </w:tc>
      </w:tr>
    </w:tbl>
    <w:p>
      <w:pPr>
        <w:spacing w:after="40"/>
      </w:pPr>
    </w:p>
    <w:p>
      <w:pPr>
        <w:pStyle w:val="Heading2"/>
        <w:keepNext/>
        <w:spacing w:before="120" w:after="80"/>
      </w:pPr>
      <w:r>
        <w:rPr>
          <w:rFonts w:ascii="Liberation Sans" w:hAnsi="Liberation Sans" w:eastAsia="Liberation Sans"/>
          <w:b/>
          <w:color w:val="17324D"/>
          <w:sz w:val="27"/>
        </w:rPr>
        <w:t>4.3 Universal Conservation Rules</w:t>
      </w:r>
    </w:p>
    <w:p>
      <w:pPr>
        <w:pStyle w:val="ListBullet"/>
        <w:spacing w:after="30" w:line="247" w:lineRule="auto"/>
        <w:ind w:left="255" w:hanging="113"/>
      </w:pPr>
      <w:r>
        <w:rPr>
          <w:rFonts w:ascii="Liberation Sans" w:hAnsi="Liberation Sans" w:eastAsia="Liberation Sans"/>
          <w:color w:val="1F2937"/>
          <w:sz w:val="18"/>
        </w:rPr>
        <w:t>Internal cash transfer movements sum to zero across source/transit/destination/dispute custody.</w:t>
      </w:r>
    </w:p>
    <w:p>
      <w:pPr>
        <w:pStyle w:val="ListBullet"/>
        <w:spacing w:after="30" w:line="247" w:lineRule="auto"/>
        <w:ind w:left="255" w:hanging="113"/>
      </w:pPr>
      <w:r>
        <w:rPr>
          <w:rFonts w:ascii="Liberation Sans" w:hAnsi="Liberation Sans" w:eastAsia="Liberation Sans"/>
          <w:color w:val="1F2937"/>
          <w:sz w:val="18"/>
        </w:rPr>
        <w:t>A customer fuel transaction cannot claim more ordinary forecourt fuel than supported by meter segments within the relevant operational scope.</w:t>
      </w:r>
    </w:p>
    <w:p>
      <w:pPr>
        <w:pStyle w:val="ListBullet"/>
        <w:spacing w:after="30" w:line="247" w:lineRule="auto"/>
        <w:ind w:left="255" w:hanging="113"/>
      </w:pPr>
      <w:r>
        <w:rPr>
          <w:rFonts w:ascii="Liberation Sans" w:hAnsi="Liberation Sans" w:eastAsia="Liberation Sans"/>
          <w:color w:val="1F2937"/>
          <w:sz w:val="18"/>
        </w:rPr>
        <w:t>Payment/credit allocations cannot exceed the source payment/credit capacity.</w:t>
      </w:r>
    </w:p>
    <w:p>
      <w:pPr>
        <w:pStyle w:val="ListBullet"/>
        <w:spacing w:after="30" w:line="247" w:lineRule="auto"/>
        <w:ind w:left="255" w:hanging="113"/>
      </w:pPr>
      <w:r>
        <w:rPr>
          <w:rFonts w:ascii="Liberation Sans" w:hAnsi="Liberation Sans" w:eastAsia="Liberation Sans"/>
          <w:color w:val="1F2937"/>
          <w:sz w:val="18"/>
        </w:rPr>
        <w:t>Prepaid balances do not silently go below zero.</w:t>
      </w:r>
    </w:p>
    <w:p>
      <w:pPr>
        <w:pStyle w:val="ListBullet"/>
        <w:spacing w:after="30" w:line="247" w:lineRule="auto"/>
        <w:ind w:left="255" w:hanging="113"/>
      </w:pPr>
      <w:r>
        <w:rPr>
          <w:rFonts w:ascii="Liberation Sans" w:hAnsi="Liberation Sans" w:eastAsia="Liberation Sans"/>
          <w:color w:val="1F2937"/>
          <w:sz w:val="18"/>
        </w:rPr>
        <w:t>Inventory quantity cannot go negative through normal operational commands.</w:t>
      </w:r>
    </w:p>
    <w:p>
      <w:pPr>
        <w:pStyle w:val="ListBullet"/>
        <w:spacing w:after="30" w:line="247" w:lineRule="auto"/>
        <w:ind w:left="255" w:hanging="113"/>
      </w:pPr>
      <w:r>
        <w:rPr>
          <w:rFonts w:ascii="Liberation Sans" w:hAnsi="Liberation Sans" w:eastAsia="Liberation Sans"/>
          <w:color w:val="1F2937"/>
          <w:sz w:val="18"/>
        </w:rPr>
        <w:t>Provider outstanding equals sales receivable minus refunds/reversals/fees/settlements plus approved adjustments.</w:t>
      </w:r>
    </w:p>
    <w:p>
      <w:pPr>
        <w:pStyle w:val="ListBullet"/>
        <w:spacing w:after="30" w:line="247" w:lineRule="auto"/>
        <w:ind w:left="255" w:hanging="113"/>
      </w:pPr>
      <w:r>
        <w:rPr>
          <w:rFonts w:ascii="Liberation Sans" w:hAnsi="Liberation Sans" w:eastAsia="Liberation Sans"/>
          <w:color w:val="1F2937"/>
          <w:sz w:val="18"/>
        </w:rPr>
        <w:t>Recurring-cost payment settles an obligation; it does not create another expense recognition.</w:t>
      </w:r>
    </w:p>
    <w:p>
      <w:pPr>
        <w:pStyle w:val="Heading2"/>
        <w:keepNext/>
        <w:spacing w:before="120" w:after="80"/>
      </w:pPr>
      <w:r>
        <w:rPr>
          <w:rFonts w:ascii="Liberation Sans" w:hAnsi="Liberation Sans" w:eastAsia="Liberation Sans"/>
          <w:b/>
          <w:color w:val="17324D"/>
          <w:sz w:val="27"/>
        </w:rPr>
        <w:t>4.4 Time Model</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268"/>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Field / concept</w:t>
            </w:r>
          </w:p>
        </w:tc>
        <w:tc>
          <w:tcPr>
            <w:tcW w:type="dxa" w:w="6803"/>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Meaning</w:t>
            </w:r>
          </w:p>
        </w:tc>
      </w:tr>
      <w:tr>
        <w:trPr>
          <w:cantSplit/>
        </w:trPr>
        <w:tc>
          <w:tcPr>
            <w:tcW w:type="dxa" w:w="2268"/>
            <w:tcMar>
              <w:top w:w="80" w:type="dxa"/>
              <w:start w:w="90" w:type="dxa"/>
              <w:bottom w:w="80" w:type="dxa"/>
              <w:end w:w="90" w:type="dxa"/>
            </w:tcMar>
            <w:vAlign w:val="top"/>
          </w:tcPr>
          <w:p>
            <w:pPr>
              <w:spacing w:after="0"/>
            </w:pPr>
            <w:r>
              <w:rPr>
                <w:rFonts w:ascii="Liberation Sans" w:hAnsi="Liberation Sans" w:eastAsia="Liberation Sans"/>
                <w:color w:val="1F2937"/>
                <w:sz w:val="16"/>
              </w:rPr>
              <w:t>business_date</w:t>
            </w:r>
          </w:p>
        </w:tc>
        <w:tc>
          <w:tcPr>
            <w:tcW w:type="dxa" w:w="6803"/>
            <w:tcMar>
              <w:top w:w="80" w:type="dxa"/>
              <w:start w:w="90" w:type="dxa"/>
              <w:bottom w:w="80" w:type="dxa"/>
              <w:end w:w="90" w:type="dxa"/>
            </w:tcMar>
            <w:vAlign w:val="top"/>
          </w:tcPr>
          <w:p>
            <w:pPr>
              <w:spacing w:after="0"/>
            </w:pPr>
            <w:r>
              <w:rPr>
                <w:rFonts w:ascii="Liberation Sans" w:hAnsi="Liberation Sans" w:eastAsia="Liberation Sans"/>
                <w:color w:val="1F2937"/>
                <w:sz w:val="16"/>
              </w:rPr>
              <w:t>Operational reporting date, independent of UTC timestamp. Overnight shift belongs to its start date.</w:t>
            </w:r>
          </w:p>
        </w:tc>
      </w:tr>
      <w:tr>
        <w:trPr>
          <w:cantSplit/>
        </w:trPr>
        <w:tc>
          <w:tcPr>
            <w:tcW w:type="dxa" w:w="2268"/>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effective_at</w:t>
            </w:r>
          </w:p>
        </w:tc>
        <w:tc>
          <w:tcPr>
            <w:tcW w:type="dxa" w:w="6803"/>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When an economic/operational fact applies.</w:t>
            </w:r>
          </w:p>
        </w:tc>
      </w:tr>
      <w:tr>
        <w:trPr>
          <w:cantSplit/>
        </w:trPr>
        <w:tc>
          <w:tcPr>
            <w:tcW w:type="dxa" w:w="2268"/>
            <w:tcMar>
              <w:top w:w="80" w:type="dxa"/>
              <w:start w:w="90" w:type="dxa"/>
              <w:bottom w:w="80" w:type="dxa"/>
              <w:end w:w="90" w:type="dxa"/>
            </w:tcMar>
            <w:vAlign w:val="top"/>
          </w:tcPr>
          <w:p>
            <w:pPr>
              <w:spacing w:after="0"/>
            </w:pPr>
            <w:r>
              <w:rPr>
                <w:rFonts w:ascii="Liberation Sans" w:hAnsi="Liberation Sans" w:eastAsia="Liberation Sans"/>
                <w:color w:val="1F2937"/>
                <w:sz w:val="16"/>
              </w:rPr>
              <w:t>posted_at</w:t>
            </w:r>
          </w:p>
        </w:tc>
        <w:tc>
          <w:tcPr>
            <w:tcW w:type="dxa" w:w="6803"/>
            <w:tcMar>
              <w:top w:w="80" w:type="dxa"/>
              <w:start w:w="90" w:type="dxa"/>
              <w:bottom w:w="80" w:type="dxa"/>
              <w:end w:w="90" w:type="dxa"/>
            </w:tcMar>
            <w:vAlign w:val="top"/>
          </w:tcPr>
          <w:p>
            <w:pPr>
              <w:spacing w:after="0"/>
            </w:pPr>
            <w:r>
              <w:rPr>
                <w:rFonts w:ascii="Liberation Sans" w:hAnsi="Liberation Sans" w:eastAsia="Liberation Sans"/>
                <w:color w:val="1F2937"/>
                <w:sz w:val="16"/>
              </w:rPr>
              <w:t>When Shanda officially recognized/posted that fact.</w:t>
            </w:r>
          </w:p>
        </w:tc>
      </w:tr>
      <w:tr>
        <w:trPr>
          <w:cantSplit/>
        </w:trPr>
        <w:tc>
          <w:tcPr>
            <w:tcW w:type="dxa" w:w="2268"/>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as_of</w:t>
            </w:r>
          </w:p>
        </w:tc>
        <w:tc>
          <w:tcPr>
            <w:tcW w:type="dxa" w:w="6803"/>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Report cutoff for what had been posted/known by a specific time.</w:t>
            </w:r>
          </w:p>
        </w:tc>
      </w:tr>
    </w:tbl>
    <w:p>
      <w:pPr>
        <w:spacing w:after="40"/>
      </w:pPr>
    </w:p>
    <w:p>
      <w:pPr>
        <w:spacing w:after="100" w:line="259" w:lineRule="auto"/>
      </w:pPr>
      <w:r>
        <w:rPr>
          <w:rFonts w:ascii="Liberation Sans" w:hAnsi="Liberation Sans" w:eastAsia="Liberation Sans"/>
          <w:color w:val="1F2937"/>
          <w:sz w:val="18"/>
        </w:rPr>
        <w:t>Official historical reports use period/effective criteria plus posted_at &lt;= as_of, allowing later corrections/restatements without silently altering what a prior report represented.</w:t>
      </w:r>
    </w:p>
    <w:p>
      <w:pPr>
        <w:pStyle w:val="Heading1"/>
        <w:keepNext/>
        <w:spacing w:before="180" w:after="80"/>
      </w:pPr>
      <w:r>
        <w:rPr>
          <w:rFonts w:ascii="Liberation Sans" w:hAnsi="Liberation Sans" w:eastAsia="Liberation Sans"/>
          <w:b/>
          <w:color w:val="17324D"/>
          <w:sz w:val="36"/>
        </w:rPr>
        <w:t>5. Forecourt, Shift &amp; Meter Operations</w:t>
      </w:r>
    </w:p>
    <w:p>
      <w:pPr>
        <w:pStyle w:val="Heading2"/>
        <w:keepNext/>
        <w:spacing w:before="120" w:after="80"/>
      </w:pPr>
      <w:r>
        <w:rPr>
          <w:rFonts w:ascii="Liberation Sans" w:hAnsi="Liberation Sans" w:eastAsia="Liberation Sans"/>
          <w:b/>
          <w:color w:val="17324D"/>
          <w:sz w:val="27"/>
        </w:rPr>
        <w:t>5.1 Station Business Day</w:t>
      </w:r>
    </w:p>
    <w:tbl>
      <w:tblPr>
        <w:tblW w:type="auto" w:w="0"/>
        <w:jc w:val="center"/>
        <w:tblLook w:firstColumn="1" w:firstRow="1" w:lastColumn="0" w:lastRow="0" w:noHBand="0" w:noVBand="1" w:val="04A0"/>
      </w:tblPr>
      <w:tblGrid>
        <w:gridCol w:w="10036"/>
      </w:tblGrid>
      <w:tr>
        <w:tc>
          <w:tcPr>
            <w:tcW w:type="dxa" w:w="10036"/>
            <w:shd w:fill="F2F4F7"/>
            <w:tcMar>
              <w:top w:w="90" w:type="dxa"/>
              <w:start w:w="130" w:type="dxa"/>
              <w:bottom w:w="90" w:type="dxa"/>
              <w:end w:w="130" w:type="dxa"/>
            </w:tcMar>
          </w:tcPr>
          <w:p>
            <w:pPr>
              <w:spacing w:after="0"/>
            </w:pPr>
            <w:r>
              <w:rPr>
                <w:rFonts w:ascii="Liberation Mono" w:hAnsi="Liberation Mono" w:eastAsia="Liberation Mono"/>
                <w:color w:val="1F2937"/>
                <w:sz w:val="15"/>
              </w:rPr>
              <w:t>NOT_STARTED</w:t>
            </w:r>
            <w:r>
              <w:br/>
            </w:r>
            <w:r>
              <w:rPr>
                <w:rFonts w:ascii="Liberation Mono" w:hAnsi="Liberation Mono" w:eastAsia="Liberation Mono"/>
                <w:color w:val="1F2937"/>
                <w:sz w:val="15"/>
              </w:rPr>
              <w:t xml:space="preserve">   └─ OpenBusinessDay → OPEN</w:t>
            </w:r>
            <w:r>
              <w:br/>
            </w:r>
            <w:r>
              <w:rPr>
                <w:rFonts w:ascii="Liberation Mono" w:hAnsi="Liberation Mono" w:eastAsia="Liberation Mono"/>
                <w:color w:val="1F2937"/>
                <w:sz w:val="15"/>
              </w:rPr>
              <w:t>OPEN</w:t>
            </w:r>
            <w:r>
              <w:br/>
            </w:r>
            <w:r>
              <w:rPr>
                <w:rFonts w:ascii="Liberation Mono" w:hAnsi="Liberation Mono" w:eastAsia="Liberation Mono"/>
                <w:color w:val="1F2937"/>
                <w:sz w:val="15"/>
              </w:rPr>
              <w:t xml:space="preserve">   ├─ MarkOperationsComplete → OPERATIONS_COMPLETE → FinalizeOperations → CLOSED</w:t>
            </w:r>
            <w:r>
              <w:br/>
            </w:r>
            <w:r>
              <w:rPr>
                <w:rFonts w:ascii="Liberation Mono" w:hAnsi="Liberation Mono" w:eastAsia="Liberation Mono"/>
                <w:color w:val="1F2937"/>
                <w:sz w:val="15"/>
              </w:rPr>
              <w:t xml:space="preserve">   └─ ExceptionalCloseBusinessDay → EXCEPTIONALLY_CLOSED</w:t>
            </w:r>
          </w:p>
        </w:tc>
      </w:tr>
    </w:tbl>
    <w:p>
      <w:pPr>
        <w:spacing w:after="20"/>
      </w:pPr>
    </w:p>
    <w:p>
      <w:pPr>
        <w:spacing w:after="100" w:line="259" w:lineRule="auto"/>
      </w:pPr>
      <w:r>
        <w:rPr>
          <w:rFonts w:ascii="Liberation Sans" w:hAnsi="Liberation Sans" w:eastAsia="Liberation Sans"/>
          <w:color w:val="1F2937"/>
          <w:sz w:val="18"/>
        </w:rPr>
        <w:t>Multiple unfinished business days may exist if operations span administrative boundaries, but physical nozzle exclusivity is enforced so two active processes cannot own the same nozzle at the same time.</w:t>
      </w:r>
    </w:p>
    <w:p>
      <w:pPr>
        <w:pStyle w:val="Heading2"/>
        <w:keepNext/>
        <w:spacing w:before="120" w:after="80"/>
      </w:pPr>
      <w:r>
        <w:rPr>
          <w:rFonts w:ascii="Liberation Sans" w:hAnsi="Liberation Sans" w:eastAsia="Liberation Sans"/>
          <w:b/>
          <w:color w:val="17324D"/>
          <w:sz w:val="27"/>
        </w:rPr>
        <w:t>5.2 Shift State Machine</w:t>
      </w:r>
    </w:p>
    <w:tbl>
      <w:tblPr>
        <w:tblW w:type="auto" w:w="0"/>
        <w:jc w:val="center"/>
        <w:tblLook w:firstColumn="1" w:firstRow="1" w:lastColumn="0" w:lastRow="0" w:noHBand="0" w:noVBand="1" w:val="04A0"/>
      </w:tblPr>
      <w:tblGrid>
        <w:gridCol w:w="10036"/>
      </w:tblGrid>
      <w:tr>
        <w:tc>
          <w:tcPr>
            <w:tcW w:type="dxa" w:w="10036"/>
            <w:shd w:fill="F2F4F7"/>
            <w:tcMar>
              <w:top w:w="90" w:type="dxa"/>
              <w:start w:w="130" w:type="dxa"/>
              <w:bottom w:w="90" w:type="dxa"/>
              <w:end w:w="130" w:type="dxa"/>
            </w:tcMar>
          </w:tcPr>
          <w:p>
            <w:pPr>
              <w:spacing w:after="0"/>
            </w:pPr>
            <w:r>
              <w:rPr>
                <w:rFonts w:ascii="Liberation Mono" w:hAnsi="Liberation Mono" w:eastAsia="Liberation Mono"/>
                <w:color w:val="1F2937"/>
                <w:sz w:val="15"/>
              </w:rPr>
              <w:t>PLANNED</w:t>
            </w:r>
            <w:r>
              <w:br/>
            </w:r>
            <w:r>
              <w:rPr>
                <w:rFonts w:ascii="Liberation Mono" w:hAnsi="Liberation Mono" w:eastAsia="Liberation Mono"/>
                <w:color w:val="1F2937"/>
                <w:sz w:val="15"/>
              </w:rPr>
              <w:t xml:space="preserve">  ├─ StartShift → OPEN</w:t>
            </w:r>
            <w:r>
              <w:br/>
            </w:r>
            <w:r>
              <w:rPr>
                <w:rFonts w:ascii="Liberation Mono" w:hAnsi="Liberation Mono" w:eastAsia="Liberation Mono"/>
                <w:color w:val="1F2937"/>
                <w:sz w:val="15"/>
              </w:rPr>
              <w:t xml:space="preserve">  ├─ MarkNotOperated → NOT_OPERATED</w:t>
            </w:r>
            <w:r>
              <w:br/>
            </w:r>
            <w:r>
              <w:rPr>
                <w:rFonts w:ascii="Liberation Mono" w:hAnsi="Liberation Mono" w:eastAsia="Liberation Mono"/>
                <w:color w:val="1F2937"/>
                <w:sz w:val="15"/>
              </w:rPr>
              <w:t xml:space="preserve">  └─ CancelBeforeStart → CANCELLED_BEFORE_START</w:t>
            </w:r>
            <w:r>
              <w:br/>
            </w:r>
            <w:r>
              <w:rPr>
                <w:rFonts w:ascii="Liberation Mono" w:hAnsi="Liberation Mono" w:eastAsia="Liberation Mono"/>
                <w:color w:val="1F2937"/>
                <w:sz w:val="15"/>
              </w:rPr>
              <w:t>OPEN</w:t>
            </w:r>
            <w:r>
              <w:br/>
            </w:r>
            <w:r>
              <w:rPr>
                <w:rFonts w:ascii="Liberation Mono" w:hAnsi="Liberation Mono" w:eastAsia="Liberation Mono"/>
                <w:color w:val="1F2937"/>
                <w:sz w:val="15"/>
              </w:rPr>
              <w:t xml:space="preserve">  ├─ CloseMeters → METER_CLOSED → CompleteShift → COMPLETED</w:t>
            </w:r>
            <w:r>
              <w:br/>
            </w:r>
            <w:r>
              <w:rPr>
                <w:rFonts w:ascii="Liberation Mono" w:hAnsi="Liberation Mono" w:eastAsia="Liberation Mono"/>
                <w:color w:val="1F2937"/>
                <w:sz w:val="15"/>
              </w:rPr>
              <w:t xml:space="preserve">  └─ ExceptionalClose → EXCEPTIONALLY_CLOSED</w:t>
            </w:r>
          </w:p>
        </w:tc>
      </w:tr>
    </w:tbl>
    <w:p>
      <w:pPr>
        <w:spacing w:after="20"/>
      </w:pPr>
    </w:p>
    <w:p>
      <w:pPr>
        <w:pStyle w:val="Heading2"/>
        <w:keepNext/>
        <w:spacing w:before="120" w:after="80"/>
      </w:pPr>
      <w:r>
        <w:rPr>
          <w:rFonts w:ascii="Liberation Sans" w:hAnsi="Liberation Sans" w:eastAsia="Liberation Sans"/>
          <w:b/>
          <w:color w:val="17324D"/>
          <w:sz w:val="27"/>
        </w:rPr>
        <w:t>5.3 Meter Boundaries &amp; Segments</w:t>
      </w:r>
    </w:p>
    <w:p>
      <w:pPr>
        <w:spacing w:after="100" w:line="259" w:lineRule="auto"/>
      </w:pPr>
      <w:r>
        <w:rPr>
          <w:rFonts w:ascii="Liberation Sans" w:hAnsi="Liberation Sans" w:eastAsia="Liberation Sans"/>
          <w:color w:val="1F2937"/>
          <w:sz w:val="18"/>
        </w:rPr>
        <w:t>One generalized boundary system handles shift open/close, attendant handover, price change, delivery, meter reset/replacement and correction. A meter segment is the interval between two confirmed boundaries under one price/configuration/attendant context.</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324"/>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Boundary reason</w:t>
            </w:r>
          </w:p>
        </w:tc>
        <w:tc>
          <w:tcPr>
            <w:tcW w:type="dxa" w:w="6746"/>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Effect</w:t>
            </w:r>
          </w:p>
        </w:tc>
      </w:tr>
      <w:tr>
        <w:trPr>
          <w:cantSplit/>
        </w:trPr>
        <w:tc>
          <w:tcPr>
            <w:tcW w:type="dxa" w:w="2324"/>
            <w:tcMar>
              <w:top w:w="80" w:type="dxa"/>
              <w:start w:w="90" w:type="dxa"/>
              <w:bottom w:w="80" w:type="dxa"/>
              <w:end w:w="90" w:type="dxa"/>
            </w:tcMar>
            <w:vAlign w:val="top"/>
          </w:tcPr>
          <w:p>
            <w:pPr>
              <w:spacing w:after="0"/>
            </w:pPr>
            <w:r>
              <w:rPr>
                <w:rFonts w:ascii="Liberation Sans" w:hAnsi="Liberation Sans" w:eastAsia="Liberation Sans"/>
                <w:color w:val="1F2937"/>
                <w:sz w:val="16"/>
              </w:rPr>
              <w:t>SHIFT_OPEN / SHIFT_CLOSE</w:t>
            </w:r>
          </w:p>
        </w:tc>
        <w:tc>
          <w:tcPr>
            <w:tcW w:type="dxa" w:w="6746"/>
            <w:tcMar>
              <w:top w:w="80" w:type="dxa"/>
              <w:start w:w="90" w:type="dxa"/>
              <w:bottom w:w="80" w:type="dxa"/>
              <w:end w:w="90" w:type="dxa"/>
            </w:tcMar>
            <w:vAlign w:val="top"/>
          </w:tcPr>
          <w:p>
            <w:pPr>
              <w:spacing w:after="0"/>
            </w:pPr>
            <w:r>
              <w:rPr>
                <w:rFonts w:ascii="Liberation Sans" w:hAnsi="Liberation Sans" w:eastAsia="Liberation Sans"/>
                <w:color w:val="1F2937"/>
                <w:sz w:val="16"/>
              </w:rPr>
              <w:t>Defines shift meter responsibility</w:t>
            </w:r>
          </w:p>
        </w:tc>
      </w:tr>
      <w:tr>
        <w:trPr>
          <w:cantSplit/>
        </w:trPr>
        <w:tc>
          <w:tcPr>
            <w:tcW w:type="dxa" w:w="2324"/>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ATTENDANT_HANDOVER</w:t>
            </w:r>
          </w:p>
        </w:tc>
        <w:tc>
          <w:tcPr>
            <w:tcW w:type="dxa" w:w="6746"/>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Ends one attendant assignment and begins the next at the same physical reading</w:t>
            </w:r>
          </w:p>
        </w:tc>
      </w:tr>
      <w:tr>
        <w:trPr>
          <w:cantSplit/>
        </w:trPr>
        <w:tc>
          <w:tcPr>
            <w:tcW w:type="dxa" w:w="2324"/>
            <w:tcMar>
              <w:top w:w="80" w:type="dxa"/>
              <w:start w:w="90" w:type="dxa"/>
              <w:bottom w:w="80" w:type="dxa"/>
              <w:end w:w="90" w:type="dxa"/>
            </w:tcMar>
            <w:vAlign w:val="top"/>
          </w:tcPr>
          <w:p>
            <w:pPr>
              <w:spacing w:after="0"/>
            </w:pPr>
            <w:r>
              <w:rPr>
                <w:rFonts w:ascii="Liberation Sans" w:hAnsi="Liberation Sans" w:eastAsia="Liberation Sans"/>
                <w:color w:val="1F2937"/>
                <w:sz w:val="16"/>
              </w:rPr>
              <w:t>PRICE_CHANGE</w:t>
            </w:r>
          </w:p>
        </w:tc>
        <w:tc>
          <w:tcPr>
            <w:tcW w:type="dxa" w:w="6746"/>
            <w:tcMar>
              <w:top w:w="80" w:type="dxa"/>
              <w:start w:w="90" w:type="dxa"/>
              <w:bottom w:w="80" w:type="dxa"/>
              <w:end w:w="90" w:type="dxa"/>
            </w:tcMar>
            <w:vAlign w:val="top"/>
          </w:tcPr>
          <w:p>
            <w:pPr>
              <w:spacing w:after="0"/>
            </w:pPr>
            <w:r>
              <w:rPr>
                <w:rFonts w:ascii="Liberation Sans" w:hAnsi="Liberation Sans" w:eastAsia="Liberation Sans"/>
                <w:color w:val="1F2937"/>
                <w:sz w:val="16"/>
              </w:rPr>
              <w:t>Closes old-price segment before new price activates</w:t>
            </w:r>
          </w:p>
        </w:tc>
      </w:tr>
      <w:tr>
        <w:trPr>
          <w:cantSplit/>
        </w:trPr>
        <w:tc>
          <w:tcPr>
            <w:tcW w:type="dxa" w:w="2324"/>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DELIVERY</w:t>
            </w:r>
          </w:p>
        </w:tc>
        <w:tc>
          <w:tcPr>
            <w:tcW w:type="dxa" w:w="6746"/>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Creates a clean chronology boundary around inventory receipt/WAC change where dispensing is paused</w:t>
            </w:r>
          </w:p>
        </w:tc>
      </w:tr>
      <w:tr>
        <w:trPr>
          <w:cantSplit/>
        </w:trPr>
        <w:tc>
          <w:tcPr>
            <w:tcW w:type="dxa" w:w="2324"/>
            <w:tcMar>
              <w:top w:w="80" w:type="dxa"/>
              <w:start w:w="90" w:type="dxa"/>
              <w:bottom w:w="80" w:type="dxa"/>
              <w:end w:w="90" w:type="dxa"/>
            </w:tcMar>
            <w:vAlign w:val="top"/>
          </w:tcPr>
          <w:p>
            <w:pPr>
              <w:spacing w:after="0"/>
            </w:pPr>
            <w:r>
              <w:rPr>
                <w:rFonts w:ascii="Liberation Sans" w:hAnsi="Liberation Sans" w:eastAsia="Liberation Sans"/>
                <w:color w:val="1F2937"/>
                <w:sz w:val="16"/>
              </w:rPr>
              <w:t>METER_RESET / REPLACEMENT</w:t>
            </w:r>
          </w:p>
        </w:tc>
        <w:tc>
          <w:tcPr>
            <w:tcW w:type="dxa" w:w="6746"/>
            <w:tcMar>
              <w:top w:w="80" w:type="dxa"/>
              <w:start w:w="90" w:type="dxa"/>
              <w:bottom w:w="80" w:type="dxa"/>
              <w:end w:w="90" w:type="dxa"/>
            </w:tcMar>
            <w:vAlign w:val="top"/>
          </w:tcPr>
          <w:p>
            <w:pPr>
              <w:spacing w:after="0"/>
            </w:pPr>
            <w:r>
              <w:rPr>
                <w:rFonts w:ascii="Liberation Sans" w:hAnsi="Liberation Sans" w:eastAsia="Liberation Sans"/>
                <w:color w:val="1F2937"/>
                <w:sz w:val="16"/>
              </w:rPr>
              <w:t>Prevents false negative litres while preserving physical device history</w:t>
            </w:r>
          </w:p>
        </w:tc>
      </w:tr>
      <w:tr>
        <w:trPr>
          <w:cantSplit/>
        </w:trPr>
        <w:tc>
          <w:tcPr>
            <w:tcW w:type="dxa" w:w="2324"/>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CORRECTION</w:t>
            </w:r>
          </w:p>
        </w:tc>
        <w:tc>
          <w:tcPr>
            <w:tcW w:type="dxa" w:w="6746"/>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Controlled pre-lock correction; after lock a compensating correction event is used</w:t>
            </w:r>
          </w:p>
        </w:tc>
      </w:tr>
    </w:tbl>
    <w:p>
      <w:pPr>
        <w:spacing w:after="40"/>
      </w:pPr>
    </w:p>
    <w:p>
      <w:pPr>
        <w:pStyle w:val="Heading2"/>
        <w:keepNext/>
        <w:spacing w:before="120" w:after="80"/>
      </w:pPr>
      <w:r>
        <w:rPr>
          <w:rFonts w:ascii="Liberation Sans" w:hAnsi="Liberation Sans" w:eastAsia="Liberation Sans"/>
          <w:b/>
          <w:color w:val="17324D"/>
          <w:sz w:val="27"/>
        </w:rPr>
        <w:t>5.4 Forecourt Calculation Rules</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438"/>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Calculation</w:t>
            </w:r>
          </w:p>
        </w:tc>
        <w:tc>
          <w:tcPr>
            <w:tcW w:type="dxa" w:w="6633"/>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Rule</w:t>
            </w:r>
          </w:p>
        </w:tc>
      </w:tr>
      <w:tr>
        <w:trPr>
          <w:cantSplit/>
        </w:trPr>
        <w:tc>
          <w:tcPr>
            <w:tcW w:type="dxa" w:w="2438"/>
            <w:tcMar>
              <w:top w:w="80" w:type="dxa"/>
              <w:start w:w="90" w:type="dxa"/>
              <w:bottom w:w="80" w:type="dxa"/>
              <w:end w:w="90" w:type="dxa"/>
            </w:tcMar>
            <w:vAlign w:val="top"/>
          </w:tcPr>
          <w:p>
            <w:pPr>
              <w:spacing w:after="0"/>
            </w:pPr>
            <w:r>
              <w:rPr>
                <w:rFonts w:ascii="Liberation Sans" w:hAnsi="Liberation Sans" w:eastAsia="Liberation Sans"/>
                <w:color w:val="1F2937"/>
                <w:sz w:val="16"/>
              </w:rPr>
              <w:t>Litres sold</w:t>
            </w:r>
          </w:p>
        </w:tc>
        <w:tc>
          <w:tcPr>
            <w:tcW w:type="dxa" w:w="6633"/>
            <w:tcMar>
              <w:top w:w="80" w:type="dxa"/>
              <w:start w:w="90" w:type="dxa"/>
              <w:bottom w:w="80" w:type="dxa"/>
              <w:end w:w="90" w:type="dxa"/>
            </w:tcMar>
            <w:vAlign w:val="top"/>
          </w:tcPr>
          <w:p>
            <w:pPr>
              <w:spacing w:after="0"/>
            </w:pPr>
            <w:r>
              <w:rPr>
                <w:rFonts w:ascii="Liberation Sans" w:hAnsi="Liberation Sans" w:eastAsia="Liberation Sans"/>
                <w:color w:val="1F2937"/>
                <w:sz w:val="16"/>
              </w:rPr>
              <w:t>Confirmed end meter reading - confirmed start meter reading, except controlled reset/replacement paths</w:t>
            </w:r>
          </w:p>
        </w:tc>
      </w:tr>
      <w:tr>
        <w:trPr>
          <w:cantSplit/>
        </w:trPr>
        <w:tc>
          <w:tcPr>
            <w:tcW w:type="dxa" w:w="2438"/>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Expected sale value</w:t>
            </w:r>
          </w:p>
        </w:tc>
        <w:tc>
          <w:tcPr>
            <w:tcW w:type="dxa" w:w="6633"/>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Segment litres × effective station/product selling price version</w:t>
            </w:r>
          </w:p>
        </w:tc>
      </w:tr>
      <w:tr>
        <w:trPr>
          <w:cantSplit/>
        </w:trPr>
        <w:tc>
          <w:tcPr>
            <w:tcW w:type="dxa" w:w="2438"/>
            <w:tcMar>
              <w:top w:w="80" w:type="dxa"/>
              <w:start w:w="90" w:type="dxa"/>
              <w:bottom w:w="80" w:type="dxa"/>
              <w:end w:w="90" w:type="dxa"/>
            </w:tcMar>
            <w:vAlign w:val="top"/>
          </w:tcPr>
          <w:p>
            <w:pPr>
              <w:spacing w:after="0"/>
            </w:pPr>
            <w:r>
              <w:rPr>
                <w:rFonts w:ascii="Liberation Sans" w:hAnsi="Liberation Sans" w:eastAsia="Liberation Sans"/>
                <w:color w:val="1F2937"/>
                <w:sz w:val="16"/>
              </w:rPr>
              <w:t>Operational inventory issue</w:t>
            </w:r>
          </w:p>
        </w:tc>
        <w:tc>
          <w:tcPr>
            <w:tcW w:type="dxa" w:w="6633"/>
            <w:tcMar>
              <w:top w:w="80" w:type="dxa"/>
              <w:start w:w="90" w:type="dxa"/>
              <w:bottom w:w="80" w:type="dxa"/>
              <w:end w:w="90" w:type="dxa"/>
            </w:tcMar>
            <w:vAlign w:val="top"/>
          </w:tcPr>
          <w:p>
            <w:pPr>
              <w:spacing w:after="0"/>
            </w:pPr>
            <w:r>
              <w:rPr>
                <w:rFonts w:ascii="Liberation Sans" w:hAnsi="Liberation Sans" w:eastAsia="Liberation Sans"/>
                <w:color w:val="1F2937"/>
                <w:sz w:val="16"/>
              </w:rPr>
              <w:t>Created when the meter segment is sealed so stock chronology remains correct</w:t>
            </w:r>
          </w:p>
        </w:tc>
      </w:tr>
      <w:tr>
        <w:trPr>
          <w:cantSplit/>
        </w:trPr>
        <w:tc>
          <w:tcPr>
            <w:tcW w:type="dxa" w:w="2438"/>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Financial revenue posting</w:t>
            </w:r>
          </w:p>
        </w:tc>
        <w:tc>
          <w:tcPr>
            <w:tcW w:type="dxa" w:w="6633"/>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Created later when the approved daily reconciliation posts; inventory is not consumed twice</w:t>
            </w:r>
          </w:p>
        </w:tc>
      </w:tr>
    </w:tbl>
    <w:p>
      <w:pPr>
        <w:spacing w:after="40"/>
      </w:pPr>
    </w:p>
    <w:p>
      <w:pPr>
        <w:pStyle w:val="Heading2"/>
        <w:keepNext/>
        <w:spacing w:before="120" w:after="80"/>
      </w:pPr>
      <w:r>
        <w:rPr>
          <w:rFonts w:ascii="Liberation Sans" w:hAnsi="Liberation Sans" w:eastAsia="Liberation Sans"/>
          <w:b/>
          <w:color w:val="17324D"/>
          <w:sz w:val="27"/>
        </w:rPr>
        <w:t>5.5 Price Change</w:t>
      </w:r>
    </w:p>
    <w:tbl>
      <w:tblPr>
        <w:tblW w:type="auto" w:w="0"/>
        <w:jc w:val="center"/>
        <w:tblLook w:firstColumn="1" w:firstRow="1" w:lastColumn="0" w:lastRow="0" w:noHBand="0" w:noVBand="1" w:val="04A0"/>
      </w:tblPr>
      <w:tblGrid>
        <w:gridCol w:w="10036"/>
      </w:tblGrid>
      <w:tr>
        <w:tc>
          <w:tcPr>
            <w:tcW w:type="dxa" w:w="10036"/>
            <w:shd w:fill="F2F4F7"/>
            <w:tcMar>
              <w:top w:w="90" w:type="dxa"/>
              <w:start w:w="130" w:type="dxa"/>
              <w:bottom w:w="90" w:type="dxa"/>
              <w:end w:w="130" w:type="dxa"/>
            </w:tcMar>
          </w:tcPr>
          <w:p>
            <w:pPr>
              <w:spacing w:after="0"/>
            </w:pPr>
            <w:r>
              <w:rPr>
                <w:rFonts w:ascii="Liberation Mono" w:hAnsi="Liberation Mono" w:eastAsia="Liberation Mono"/>
                <w:color w:val="1F2937"/>
                <w:sz w:val="15"/>
              </w:rPr>
              <w:t>DRAFT → PENDING_APPROVAL → APPROVED → SCHEDULED</w:t>
            </w:r>
            <w:r>
              <w:br/>
            </w:r>
            <w:r>
              <w:rPr>
                <w:rFonts w:ascii="Liberation Mono" w:hAnsi="Liberation Mono" w:eastAsia="Liberation Mono"/>
                <w:color w:val="1F2937"/>
                <w:sz w:val="15"/>
              </w:rPr>
              <w:t>→ PENDING_STATION_ACTIVATION → BOUNDARIES_IN_PROGRESS → ACTIVE</w:t>
            </w:r>
            <w:r>
              <w:br/>
            </w:r>
            <w:r>
              <w:rPr>
                <w:rFonts w:ascii="Liberation Mono" w:hAnsi="Liberation Mono" w:eastAsia="Liberation Mono"/>
                <w:color w:val="1F2937"/>
                <w:sz w:val="15"/>
              </w:rPr>
              <w:t xml:space="preserve">                                \-- FAILED_ACTIVATION / CANCELLED</w:t>
            </w:r>
          </w:p>
        </w:tc>
      </w:tr>
    </w:tbl>
    <w:p>
      <w:pPr>
        <w:spacing w:after="20"/>
      </w:pPr>
    </w:p>
    <w:p>
      <w:pPr>
        <w:spacing w:after="100" w:line="259" w:lineRule="auto"/>
      </w:pPr>
      <w:r>
        <w:rPr>
          <w:rFonts w:ascii="Liberation Sans" w:hAnsi="Liberation Sans" w:eastAsia="Liberation Sans"/>
          <w:color w:val="1F2937"/>
          <w:sz w:val="18"/>
        </w:rPr>
        <w:t>During an active shift, the old server-confirmed price remains authoritative until all required affected-nozzle boundaries are captured and the server activates the new price.</w:t>
      </w:r>
    </w:p>
    <w:p>
      <w:pPr>
        <w:pStyle w:val="Heading1"/>
        <w:keepNext/>
        <w:spacing w:before="180" w:after="80"/>
      </w:pPr>
      <w:r>
        <w:rPr>
          <w:rFonts w:ascii="Liberation Sans" w:hAnsi="Liberation Sans" w:eastAsia="Liberation Sans"/>
          <w:b/>
          <w:color w:val="17324D"/>
          <w:sz w:val="36"/>
        </w:rPr>
        <w:t>6. Daily Reconciliation &amp; Official Sales Posting</w:t>
      </w:r>
    </w:p>
    <w:p>
      <w:pPr>
        <w:pStyle w:val="Heading2"/>
        <w:keepNext/>
        <w:spacing w:before="120" w:after="80"/>
      </w:pPr>
      <w:r>
        <w:rPr>
          <w:rFonts w:ascii="Liberation Sans" w:hAnsi="Liberation Sans" w:eastAsia="Liberation Sans"/>
          <w:b/>
          <w:color w:val="17324D"/>
          <w:sz w:val="27"/>
        </w:rPr>
        <w:t>6.1 Purpose</w:t>
      </w:r>
    </w:p>
    <w:p>
      <w:pPr>
        <w:jc w:val="center"/>
      </w:pPr>
      <w:r>
        <w:drawing>
          <wp:inline xmlns:a="http://schemas.openxmlformats.org/drawingml/2006/main" xmlns:pic="http://schemas.openxmlformats.org/drawingml/2006/picture">
            <wp:extent cx="5669280" cy="3072896"/>
            <wp:docPr id="3" name="Picture 3" descr="Flow from meter boundary to segment, inventory sale movement, reconciliation, approval, sale recognition and profitability." title="Figure 3. Forecourt quantity and payment classification flow into approved official revenue recognition."/>
            <wp:cNvGraphicFramePr>
              <a:graphicFrameLocks noChangeAspect="1"/>
            </wp:cNvGraphicFramePr>
            <a:graphic>
              <a:graphicData uri="http://schemas.openxmlformats.org/drawingml/2006/picture">
                <pic:pic>
                  <pic:nvPicPr>
                    <pic:cNvPr id="0" name="03_forecourt_reconciliation.png"/>
                    <pic:cNvPicPr/>
                  </pic:nvPicPr>
                  <pic:blipFill>
                    <a:blip r:embed="rId13"/>
                    <a:stretch>
                      <a:fillRect/>
                    </a:stretch>
                  </pic:blipFill>
                  <pic:spPr>
                    <a:xfrm>
                      <a:off x="0" y="0"/>
                      <a:ext cx="5669280" cy="3072896"/>
                    </a:xfrm>
                    <a:prstGeom prst="rect"/>
                  </pic:spPr>
                </pic:pic>
              </a:graphicData>
            </a:graphic>
          </wp:inline>
        </w:drawing>
      </w:r>
    </w:p>
    <w:p>
      <w:pPr>
        <w:pStyle w:val="Caption"/>
        <w:jc w:val="center"/>
      </w:pPr>
      <w:r>
        <w:rPr>
          <w:i/>
          <w:color w:val="667085"/>
          <w:sz w:val="18"/>
        </w:rPr>
        <w:t>Figure 3. Forecourt quantity and payment classification flow into approved official revenue recognition.</w:t>
      </w:r>
    </w:p>
    <w:p>
      <w:pPr>
        <w:spacing w:after="100" w:line="259" w:lineRule="auto"/>
      </w:pPr>
      <w:r>
        <w:rPr>
          <w:rFonts w:ascii="Liberation Sans" w:hAnsi="Liberation Sans" w:eastAsia="Liberation Sans"/>
          <w:color w:val="1F2937"/>
          <w:sz w:val="18"/>
        </w:rPr>
        <w:t>Daily reconciliation converts the physical forecourt and operational declarations into an approved financial classification of the business day. The supervisor does not re-enter all information; the system builds the reconciliation from accepted meter segments, declarations and explicit customer/payment transactions and emphasizes only differences or missing items.</w:t>
      </w:r>
    </w:p>
    <w:p>
      <w:pPr>
        <w:pStyle w:val="Heading2"/>
        <w:keepNext/>
        <w:spacing w:before="120" w:after="80"/>
      </w:pPr>
      <w:r>
        <w:rPr>
          <w:rFonts w:ascii="Liberation Sans" w:hAnsi="Liberation Sans" w:eastAsia="Liberation Sans"/>
          <w:b/>
          <w:color w:val="17324D"/>
          <w:sz w:val="27"/>
        </w:rPr>
        <w:t>6.2 Reconciliation State Machine</w:t>
      </w:r>
    </w:p>
    <w:tbl>
      <w:tblPr>
        <w:tblW w:type="auto" w:w="0"/>
        <w:jc w:val="center"/>
        <w:tblLook w:firstColumn="1" w:firstRow="1" w:lastColumn="0" w:lastRow="0" w:noHBand="0" w:noVBand="1" w:val="04A0"/>
      </w:tblPr>
      <w:tblGrid>
        <w:gridCol w:w="10036"/>
      </w:tblGrid>
      <w:tr>
        <w:tc>
          <w:tcPr>
            <w:tcW w:type="dxa" w:w="10036"/>
            <w:shd w:fill="F2F4F7"/>
            <w:tcMar>
              <w:top w:w="90" w:type="dxa"/>
              <w:start w:w="130" w:type="dxa"/>
              <w:bottom w:w="90" w:type="dxa"/>
              <w:end w:w="130" w:type="dxa"/>
            </w:tcMar>
          </w:tcPr>
          <w:p>
            <w:pPr>
              <w:spacing w:after="0"/>
            </w:pPr>
            <w:r>
              <w:rPr>
                <w:rFonts w:ascii="Liberation Mono" w:hAnsi="Liberation Mono" w:eastAsia="Liberation Mono"/>
                <w:color w:val="1F2937"/>
                <w:sz w:val="15"/>
              </w:rPr>
              <w:t>DRAFT → READY → SUBMITTED → PENDING_APPROVAL</w:t>
            </w:r>
            <w:r>
              <w:br/>
            </w:r>
            <w:r>
              <w:rPr>
                <w:rFonts w:ascii="Liberation Mono" w:hAnsi="Liberation Mono" w:eastAsia="Liberation Mono"/>
                <w:color w:val="1F2937"/>
                <w:sz w:val="15"/>
              </w:rPr>
              <w:t xml:space="preserve">                         ├─ Return → RETURNED → corrected READY → new revision</w:t>
            </w:r>
            <w:r>
              <w:br/>
            </w:r>
            <w:r>
              <w:rPr>
                <w:rFonts w:ascii="Liberation Mono" w:hAnsi="Liberation Mono" w:eastAsia="Liberation Mono"/>
                <w:color w:val="1F2937"/>
                <w:sz w:val="15"/>
              </w:rPr>
              <w:t xml:space="preserve">                         ├─ Reject → REJECTED</w:t>
            </w:r>
            <w:r>
              <w:br/>
            </w:r>
            <w:r>
              <w:rPr>
                <w:rFonts w:ascii="Liberation Mono" w:hAnsi="Liberation Mono" w:eastAsia="Liberation Mono"/>
                <w:color w:val="1F2937"/>
                <w:sz w:val="15"/>
              </w:rPr>
              <w:t xml:space="preserve">                         └─ Approve → APPROVED → POSTED → LOCKED</w:t>
            </w:r>
          </w:p>
        </w:tc>
      </w:tr>
    </w:tbl>
    <w:p>
      <w:pPr>
        <w:spacing w:after="20"/>
      </w:pPr>
    </w:p>
    <w:p>
      <w:pPr>
        <w:spacing w:after="100" w:line="259" w:lineRule="auto"/>
      </w:pPr>
      <w:r>
        <w:rPr>
          <w:rFonts w:ascii="Liberation Sans" w:hAnsi="Liberation Sans" w:eastAsia="Liberation Sans"/>
          <w:color w:val="1F2937"/>
          <w:sz w:val="18"/>
        </w:rPr>
        <w:t>Each submission creates an immutable reconciliation revision. Approval applies to one exact revision; edits or resubmission supersede the old approval request.</w:t>
      </w:r>
    </w:p>
    <w:p>
      <w:pPr>
        <w:pStyle w:val="Heading2"/>
        <w:keepNext/>
        <w:spacing w:before="120" w:after="80"/>
      </w:pPr>
      <w:r>
        <w:rPr>
          <w:rFonts w:ascii="Liberation Sans" w:hAnsi="Liberation Sans" w:eastAsia="Liberation Sans"/>
          <w:b/>
          <w:color w:val="17324D"/>
          <w:sz w:val="27"/>
        </w:rPr>
        <w:t>6.3 Payment Classification</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381"/>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Component</w:t>
            </w:r>
          </w:p>
        </w:tc>
        <w:tc>
          <w:tcPr>
            <w:tcW w:type="dxa" w:w="6690"/>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Source</w:t>
            </w:r>
          </w:p>
        </w:tc>
      </w:tr>
      <w:tr>
        <w:trPr>
          <w:cantSplit/>
        </w:trPr>
        <w:tc>
          <w:tcPr>
            <w:tcW w:type="dxa" w:w="2381"/>
            <w:tcMar>
              <w:top w:w="80" w:type="dxa"/>
              <w:start w:w="90" w:type="dxa"/>
              <w:bottom w:w="80" w:type="dxa"/>
              <w:end w:w="90" w:type="dxa"/>
            </w:tcMar>
            <w:vAlign w:val="top"/>
          </w:tcPr>
          <w:p>
            <w:pPr>
              <w:spacing w:after="0"/>
            </w:pPr>
            <w:r>
              <w:rPr>
                <w:rFonts w:ascii="Liberation Sans" w:hAnsi="Liberation Sans" w:eastAsia="Liberation Sans"/>
                <w:color w:val="1F2937"/>
                <w:sz w:val="16"/>
              </w:rPr>
              <w:t>Cash</w:t>
            </w:r>
          </w:p>
        </w:tc>
        <w:tc>
          <w:tcPr>
            <w:tcW w:type="dxa" w:w="6690"/>
            <w:tcMar>
              <w:top w:w="80" w:type="dxa"/>
              <w:start w:w="90" w:type="dxa"/>
              <w:bottom w:w="80" w:type="dxa"/>
              <w:end w:w="90" w:type="dxa"/>
            </w:tcMar>
            <w:vAlign w:val="top"/>
          </w:tcPr>
          <w:p>
            <w:pPr>
              <w:spacing w:after="0"/>
            </w:pPr>
            <w:r>
              <w:rPr>
                <w:rFonts w:ascii="Liberation Sans" w:hAnsi="Liberation Sans" w:eastAsia="Liberation Sans"/>
                <w:color w:val="1F2937"/>
                <w:sz w:val="16"/>
              </w:rPr>
              <w:t>Accepted cash declarations and known system cash transactions</w:t>
            </w:r>
          </w:p>
        </w:tc>
      </w:tr>
      <w:tr>
        <w:trPr>
          <w:cantSplit/>
        </w:trPr>
        <w:tc>
          <w:tcPr>
            <w:tcW w:type="dxa" w:w="2381"/>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POS / EcoCash / electronic</w:t>
            </w:r>
          </w:p>
        </w:tc>
        <w:tc>
          <w:tcPr>
            <w:tcW w:type="dxa" w:w="6690"/>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Accepted declaration + payment channel/provider records</w:t>
            </w:r>
          </w:p>
        </w:tc>
      </w:tr>
      <w:tr>
        <w:trPr>
          <w:cantSplit/>
        </w:trPr>
        <w:tc>
          <w:tcPr>
            <w:tcW w:type="dxa" w:w="2381"/>
            <w:tcMar>
              <w:top w:w="80" w:type="dxa"/>
              <w:start w:w="90" w:type="dxa"/>
              <w:bottom w:w="80" w:type="dxa"/>
              <w:end w:w="90" w:type="dxa"/>
            </w:tcMar>
            <w:vAlign w:val="top"/>
          </w:tcPr>
          <w:p>
            <w:pPr>
              <w:spacing w:after="0"/>
            </w:pPr>
            <w:r>
              <w:rPr>
                <w:rFonts w:ascii="Liberation Sans" w:hAnsi="Liberation Sans" w:eastAsia="Liberation Sans"/>
                <w:color w:val="1F2937"/>
                <w:sz w:val="16"/>
              </w:rPr>
              <w:t>Bank transfer</w:t>
            </w:r>
          </w:p>
        </w:tc>
        <w:tc>
          <w:tcPr>
            <w:tcW w:type="dxa" w:w="6690"/>
            <w:tcMar>
              <w:top w:w="80" w:type="dxa"/>
              <w:start w:w="90" w:type="dxa"/>
              <w:bottom w:w="80" w:type="dxa"/>
              <w:end w:w="90" w:type="dxa"/>
            </w:tcMar>
            <w:vAlign w:val="top"/>
          </w:tcPr>
          <w:p>
            <w:pPr>
              <w:spacing w:after="0"/>
            </w:pPr>
            <w:r>
              <w:rPr>
                <w:rFonts w:ascii="Liberation Sans" w:hAnsi="Liberation Sans" w:eastAsia="Liberation Sans"/>
                <w:color w:val="1F2937"/>
                <w:sz w:val="16"/>
              </w:rPr>
              <w:t>Explicit electronic/bank-classified sale records</w:t>
            </w:r>
          </w:p>
        </w:tc>
      </w:tr>
      <w:tr>
        <w:trPr>
          <w:cantSplit/>
        </w:trPr>
        <w:tc>
          <w:tcPr>
            <w:tcW w:type="dxa" w:w="2381"/>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Customer credit</w:t>
            </w:r>
          </w:p>
        </w:tc>
        <w:tc>
          <w:tcPr>
            <w:tcW w:type="dxa" w:w="6690"/>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Customer fuel transaction linked to account authorization and meter context</w:t>
            </w:r>
          </w:p>
        </w:tc>
      </w:tr>
      <w:tr>
        <w:trPr>
          <w:cantSplit/>
        </w:trPr>
        <w:tc>
          <w:tcPr>
            <w:tcW w:type="dxa" w:w="2381"/>
            <w:tcMar>
              <w:top w:w="80" w:type="dxa"/>
              <w:start w:w="90" w:type="dxa"/>
              <w:bottom w:w="80" w:type="dxa"/>
              <w:end w:w="90" w:type="dxa"/>
            </w:tcMar>
            <w:vAlign w:val="top"/>
          </w:tcPr>
          <w:p>
            <w:pPr>
              <w:spacing w:after="0"/>
            </w:pPr>
            <w:r>
              <w:rPr>
                <w:rFonts w:ascii="Liberation Sans" w:hAnsi="Liberation Sans" w:eastAsia="Liberation Sans"/>
                <w:color w:val="1F2937"/>
                <w:sz w:val="16"/>
              </w:rPr>
              <w:t>Prepaid value</w:t>
            </w:r>
          </w:p>
        </w:tc>
        <w:tc>
          <w:tcPr>
            <w:tcW w:type="dxa" w:w="6690"/>
            <w:tcMar>
              <w:top w:w="80" w:type="dxa"/>
              <w:start w:w="90" w:type="dxa"/>
              <w:bottom w:w="80" w:type="dxa"/>
              <w:end w:w="90" w:type="dxa"/>
            </w:tcMar>
            <w:vAlign w:val="top"/>
          </w:tcPr>
          <w:p>
            <w:pPr>
              <w:spacing w:after="0"/>
            </w:pPr>
            <w:r>
              <w:rPr>
                <w:rFonts w:ascii="Liberation Sans" w:hAnsi="Liberation Sans" w:eastAsia="Liberation Sans"/>
                <w:color w:val="1F2937"/>
                <w:sz w:val="16"/>
              </w:rPr>
              <w:t>Customer fuel transaction + prepaid value draw</w:t>
            </w:r>
          </w:p>
        </w:tc>
      </w:tr>
      <w:tr>
        <w:trPr>
          <w:cantSplit/>
        </w:trPr>
        <w:tc>
          <w:tcPr>
            <w:tcW w:type="dxa" w:w="2381"/>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Prepaid litres</w:t>
            </w:r>
          </w:p>
        </w:tc>
        <w:tc>
          <w:tcPr>
            <w:tcW w:type="dxa" w:w="6690"/>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Customer fuel transaction + product-specific litre draw</w:t>
            </w:r>
          </w:p>
        </w:tc>
      </w:tr>
      <w:tr>
        <w:trPr>
          <w:cantSplit/>
        </w:trPr>
        <w:tc>
          <w:tcPr>
            <w:tcW w:type="dxa" w:w="2381"/>
            <w:tcMar>
              <w:top w:w="80" w:type="dxa"/>
              <w:start w:w="90" w:type="dxa"/>
              <w:bottom w:w="80" w:type="dxa"/>
              <w:end w:w="90" w:type="dxa"/>
            </w:tcMar>
            <w:vAlign w:val="top"/>
          </w:tcPr>
          <w:p>
            <w:pPr>
              <w:spacing w:after="0"/>
            </w:pPr>
            <w:r>
              <w:rPr>
                <w:rFonts w:ascii="Liberation Sans" w:hAnsi="Liberation Sans" w:eastAsia="Liberation Sans"/>
                <w:color w:val="1F2937"/>
                <w:sz w:val="16"/>
              </w:rPr>
              <w:t>Benefit / internal</w:t>
            </w:r>
          </w:p>
        </w:tc>
        <w:tc>
          <w:tcPr>
            <w:tcW w:type="dxa" w:w="6690"/>
            <w:tcMar>
              <w:top w:w="80" w:type="dxa"/>
              <w:start w:w="90" w:type="dxa"/>
              <w:bottom w:w="80" w:type="dxa"/>
              <w:end w:w="90" w:type="dxa"/>
            </w:tcMar>
            <w:vAlign w:val="top"/>
          </w:tcPr>
          <w:p>
            <w:pPr>
              <w:spacing w:after="0"/>
            </w:pPr>
            <w:r>
              <w:rPr>
                <w:rFonts w:ascii="Liberation Sans" w:hAnsi="Liberation Sans" w:eastAsia="Liberation Sans"/>
                <w:color w:val="1F2937"/>
                <w:sz w:val="16"/>
              </w:rPr>
              <w:t>Fuel transaction classified as benefit/internal use with reconciliation value</w:t>
            </w:r>
          </w:p>
        </w:tc>
      </w:tr>
    </w:tbl>
    <w:p>
      <w:pPr>
        <w:spacing w:after="40"/>
      </w:pPr>
    </w:p>
    <w:p>
      <w:pPr>
        <w:pStyle w:val="Heading2"/>
        <w:keepNext/>
        <w:spacing w:before="120" w:after="80"/>
      </w:pPr>
      <w:r>
        <w:rPr>
          <w:rFonts w:ascii="Liberation Sans" w:hAnsi="Liberation Sans" w:eastAsia="Liberation Sans"/>
          <w:b/>
          <w:color w:val="17324D"/>
          <w:sz w:val="27"/>
        </w:rPr>
        <w:t>6.4 Variance</w:t>
      </w:r>
    </w:p>
    <w:tbl>
      <w:tblPr>
        <w:tblW w:type="auto" w:w="0"/>
        <w:jc w:val="center"/>
        <w:tblLayout w:type="autofit"/>
        <w:tblLook w:firstColumn="1" w:firstRow="1" w:lastColumn="0" w:lastRow="0" w:noHBand="0" w:noVBand="1" w:val="04A0"/>
      </w:tblPr>
      <w:tblGrid>
        <w:gridCol w:w="10036"/>
      </w:tblGrid>
      <w:tr>
        <w:tc>
          <w:tcPr>
            <w:tcW w:type="dxa" w:w="10036"/>
            <w:shd w:fill="EAF5F3"/>
            <w:tcMar>
              <w:top w:w="110" w:type="dxa"/>
              <w:start w:w="150" w:type="dxa"/>
              <w:bottom w:w="110" w:type="dxa"/>
              <w:end w:w="150" w:type="dxa"/>
            </w:tcMar>
          </w:tcPr>
          <w:p>
            <w:pPr>
              <w:spacing w:after="40"/>
            </w:pPr>
            <w:r>
              <w:rPr>
                <w:rFonts w:ascii="Liberation Sans" w:hAnsi="Liberation Sans" w:eastAsia="Liberation Sans"/>
                <w:b/>
                <w:color w:val="0F766E"/>
                <w:sz w:val="19"/>
              </w:rPr>
              <w:t>CANONICAL INTERPRETATION</w:t>
            </w:r>
          </w:p>
          <w:p>
            <w:pPr>
              <w:spacing w:after="0"/>
            </w:pPr>
            <w:r>
              <w:rPr>
                <w:rFonts w:ascii="Liberation Sans" w:hAnsi="Liberation Sans" w:eastAsia="Liberation Sans"/>
                <w:color w:val="1F2937"/>
                <w:sz w:val="18"/>
              </w:rPr>
              <w:t>Reconciliation variance = accounted/classified sale value - meter-derived expected sale value. Threshold policy determines whether the difference is informational, requires explanation, or blocks normal submission/approval.</w:t>
            </w:r>
          </w:p>
        </w:tc>
      </w:tr>
    </w:tbl>
    <w:p>
      <w:pPr>
        <w:spacing w:after="20"/>
      </w:pPr>
    </w:p>
    <w:p>
      <w:pPr>
        <w:pStyle w:val="Heading2"/>
        <w:keepNext/>
        <w:spacing w:before="120" w:after="80"/>
      </w:pPr>
      <w:r>
        <w:rPr>
          <w:rFonts w:ascii="Liberation Sans" w:hAnsi="Liberation Sans" w:eastAsia="Liberation Sans"/>
          <w:b/>
          <w:color w:val="17324D"/>
          <w:sz w:val="27"/>
        </w:rPr>
        <w:t>6.5 Sale Recognition</w:t>
      </w:r>
    </w:p>
    <w:p>
      <w:pPr>
        <w:spacing w:after="100" w:line="259" w:lineRule="auto"/>
      </w:pPr>
      <w:r>
        <w:rPr>
          <w:rFonts w:ascii="Liberation Sans" w:hAnsi="Liberation Sans" w:eastAsia="Liberation Sans"/>
          <w:color w:val="1F2937"/>
          <w:sz w:val="18"/>
        </w:rPr>
        <w:t>When reconciliation posts, Shanda creates official sale_recognition movements by meter segment and classification. Customer account fuel is not added on top of meter sales; it explains which portion of the meter-derived value was credit, prepaid, benefit or other classification.</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551"/>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Stored value</w:t>
            </w:r>
          </w:p>
        </w:tc>
        <w:tc>
          <w:tcPr>
            <w:tcW w:type="dxa" w:w="6520"/>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Reason</w:t>
            </w:r>
          </w:p>
        </w:tc>
      </w:tr>
      <w:tr>
        <w:trPr>
          <w:cantSplit/>
        </w:trPr>
        <w:tc>
          <w:tcPr>
            <w:tcW w:type="dxa" w:w="2551"/>
            <w:tcMar>
              <w:top w:w="80" w:type="dxa"/>
              <w:start w:w="90" w:type="dxa"/>
              <w:bottom w:w="80" w:type="dxa"/>
              <w:end w:w="90" w:type="dxa"/>
            </w:tcMar>
            <w:vAlign w:val="top"/>
          </w:tcPr>
          <w:p>
            <w:pPr>
              <w:spacing w:after="0"/>
            </w:pPr>
            <w:r>
              <w:rPr>
                <w:rFonts w:ascii="Liberation Sans" w:hAnsi="Liberation Sans" w:eastAsia="Liberation Sans"/>
                <w:color w:val="1F2937"/>
                <w:sz w:val="16"/>
              </w:rPr>
              <w:t>quantity_litres</w:t>
            </w:r>
          </w:p>
        </w:tc>
        <w:tc>
          <w:tcPr>
            <w:tcW w:type="dxa" w:w="6520"/>
            <w:tcMar>
              <w:top w:w="80" w:type="dxa"/>
              <w:start w:w="90" w:type="dxa"/>
              <w:bottom w:w="80" w:type="dxa"/>
              <w:end w:w="90" w:type="dxa"/>
            </w:tcMar>
            <w:vAlign w:val="top"/>
          </w:tcPr>
          <w:p>
            <w:pPr>
              <w:spacing w:after="0"/>
            </w:pPr>
            <w:r>
              <w:rPr>
                <w:rFonts w:ascii="Liberation Sans" w:hAnsi="Liberation Sans" w:eastAsia="Liberation Sans"/>
                <w:color w:val="1F2937"/>
                <w:sz w:val="16"/>
              </w:rPr>
              <w:t>Trace official financial classification back to physical fuel</w:t>
            </w:r>
          </w:p>
        </w:tc>
      </w:tr>
      <w:tr>
        <w:trPr>
          <w:cantSplit/>
        </w:trPr>
        <w:tc>
          <w:tcPr>
            <w:tcW w:type="dxa" w:w="2551"/>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reconciliation_value</w:t>
            </w:r>
          </w:p>
        </w:tc>
        <w:tc>
          <w:tcPr>
            <w:tcW w:type="dxa" w:w="6520"/>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Value needed to make station fuel accountability balance</w:t>
            </w:r>
          </w:p>
        </w:tc>
      </w:tr>
      <w:tr>
        <w:trPr>
          <w:cantSplit/>
        </w:trPr>
        <w:tc>
          <w:tcPr>
            <w:tcW w:type="dxa" w:w="2551"/>
            <w:tcMar>
              <w:top w:w="80" w:type="dxa"/>
              <w:start w:w="90" w:type="dxa"/>
              <w:bottom w:w="80" w:type="dxa"/>
              <w:end w:w="90" w:type="dxa"/>
            </w:tcMar>
            <w:vAlign w:val="top"/>
          </w:tcPr>
          <w:p>
            <w:pPr>
              <w:spacing w:after="0"/>
            </w:pPr>
            <w:r>
              <w:rPr>
                <w:rFonts w:ascii="Liberation Sans" w:hAnsi="Liberation Sans" w:eastAsia="Liberation Sans"/>
                <w:color w:val="1F2937"/>
                <w:sz w:val="16"/>
              </w:rPr>
              <w:t>recognized_revenue_amount</w:t>
            </w:r>
          </w:p>
        </w:tc>
        <w:tc>
          <w:tcPr>
            <w:tcW w:type="dxa" w:w="6520"/>
            <w:tcMar>
              <w:top w:w="80" w:type="dxa"/>
              <w:start w:w="90" w:type="dxa"/>
              <w:bottom w:w="80" w:type="dxa"/>
              <w:end w:w="90" w:type="dxa"/>
            </w:tcMar>
            <w:vAlign w:val="top"/>
          </w:tcPr>
          <w:p>
            <w:pPr>
              <w:spacing w:after="0"/>
            </w:pPr>
            <w:r>
              <w:rPr>
                <w:rFonts w:ascii="Liberation Sans" w:hAnsi="Liberation Sans" w:eastAsia="Liberation Sans"/>
                <w:color w:val="1F2937"/>
                <w:sz w:val="16"/>
              </w:rPr>
              <w:t>Actual financial revenue classification; may differ for internal/benefit fuel</w:t>
            </w:r>
          </w:p>
        </w:tc>
      </w:tr>
    </w:tbl>
    <w:p>
      <w:pPr>
        <w:spacing w:after="40"/>
      </w:pPr>
    </w:p>
    <w:p>
      <w:pPr>
        <w:pStyle w:val="Heading1"/>
        <w:keepNext/>
        <w:spacing w:before="180" w:after="80"/>
      </w:pPr>
      <w:r>
        <w:rPr>
          <w:rFonts w:ascii="Liberation Sans" w:hAnsi="Liberation Sans" w:eastAsia="Liberation Sans"/>
          <w:b/>
          <w:color w:val="17324D"/>
          <w:sz w:val="36"/>
        </w:rPr>
        <w:t>7. Inventory, Tanks, Deliveries &amp; Costing</w:t>
      </w:r>
    </w:p>
    <w:p>
      <w:pPr>
        <w:pStyle w:val="Heading2"/>
        <w:keepNext/>
        <w:spacing w:before="120" w:after="80"/>
      </w:pPr>
      <w:r>
        <w:rPr>
          <w:rFonts w:ascii="Liberation Sans" w:hAnsi="Liberation Sans" w:eastAsia="Liberation Sans"/>
          <w:b/>
          <w:color w:val="17324D"/>
          <w:sz w:val="27"/>
        </w:rPr>
        <w:t>7.1 Physical Tank vs Book Inventory</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551"/>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Concept</w:t>
            </w:r>
          </w:p>
        </w:tc>
        <w:tc>
          <w:tcPr>
            <w:tcW w:type="dxa" w:w="6520"/>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Authoritative source</w:t>
            </w:r>
          </w:p>
        </w:tc>
      </w:tr>
      <w:tr>
        <w:trPr>
          <w:cantSplit/>
        </w:trPr>
        <w:tc>
          <w:tcPr>
            <w:tcW w:type="dxa" w:w="2551"/>
            <w:tcMar>
              <w:top w:w="80" w:type="dxa"/>
              <w:start w:w="90" w:type="dxa"/>
              <w:bottom w:w="80" w:type="dxa"/>
              <w:end w:w="90" w:type="dxa"/>
            </w:tcMar>
            <w:vAlign w:val="top"/>
          </w:tcPr>
          <w:p>
            <w:pPr>
              <w:spacing w:after="0"/>
            </w:pPr>
            <w:r>
              <w:rPr>
                <w:rFonts w:ascii="Liberation Sans" w:hAnsi="Liberation Sans" w:eastAsia="Liberation Sans"/>
                <w:color w:val="1F2937"/>
                <w:sz w:val="16"/>
              </w:rPr>
              <w:t>Physical volume estimate</w:t>
            </w:r>
          </w:p>
        </w:tc>
        <w:tc>
          <w:tcPr>
            <w:tcW w:type="dxa" w:w="6520"/>
            <w:tcMar>
              <w:top w:w="80" w:type="dxa"/>
              <w:start w:w="90" w:type="dxa"/>
              <w:bottom w:w="80" w:type="dxa"/>
              <w:end w:w="90" w:type="dxa"/>
            </w:tcMar>
            <w:vAlign w:val="top"/>
          </w:tcPr>
          <w:p>
            <w:pPr>
              <w:spacing w:after="0"/>
            </w:pPr>
            <w:r>
              <w:rPr>
                <w:rFonts w:ascii="Liberation Sans" w:hAnsi="Liberation Sans" w:eastAsia="Liberation Sans"/>
                <w:color w:val="1F2937"/>
                <w:sz w:val="16"/>
              </w:rPr>
              <w:t>Tank dip converted using the exact effective calibration version</w:t>
            </w:r>
          </w:p>
        </w:tc>
      </w:tr>
      <w:tr>
        <w:trPr>
          <w:cantSplit/>
        </w:trPr>
        <w:tc>
          <w:tcPr>
            <w:tcW w:type="dxa" w:w="2551"/>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Book quantity/value</w:t>
            </w:r>
          </w:p>
        </w:tc>
        <w:tc>
          <w:tcPr>
            <w:tcW w:type="dxa" w:w="6520"/>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Inventory pool movement ledger</w:t>
            </w:r>
          </w:p>
        </w:tc>
      </w:tr>
      <w:tr>
        <w:trPr>
          <w:cantSplit/>
        </w:trPr>
        <w:tc>
          <w:tcPr>
            <w:tcW w:type="dxa" w:w="2551"/>
            <w:tcMar>
              <w:top w:w="80" w:type="dxa"/>
              <w:start w:w="90" w:type="dxa"/>
              <w:bottom w:w="80" w:type="dxa"/>
              <w:end w:w="90" w:type="dxa"/>
            </w:tcMar>
            <w:vAlign w:val="top"/>
          </w:tcPr>
          <w:p>
            <w:pPr>
              <w:spacing w:after="0"/>
            </w:pPr>
            <w:r>
              <w:rPr>
                <w:rFonts w:ascii="Liberation Sans" w:hAnsi="Liberation Sans" w:eastAsia="Liberation Sans"/>
                <w:color w:val="1F2937"/>
                <w:sz w:val="16"/>
              </w:rPr>
              <w:t>Available stock</w:t>
            </w:r>
          </w:p>
        </w:tc>
        <w:tc>
          <w:tcPr>
            <w:tcW w:type="dxa" w:w="6520"/>
            <w:tcMar>
              <w:top w:w="80" w:type="dxa"/>
              <w:start w:w="90" w:type="dxa"/>
              <w:bottom w:w="80" w:type="dxa"/>
              <w:end w:w="90" w:type="dxa"/>
            </w:tcMar>
            <w:vAlign w:val="top"/>
          </w:tcPr>
          <w:p>
            <w:pPr>
              <w:spacing w:after="0"/>
            </w:pPr>
            <w:r>
              <w:rPr>
                <w:rFonts w:ascii="Liberation Sans" w:hAnsi="Liberation Sans" w:eastAsia="Liberation Sans"/>
                <w:color w:val="1F2937"/>
                <w:sz w:val="16"/>
              </w:rPr>
              <w:t>Book stock adjusted for quarantine/reservations as applicable; physical overage never increases official stock automatically</w:t>
            </w:r>
          </w:p>
        </w:tc>
      </w:tr>
      <w:tr>
        <w:trPr>
          <w:cantSplit/>
        </w:trPr>
        <w:tc>
          <w:tcPr>
            <w:tcW w:type="dxa" w:w="2551"/>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Variance</w:t>
            </w:r>
          </w:p>
        </w:tc>
        <w:tc>
          <w:tcPr>
            <w:tcW w:type="dxa" w:w="6520"/>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Physical estimate - book quantity; becomes an exception until resolved/adjusted</w:t>
            </w:r>
          </w:p>
        </w:tc>
      </w:tr>
    </w:tbl>
    <w:p>
      <w:pPr>
        <w:spacing w:after="40"/>
      </w:pPr>
    </w:p>
    <w:p>
      <w:pPr>
        <w:pStyle w:val="Heading2"/>
        <w:keepNext/>
        <w:spacing w:before="120" w:after="80"/>
      </w:pPr>
      <w:r>
        <w:rPr>
          <w:rFonts w:ascii="Liberation Sans" w:hAnsi="Liberation Sans" w:eastAsia="Liberation Sans"/>
          <w:b/>
          <w:color w:val="17324D"/>
          <w:sz w:val="27"/>
        </w:rPr>
        <w:t>7.2 Inventory Pool Model</w:t>
      </w:r>
    </w:p>
    <w:p>
      <w:pPr>
        <w:spacing w:after="100" w:line="259" w:lineRule="auto"/>
      </w:pPr>
      <w:r>
        <w:rPr>
          <w:rFonts w:ascii="Liberation Sans" w:hAnsi="Liberation Sans" w:eastAsia="Liberation Sans"/>
          <w:color w:val="1F2937"/>
          <w:sz w:val="18"/>
        </w:rPr>
        <w:t>Book stock is held at Inventory Pool/Supply Group level rather than blindly by tank because manifolded tanks can feed the same product/nozzles. Tanks preserve physical observations; pools preserve book quantity/value and moving WAC.</w:t>
      </w:r>
    </w:p>
    <w:p>
      <w:pPr>
        <w:pStyle w:val="Heading2"/>
        <w:keepNext/>
        <w:spacing w:before="120" w:after="80"/>
      </w:pPr>
      <w:r>
        <w:rPr>
          <w:rFonts w:ascii="Liberation Sans" w:hAnsi="Liberation Sans" w:eastAsia="Liberation Sans"/>
          <w:b/>
          <w:color w:val="17324D"/>
          <w:sz w:val="27"/>
        </w:rPr>
        <w:t>7.3 Delivery State Machine</w:t>
      </w:r>
    </w:p>
    <w:p>
      <w:pPr>
        <w:jc w:val="center"/>
      </w:pPr>
      <w:r>
        <w:drawing>
          <wp:inline xmlns:a="http://schemas.openxmlformats.org/drawingml/2006/main" xmlns:pic="http://schemas.openxmlformats.org/drawingml/2006/picture">
            <wp:extent cx="5669280" cy="3335261"/>
            <wp:docPr id="4" name="Picture 4" descr="Delivery and inventory costing flow showing accepted tank allocation, receipt movement, weighted average cost and later revaluation." title="Figure 4. Physical delivery, inventory posting, supplier cost allocation and late-cost revaluation."/>
            <wp:cNvGraphicFramePr>
              <a:graphicFrameLocks noChangeAspect="1"/>
            </wp:cNvGraphicFramePr>
            <a:graphic>
              <a:graphicData uri="http://schemas.openxmlformats.org/drawingml/2006/picture">
                <pic:pic>
                  <pic:nvPicPr>
                    <pic:cNvPr id="0" name="04_inventory_delivery.png"/>
                    <pic:cNvPicPr/>
                  </pic:nvPicPr>
                  <pic:blipFill>
                    <a:blip r:embed="rId14"/>
                    <a:stretch>
                      <a:fillRect/>
                    </a:stretch>
                  </pic:blipFill>
                  <pic:spPr>
                    <a:xfrm>
                      <a:off x="0" y="0"/>
                      <a:ext cx="5669280" cy="3335261"/>
                    </a:xfrm>
                    <a:prstGeom prst="rect"/>
                  </pic:spPr>
                </pic:pic>
              </a:graphicData>
            </a:graphic>
          </wp:inline>
        </w:drawing>
      </w:r>
    </w:p>
    <w:p>
      <w:pPr>
        <w:pStyle w:val="Caption"/>
        <w:jc w:val="center"/>
      </w:pPr>
      <w:r>
        <w:rPr>
          <w:i/>
          <w:color w:val="667085"/>
          <w:sz w:val="18"/>
        </w:rPr>
        <w:t>Figure 4. Physical delivery, inventory posting, supplier cost allocation and late-cost revaluation.</w:t>
      </w:r>
    </w:p>
    <w:tbl>
      <w:tblPr>
        <w:tblW w:type="auto" w:w="0"/>
        <w:jc w:val="center"/>
        <w:tblLook w:firstColumn="1" w:firstRow="1" w:lastColumn="0" w:lastRow="0" w:noHBand="0" w:noVBand="1" w:val="04A0"/>
      </w:tblPr>
      <w:tblGrid>
        <w:gridCol w:w="10036"/>
      </w:tblGrid>
      <w:tr>
        <w:tc>
          <w:tcPr>
            <w:tcW w:type="dxa" w:w="10036"/>
            <w:shd w:fill="F2F4F7"/>
            <w:tcMar>
              <w:top w:w="90" w:type="dxa"/>
              <w:start w:w="130" w:type="dxa"/>
              <w:bottom w:w="90" w:type="dxa"/>
              <w:end w:w="130" w:type="dxa"/>
            </w:tcMar>
          </w:tcPr>
          <w:p>
            <w:pPr>
              <w:spacing w:after="0"/>
            </w:pPr>
            <w:r>
              <w:rPr>
                <w:rFonts w:ascii="Liberation Mono" w:hAnsi="Liberation Mono" w:eastAsia="Liberation Mono"/>
                <w:color w:val="1F2937"/>
                <w:sz w:val="15"/>
              </w:rPr>
              <w:t>DRAFT → ARRIVED → VERIFICATION → OFFLOADING</w:t>
            </w:r>
            <w:r>
              <w:br/>
            </w:r>
            <w:r>
              <w:rPr>
                <w:rFonts w:ascii="Liberation Mono" w:hAnsi="Liberation Mono" w:eastAsia="Liberation Mono"/>
                <w:color w:val="1F2937"/>
                <w:sz w:val="15"/>
              </w:rPr>
              <w:t xml:space="preserve">                       ├─ OFFLOADING_INTERRUPTED → resume / partial receipt</w:t>
            </w:r>
            <w:r>
              <w:br/>
            </w:r>
            <w:r>
              <w:rPr>
                <w:rFonts w:ascii="Liberation Mono" w:hAnsi="Liberation Mono" w:eastAsia="Liberation Mono"/>
                <w:color w:val="1F2937"/>
                <w:sz w:val="15"/>
              </w:rPr>
              <w:t xml:space="preserve">                       └─ RECEIVED_PENDING_CONFIRMATION → CONFIRMED → POSTED</w:t>
            </w:r>
            <w:r>
              <w:br/>
            </w:r>
            <w:r>
              <w:rPr>
                <w:rFonts w:ascii="Liberation Mono" w:hAnsi="Liberation Mono" w:eastAsia="Liberation Mono"/>
                <w:color w:val="1F2937"/>
                <w:sz w:val="15"/>
              </w:rPr>
              <w:t>Pre-offload failure → REJECTED     Unstarted → CANCELLED     Posted correction → reversal workflow</w:t>
            </w:r>
          </w:p>
        </w:tc>
      </w:tr>
    </w:tbl>
    <w:p>
      <w:pPr>
        <w:spacing w:after="20"/>
      </w:pPr>
    </w:p>
    <w:p>
      <w:pPr>
        <w:pStyle w:val="Heading2"/>
        <w:keepNext/>
        <w:spacing w:before="120" w:after="80"/>
      </w:pPr>
      <w:r>
        <w:rPr>
          <w:rFonts w:ascii="Liberation Sans" w:hAnsi="Liberation Sans" w:eastAsia="Liberation Sans"/>
          <w:b/>
          <w:color w:val="17324D"/>
          <w:sz w:val="27"/>
        </w:rPr>
        <w:t>7.4 Delivery Invariants</w:t>
      </w:r>
    </w:p>
    <w:p>
      <w:pPr>
        <w:pStyle w:val="ListBullet"/>
        <w:spacing w:after="30" w:line="247" w:lineRule="auto"/>
        <w:ind w:left="255" w:hanging="113"/>
      </w:pPr>
      <w:r>
        <w:rPr>
          <w:rFonts w:ascii="Liberation Sans" w:hAnsi="Liberation Sans" w:eastAsia="Liberation Sans"/>
          <w:color w:val="1F2937"/>
          <w:sz w:val="18"/>
        </w:rPr>
        <w:t>Physical accepted quantity is derived from accepted tank allocations at the lowest meaningful level, not from the supplier invoice.</w:t>
      </w:r>
    </w:p>
    <w:p>
      <w:pPr>
        <w:pStyle w:val="ListBullet"/>
        <w:spacing w:after="30" w:line="247" w:lineRule="auto"/>
        <w:ind w:left="255" w:hanging="113"/>
      </w:pPr>
      <w:r>
        <w:rPr>
          <w:rFonts w:ascii="Liberation Sans" w:hAnsi="Liberation Sans" w:eastAsia="Liberation Sans"/>
          <w:color w:val="1F2937"/>
          <w:sz w:val="18"/>
        </w:rPr>
        <w:t>Delivery-note quantity remains the commercial claim and is compared with actual accepted quantity; shortage/excess is never hidden.</w:t>
      </w:r>
    </w:p>
    <w:p>
      <w:pPr>
        <w:pStyle w:val="ListBullet"/>
        <w:spacing w:after="30" w:line="247" w:lineRule="auto"/>
        <w:ind w:left="255" w:hanging="113"/>
      </w:pPr>
      <w:r>
        <w:rPr>
          <w:rFonts w:ascii="Liberation Sans" w:hAnsi="Liberation Sans" w:eastAsia="Liberation Sans"/>
          <w:color w:val="1F2937"/>
          <w:sz w:val="18"/>
        </w:rPr>
        <w:t>Pre/post dip, seal, water test and capacity checks are structured verification facts; policy decides which are mandatory.</w:t>
      </w:r>
    </w:p>
    <w:p>
      <w:pPr>
        <w:pStyle w:val="ListBullet"/>
        <w:spacing w:after="30" w:line="247" w:lineRule="auto"/>
        <w:ind w:left="255" w:hanging="113"/>
      </w:pPr>
      <w:r>
        <w:rPr>
          <w:rFonts w:ascii="Liberation Sans" w:hAnsi="Liberation Sans" w:eastAsia="Liberation Sans"/>
          <w:color w:val="1F2937"/>
          <w:sz w:val="18"/>
        </w:rPr>
        <w:t>Default V1 operating mode pauses affected product dispensing during offload where operationally possible, giving clean cost chronology.</w:t>
      </w:r>
    </w:p>
    <w:p>
      <w:pPr>
        <w:pStyle w:val="ListBullet"/>
        <w:spacing w:after="30" w:line="247" w:lineRule="auto"/>
        <w:ind w:left="255" w:hanging="113"/>
      </w:pPr>
      <w:r>
        <w:rPr>
          <w:rFonts w:ascii="Liberation Sans" w:hAnsi="Liberation Sans" w:eastAsia="Liberation Sans"/>
          <w:color w:val="1F2937"/>
          <w:sz w:val="18"/>
        </w:rPr>
        <w:t>Wrong-product/unsafe receipt quarantines affected stock rather than pretending the delivery did not occur.</w:t>
      </w:r>
    </w:p>
    <w:p>
      <w:pPr>
        <w:pStyle w:val="Heading2"/>
        <w:keepNext/>
        <w:spacing w:before="120" w:after="80"/>
      </w:pPr>
      <w:r>
        <w:rPr>
          <w:rFonts w:ascii="Liberation Sans" w:hAnsi="Liberation Sans" w:eastAsia="Liberation Sans"/>
          <w:b/>
          <w:color w:val="17324D"/>
          <w:sz w:val="27"/>
        </w:rPr>
        <w:t>7.5 Moving Weighted Average Cost</w:t>
      </w:r>
    </w:p>
    <w:p>
      <w:pPr>
        <w:spacing w:after="100" w:line="259" w:lineRule="auto"/>
      </w:pPr>
      <w:r>
        <w:rPr>
          <w:rFonts w:ascii="Liberation Sans" w:hAnsi="Liberation Sans" w:eastAsia="Liberation Sans"/>
          <w:color w:val="1F2937"/>
          <w:sz w:val="18"/>
        </w:rPr>
        <w:t>Receipts add quantity and landed value to the inventory pool. The new WAC is computed transactionally from existing pool value/quantity plus the receipt. Selling price is entirely separate from cost.</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268"/>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Case</w:t>
            </w:r>
          </w:p>
        </w:tc>
        <w:tc>
          <w:tcPr>
            <w:tcW w:type="dxa" w:w="6803"/>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Treatment</w:t>
            </w:r>
          </w:p>
        </w:tc>
      </w:tr>
      <w:tr>
        <w:trPr>
          <w:cantSplit/>
        </w:trPr>
        <w:tc>
          <w:tcPr>
            <w:tcW w:type="dxa" w:w="2268"/>
            <w:tcMar>
              <w:top w:w="80" w:type="dxa"/>
              <w:start w:w="90" w:type="dxa"/>
              <w:bottom w:w="80" w:type="dxa"/>
              <w:end w:w="90" w:type="dxa"/>
            </w:tcMar>
            <w:vAlign w:val="top"/>
          </w:tcPr>
          <w:p>
            <w:pPr>
              <w:spacing w:after="0"/>
            </w:pPr>
            <w:r>
              <w:rPr>
                <w:rFonts w:ascii="Liberation Sans" w:hAnsi="Liberation Sans" w:eastAsia="Liberation Sans"/>
                <w:color w:val="1F2937"/>
                <w:sz w:val="16"/>
              </w:rPr>
              <w:t>Normal receipt</w:t>
            </w:r>
          </w:p>
        </w:tc>
        <w:tc>
          <w:tcPr>
            <w:tcW w:type="dxa" w:w="6803"/>
            <w:tcMar>
              <w:top w:w="80" w:type="dxa"/>
              <w:start w:w="90" w:type="dxa"/>
              <w:bottom w:w="80" w:type="dxa"/>
              <w:end w:w="90" w:type="dxa"/>
            </w:tcMar>
            <w:vAlign w:val="top"/>
          </w:tcPr>
          <w:p>
            <w:pPr>
              <w:spacing w:after="0"/>
            </w:pPr>
            <w:r>
              <w:rPr>
                <w:rFonts w:ascii="Liberation Sans" w:hAnsi="Liberation Sans" w:eastAsia="Liberation Sans"/>
                <w:color w:val="1F2937"/>
                <w:sz w:val="16"/>
              </w:rPr>
              <w:t>+ quantity, + landed value; WAC recalculates</w:t>
            </w:r>
          </w:p>
        </w:tc>
      </w:tr>
      <w:tr>
        <w:trPr>
          <w:cantSplit/>
        </w:trPr>
        <w:tc>
          <w:tcPr>
            <w:tcW w:type="dxa" w:w="2268"/>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Sale</w:t>
            </w:r>
          </w:p>
        </w:tc>
        <w:tc>
          <w:tcPr>
            <w:tcW w:type="dxa" w:w="6803"/>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 quantity, - value at chronological WAC snapshot</w:t>
            </w:r>
          </w:p>
        </w:tc>
      </w:tr>
      <w:tr>
        <w:trPr>
          <w:cantSplit/>
        </w:trPr>
        <w:tc>
          <w:tcPr>
            <w:tcW w:type="dxa" w:w="2268"/>
            <w:tcMar>
              <w:top w:w="80" w:type="dxa"/>
              <w:start w:w="90" w:type="dxa"/>
              <w:bottom w:w="80" w:type="dxa"/>
              <w:end w:w="90" w:type="dxa"/>
            </w:tcMar>
            <w:vAlign w:val="top"/>
          </w:tcPr>
          <w:p>
            <w:pPr>
              <w:spacing w:after="0"/>
            </w:pPr>
            <w:r>
              <w:rPr>
                <w:rFonts w:ascii="Liberation Sans" w:hAnsi="Liberation Sans" w:eastAsia="Liberation Sans"/>
                <w:color w:val="1F2937"/>
                <w:sz w:val="16"/>
              </w:rPr>
              <w:t>Late transport/direct cost</w:t>
            </w:r>
          </w:p>
        </w:tc>
        <w:tc>
          <w:tcPr>
            <w:tcW w:type="dxa" w:w="6803"/>
            <w:tcMar>
              <w:top w:w="80" w:type="dxa"/>
              <w:start w:w="90" w:type="dxa"/>
              <w:bottom w:w="80" w:type="dxa"/>
              <w:end w:w="90" w:type="dxa"/>
            </w:tcMar>
            <w:vAlign w:val="top"/>
          </w:tcPr>
          <w:p>
            <w:pPr>
              <w:spacing w:after="0"/>
            </w:pPr>
            <w:r>
              <w:rPr>
                <w:rFonts w:ascii="Liberation Sans" w:hAnsi="Liberation Sans" w:eastAsia="Liberation Sans"/>
                <w:color w:val="1F2937"/>
                <w:sz w:val="16"/>
              </w:rPr>
              <w:t>0 quantity revaluation plus split between remaining inventory and previously consumed COGS</w:t>
            </w:r>
          </w:p>
        </w:tc>
      </w:tr>
      <w:tr>
        <w:trPr>
          <w:cantSplit/>
        </w:trPr>
        <w:tc>
          <w:tcPr>
            <w:tcW w:type="dxa" w:w="2268"/>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Transfer</w:t>
            </w:r>
          </w:p>
        </w:tc>
        <w:tc>
          <w:tcPr>
            <w:tcW w:type="dxa" w:w="6803"/>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Source WAC carried to destination; approved direct transfer cost added explicitly</w:t>
            </w:r>
          </w:p>
        </w:tc>
      </w:tr>
      <w:tr>
        <w:trPr>
          <w:cantSplit/>
        </w:trPr>
        <w:tc>
          <w:tcPr>
            <w:tcW w:type="dxa" w:w="2268"/>
            <w:tcMar>
              <w:top w:w="80" w:type="dxa"/>
              <w:start w:w="90" w:type="dxa"/>
              <w:bottom w:w="80" w:type="dxa"/>
              <w:end w:w="90" w:type="dxa"/>
            </w:tcMar>
            <w:vAlign w:val="top"/>
          </w:tcPr>
          <w:p>
            <w:pPr>
              <w:spacing w:after="0"/>
            </w:pPr>
            <w:r>
              <w:rPr>
                <w:rFonts w:ascii="Liberation Sans" w:hAnsi="Liberation Sans" w:eastAsia="Liberation Sans"/>
                <w:color w:val="1F2937"/>
                <w:sz w:val="16"/>
              </w:rPr>
              <w:t>Stock adjustment</w:t>
            </w:r>
          </w:p>
        </w:tc>
        <w:tc>
          <w:tcPr>
            <w:tcW w:type="dxa" w:w="6803"/>
            <w:tcMar>
              <w:top w:w="80" w:type="dxa"/>
              <w:start w:w="90" w:type="dxa"/>
              <w:bottom w:w="80" w:type="dxa"/>
              <w:end w:w="90" w:type="dxa"/>
            </w:tcMar>
            <w:vAlign w:val="top"/>
          </w:tcPr>
          <w:p>
            <w:pPr>
              <w:spacing w:after="0"/>
            </w:pPr>
            <w:r>
              <w:rPr>
                <w:rFonts w:ascii="Liberation Sans" w:hAnsi="Liberation Sans" w:eastAsia="Liberation Sans"/>
                <w:color w:val="1F2937"/>
                <w:sz w:val="16"/>
              </w:rPr>
              <w:t>Approved signed movement with reason; normal negative stock prohibited</w:t>
            </w:r>
          </w:p>
        </w:tc>
      </w:tr>
    </w:tbl>
    <w:p>
      <w:pPr>
        <w:spacing w:after="40"/>
      </w:pPr>
    </w:p>
    <w:p>
      <w:pPr>
        <w:pStyle w:val="Heading1"/>
        <w:keepNext/>
        <w:spacing w:before="180" w:after="80"/>
      </w:pPr>
      <w:r>
        <w:rPr>
          <w:rFonts w:ascii="Liberation Sans" w:hAnsi="Liberation Sans" w:eastAsia="Liberation Sans"/>
          <w:b/>
          <w:color w:val="17324D"/>
          <w:sz w:val="36"/>
        </w:rPr>
        <w:t>8. Suppliers, Customers &amp; Expenses</w:t>
      </w:r>
    </w:p>
    <w:p>
      <w:pPr>
        <w:pStyle w:val="Heading2"/>
        <w:keepNext/>
        <w:spacing w:before="120" w:after="80"/>
      </w:pPr>
      <w:r>
        <w:rPr>
          <w:rFonts w:ascii="Liberation Sans" w:hAnsi="Liberation Sans" w:eastAsia="Liberation Sans"/>
          <w:b/>
          <w:color w:val="17324D"/>
          <w:sz w:val="27"/>
        </w:rPr>
        <w:t>8.1 Supplier / Creditor Model</w:t>
      </w:r>
    </w:p>
    <w:p>
      <w:pPr>
        <w:spacing w:after="100" w:line="259" w:lineRule="auto"/>
      </w:pPr>
      <w:r>
        <w:rPr>
          <w:rFonts w:ascii="Liberation Sans" w:hAnsi="Liberation Sans" w:eastAsia="Liberation Sans"/>
          <w:color w:val="1F2937"/>
          <w:sz w:val="18"/>
        </w:rPr>
        <w:t>Physical delivery, supplier invoice, supplier account movement and supplier payment are separate objects. This prevents commercial paperwork from rewriting physical stock and supports unbilled fuel exposure when fuel arrives before the invoice.</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381"/>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Capability</w:t>
            </w:r>
          </w:p>
        </w:tc>
        <w:tc>
          <w:tcPr>
            <w:tcW w:type="dxa" w:w="6690"/>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Design</w:t>
            </w:r>
          </w:p>
        </w:tc>
      </w:tr>
      <w:tr>
        <w:trPr>
          <w:cantSplit/>
        </w:trPr>
        <w:tc>
          <w:tcPr>
            <w:tcW w:type="dxa" w:w="2381"/>
            <w:tcMar>
              <w:top w:w="80" w:type="dxa"/>
              <w:start w:w="90" w:type="dxa"/>
              <w:bottom w:w="80" w:type="dxa"/>
              <w:end w:w="90" w:type="dxa"/>
            </w:tcMar>
            <w:vAlign w:val="top"/>
          </w:tcPr>
          <w:p>
            <w:pPr>
              <w:spacing w:after="0"/>
            </w:pPr>
            <w:r>
              <w:rPr>
                <w:rFonts w:ascii="Liberation Sans" w:hAnsi="Liberation Sans" w:eastAsia="Liberation Sans"/>
                <w:color w:val="1F2937"/>
                <w:sz w:val="16"/>
              </w:rPr>
              <w:t>Supplier invoices</w:t>
            </w:r>
          </w:p>
        </w:tc>
        <w:tc>
          <w:tcPr>
            <w:tcW w:type="dxa" w:w="6690"/>
            <w:tcMar>
              <w:top w:w="80" w:type="dxa"/>
              <w:start w:w="90" w:type="dxa"/>
              <w:bottom w:w="80" w:type="dxa"/>
              <w:end w:w="90" w:type="dxa"/>
            </w:tcMar>
            <w:vAlign w:val="top"/>
          </w:tcPr>
          <w:p>
            <w:pPr>
              <w:spacing w:after="0"/>
            </w:pPr>
            <w:r>
              <w:rPr>
                <w:rFonts w:ascii="Liberation Sans" w:hAnsi="Liberation Sans" w:eastAsia="Liberation Sans"/>
                <w:color w:val="1F2937"/>
                <w:sz w:val="16"/>
              </w:rPr>
              <w:t>Versioned workflow with due date/terms snapshot, duplicate control and supporting documents</w:t>
            </w:r>
          </w:p>
        </w:tc>
      </w:tr>
      <w:tr>
        <w:trPr>
          <w:cantSplit/>
        </w:trPr>
        <w:tc>
          <w:tcPr>
            <w:tcW w:type="dxa" w:w="2381"/>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Unbilled exposure</w:t>
            </w:r>
          </w:p>
        </w:tc>
        <w:tc>
          <w:tcPr>
            <w:tcW w:type="dxa" w:w="6690"/>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Posted delivery quantity/value not yet covered by posted supplier invoice allocations</w:t>
            </w:r>
          </w:p>
        </w:tc>
      </w:tr>
      <w:tr>
        <w:trPr>
          <w:cantSplit/>
        </w:trPr>
        <w:tc>
          <w:tcPr>
            <w:tcW w:type="dxa" w:w="2381"/>
            <w:tcMar>
              <w:top w:w="80" w:type="dxa"/>
              <w:start w:w="90" w:type="dxa"/>
              <w:bottom w:w="80" w:type="dxa"/>
              <w:end w:w="90" w:type="dxa"/>
            </w:tcMar>
            <w:vAlign w:val="top"/>
          </w:tcPr>
          <w:p>
            <w:pPr>
              <w:spacing w:after="0"/>
            </w:pPr>
            <w:r>
              <w:rPr>
                <w:rFonts w:ascii="Liberation Sans" w:hAnsi="Liberation Sans" w:eastAsia="Liberation Sans"/>
                <w:color w:val="1F2937"/>
                <w:sz w:val="16"/>
              </w:rPr>
              <w:t>Payments</w:t>
            </w:r>
          </w:p>
        </w:tc>
        <w:tc>
          <w:tcPr>
            <w:tcW w:type="dxa" w:w="6690"/>
            <w:tcMar>
              <w:top w:w="80" w:type="dxa"/>
              <w:start w:w="90" w:type="dxa"/>
              <w:bottom w:w="80" w:type="dxa"/>
              <w:end w:w="90" w:type="dxa"/>
            </w:tcMar>
            <w:vAlign w:val="top"/>
          </w:tcPr>
          <w:p>
            <w:pPr>
              <w:spacing w:after="0"/>
            </w:pPr>
            <w:r>
              <w:rPr>
                <w:rFonts w:ascii="Liberation Sans" w:hAnsi="Liberation Sans" w:eastAsia="Liberation Sans"/>
                <w:color w:val="1F2937"/>
                <w:sz w:val="16"/>
              </w:rPr>
              <w:t>Many-to-many payment ↔ invoice allocations; partial payments and unapplied prepayments supported</w:t>
            </w:r>
          </w:p>
        </w:tc>
      </w:tr>
      <w:tr>
        <w:trPr>
          <w:cantSplit/>
        </w:trPr>
        <w:tc>
          <w:tcPr>
            <w:tcW w:type="dxa" w:w="2381"/>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Credit notes</w:t>
            </w:r>
          </w:p>
        </w:tc>
        <w:tc>
          <w:tcPr>
            <w:tcW w:type="dxa" w:w="6690"/>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Append-only commercial reduction; paid invoices can result in unapplied supplier credit rather than negative invoice balance</w:t>
            </w:r>
          </w:p>
        </w:tc>
      </w:tr>
      <w:tr>
        <w:trPr>
          <w:cantSplit/>
        </w:trPr>
        <w:tc>
          <w:tcPr>
            <w:tcW w:type="dxa" w:w="2381"/>
            <w:tcMar>
              <w:top w:w="80" w:type="dxa"/>
              <w:start w:w="90" w:type="dxa"/>
              <w:bottom w:w="80" w:type="dxa"/>
              <w:end w:w="90" w:type="dxa"/>
            </w:tcMar>
            <w:vAlign w:val="top"/>
          </w:tcPr>
          <w:p>
            <w:pPr>
              <w:spacing w:after="0"/>
            </w:pPr>
            <w:r>
              <w:rPr>
                <w:rFonts w:ascii="Liberation Sans" w:hAnsi="Liberation Sans" w:eastAsia="Liberation Sans"/>
                <w:color w:val="1F2937"/>
                <w:sz w:val="16"/>
              </w:rPr>
              <w:t>Statements / aging</w:t>
            </w:r>
          </w:p>
        </w:tc>
        <w:tc>
          <w:tcPr>
            <w:tcW w:type="dxa" w:w="6690"/>
            <w:tcMar>
              <w:top w:w="80" w:type="dxa"/>
              <w:start w:w="90" w:type="dxa"/>
              <w:bottom w:w="80" w:type="dxa"/>
              <w:end w:w="90" w:type="dxa"/>
            </w:tcMar>
            <w:vAlign w:val="top"/>
          </w:tcPr>
          <w:p>
            <w:pPr>
              <w:spacing w:after="0"/>
            </w:pPr>
            <w:r>
              <w:rPr>
                <w:rFonts w:ascii="Liberation Sans" w:hAnsi="Liberation Sans" w:eastAsia="Liberation Sans"/>
                <w:color w:val="1F2937"/>
                <w:sz w:val="16"/>
              </w:rPr>
              <w:t>Movement/allocation-derived as-of reporting</w:t>
            </w:r>
          </w:p>
        </w:tc>
      </w:tr>
    </w:tbl>
    <w:p>
      <w:pPr>
        <w:spacing w:after="40"/>
      </w:pPr>
    </w:p>
    <w:p>
      <w:pPr>
        <w:pStyle w:val="Heading2"/>
        <w:keepNext/>
        <w:spacing w:before="120" w:after="80"/>
      </w:pPr>
      <w:r>
        <w:rPr>
          <w:rFonts w:ascii="Liberation Sans" w:hAnsi="Liberation Sans" w:eastAsia="Liberation Sans"/>
          <w:b/>
          <w:color w:val="17324D"/>
          <w:sz w:val="27"/>
        </w:rPr>
        <w:t>8.2 Customer Account Types</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551"/>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Type</w:t>
            </w:r>
          </w:p>
        </w:tc>
        <w:tc>
          <w:tcPr>
            <w:tcW w:type="dxa" w:w="6520"/>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Canonical balance / control</w:t>
            </w:r>
          </w:p>
        </w:tc>
      </w:tr>
      <w:tr>
        <w:trPr>
          <w:cantSplit/>
        </w:trPr>
        <w:tc>
          <w:tcPr>
            <w:tcW w:type="dxa" w:w="2551"/>
            <w:tcMar>
              <w:top w:w="80" w:type="dxa"/>
              <w:start w:w="90" w:type="dxa"/>
              <w:bottom w:w="80" w:type="dxa"/>
              <w:end w:w="90" w:type="dxa"/>
            </w:tcMar>
            <w:vAlign w:val="top"/>
          </w:tcPr>
          <w:p>
            <w:pPr>
              <w:spacing w:after="0"/>
            </w:pPr>
            <w:r>
              <w:rPr>
                <w:rFonts w:ascii="Liberation Sans" w:hAnsi="Liberation Sans" w:eastAsia="Liberation Sans"/>
                <w:color w:val="1F2937"/>
                <w:sz w:val="16"/>
              </w:rPr>
              <w:t>CREDIT</w:t>
            </w:r>
          </w:p>
        </w:tc>
        <w:tc>
          <w:tcPr>
            <w:tcW w:type="dxa" w:w="6520"/>
            <w:tcMar>
              <w:top w:w="80" w:type="dxa"/>
              <w:start w:w="90" w:type="dxa"/>
              <w:bottom w:w="80" w:type="dxa"/>
              <w:end w:w="90" w:type="dxa"/>
            </w:tcMar>
            <w:vAlign w:val="top"/>
          </w:tcPr>
          <w:p>
            <w:pPr>
              <w:spacing w:after="0"/>
            </w:pPr>
            <w:r>
              <w:rPr>
                <w:rFonts w:ascii="Liberation Sans" w:hAnsi="Liberation Sans" w:eastAsia="Liberation Sans"/>
                <w:color w:val="1F2937"/>
                <w:sz w:val="16"/>
              </w:rPr>
              <w:t>Receivable ledger + credit limit + reservations + billing mode/terms</w:t>
            </w:r>
          </w:p>
        </w:tc>
      </w:tr>
      <w:tr>
        <w:trPr>
          <w:cantSplit/>
        </w:trPr>
        <w:tc>
          <w:tcPr>
            <w:tcW w:type="dxa" w:w="2551"/>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PREPAID_VALUE</w:t>
            </w:r>
          </w:p>
        </w:tc>
        <w:tc>
          <w:tcPr>
            <w:tcW w:type="dxa" w:w="6520"/>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Currency-denominated stored value; no silent negative balance</w:t>
            </w:r>
          </w:p>
        </w:tc>
      </w:tr>
      <w:tr>
        <w:trPr>
          <w:cantSplit/>
        </w:trPr>
        <w:tc>
          <w:tcPr>
            <w:tcW w:type="dxa" w:w="2551"/>
            <w:tcMar>
              <w:top w:w="80" w:type="dxa"/>
              <w:start w:w="90" w:type="dxa"/>
              <w:bottom w:w="80" w:type="dxa"/>
              <w:end w:w="90" w:type="dxa"/>
            </w:tcMar>
            <w:vAlign w:val="top"/>
          </w:tcPr>
          <w:p>
            <w:pPr>
              <w:spacing w:after="0"/>
            </w:pPr>
            <w:r>
              <w:rPr>
                <w:rFonts w:ascii="Liberation Sans" w:hAnsi="Liberation Sans" w:eastAsia="Liberation Sans"/>
                <w:color w:val="1F2937"/>
                <w:sz w:val="16"/>
              </w:rPr>
              <w:t>PREPAID_LITRES</w:t>
            </w:r>
          </w:p>
        </w:tc>
        <w:tc>
          <w:tcPr>
            <w:tcW w:type="dxa" w:w="6520"/>
            <w:tcMar>
              <w:top w:w="80" w:type="dxa"/>
              <w:start w:w="90" w:type="dxa"/>
              <w:bottom w:w="80" w:type="dxa"/>
              <w:end w:w="90" w:type="dxa"/>
            </w:tcMar>
            <w:vAlign w:val="top"/>
          </w:tcPr>
          <w:p>
            <w:pPr>
              <w:spacing w:after="0"/>
            </w:pPr>
            <w:r>
              <w:rPr>
                <w:rFonts w:ascii="Liberation Sans" w:hAnsi="Liberation Sans" w:eastAsia="Liberation Sans"/>
                <w:color w:val="1F2937"/>
                <w:sz w:val="16"/>
              </w:rPr>
              <w:t>Product-specific litre balance keyed by account + product</w:t>
            </w:r>
          </w:p>
        </w:tc>
      </w:tr>
      <w:tr>
        <w:trPr>
          <w:cantSplit/>
        </w:trPr>
        <w:tc>
          <w:tcPr>
            <w:tcW w:type="dxa" w:w="2551"/>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BENEFIT</w:t>
            </w:r>
          </w:p>
        </w:tc>
        <w:tc>
          <w:tcPr>
            <w:tcW w:type="dxa" w:w="6520"/>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Allowance/classification policy for approved non-cash/internal fuel</w:t>
            </w:r>
          </w:p>
        </w:tc>
      </w:tr>
    </w:tbl>
    <w:p>
      <w:pPr>
        <w:spacing w:after="40"/>
      </w:pPr>
    </w:p>
    <w:p>
      <w:pPr>
        <w:pStyle w:val="Heading2"/>
        <w:keepNext/>
        <w:spacing w:before="120" w:after="80"/>
      </w:pPr>
      <w:r>
        <w:rPr>
          <w:rFonts w:ascii="Liberation Sans" w:hAnsi="Liberation Sans" w:eastAsia="Liberation Sans"/>
          <w:b/>
          <w:color w:val="17324D"/>
          <w:sz w:val="27"/>
        </w:rPr>
        <w:t>8.3 Customer Fuel Authorization</w:t>
      </w:r>
    </w:p>
    <w:tbl>
      <w:tblPr>
        <w:tblW w:type="auto" w:w="0"/>
        <w:jc w:val="center"/>
        <w:tblLook w:firstColumn="1" w:firstRow="1" w:lastColumn="0" w:lastRow="0" w:noHBand="0" w:noVBand="1" w:val="04A0"/>
      </w:tblPr>
      <w:tblGrid>
        <w:gridCol w:w="10036"/>
      </w:tblGrid>
      <w:tr>
        <w:tc>
          <w:tcPr>
            <w:tcW w:type="dxa" w:w="10036"/>
            <w:shd w:fill="F2F4F7"/>
            <w:tcMar>
              <w:top w:w="90" w:type="dxa"/>
              <w:start w:w="130" w:type="dxa"/>
              <w:bottom w:w="90" w:type="dxa"/>
              <w:end w:w="130" w:type="dxa"/>
            </w:tcMar>
          </w:tcPr>
          <w:p>
            <w:pPr>
              <w:spacing w:after="0"/>
            </w:pPr>
            <w:r>
              <w:rPr>
                <w:rFonts w:ascii="Liberation Mono" w:hAnsi="Liberation Mono" w:eastAsia="Liberation Mono"/>
                <w:color w:val="1F2937"/>
                <w:sz w:val="15"/>
              </w:rPr>
              <w:t>REQUESTED → AUTHORIZED / RESERVED → PARTIALLY_USED → COMPLETED</w:t>
            </w:r>
            <w:r>
              <w:br/>
            </w:r>
            <w:r>
              <w:rPr>
                <w:rFonts w:ascii="Liberation Mono" w:hAnsi="Liberation Mono" w:eastAsia="Liberation Mono"/>
                <w:color w:val="1F2937"/>
                <w:sz w:val="15"/>
              </w:rPr>
              <w:t xml:space="preserve">                 ├─ CANCELLED</w:t>
            </w:r>
            <w:r>
              <w:br/>
            </w:r>
            <w:r>
              <w:rPr>
                <w:rFonts w:ascii="Liberation Mono" w:hAnsi="Liberation Mono" w:eastAsia="Liberation Mono"/>
                <w:color w:val="1F2937"/>
                <w:sz w:val="15"/>
              </w:rPr>
              <w:t xml:space="preserve">                 └─ EXPIRED</w:t>
            </w:r>
            <w:r>
              <w:br/>
            </w:r>
            <w:r>
              <w:rPr>
                <w:rFonts w:ascii="Liberation Mono" w:hAnsi="Liberation Mono" w:eastAsia="Liberation Mono"/>
                <w:color w:val="1F2937"/>
                <w:sz w:val="15"/>
              </w:rPr>
              <w:t>Policy failure → REJECTED    Limit override → explicit approval request before over-limit reservation</w:t>
            </w:r>
          </w:p>
        </w:tc>
      </w:tr>
    </w:tbl>
    <w:p>
      <w:pPr>
        <w:spacing w:after="20"/>
      </w:pPr>
    </w:p>
    <w:p>
      <w:pPr>
        <w:spacing w:after="100" w:line="259" w:lineRule="auto"/>
      </w:pPr>
      <w:r>
        <w:rPr>
          <w:rFonts w:ascii="Liberation Sans" w:hAnsi="Liberation Sans" w:eastAsia="Liberation Sans"/>
          <w:color w:val="1F2937"/>
          <w:sz w:val="18"/>
        </w:rPr>
        <w:t>Reservations lock exposure/prepaid capacity transactionally so two attendants cannot both spend the same remaining credit or prepaid balance.</w:t>
      </w:r>
    </w:p>
    <w:p>
      <w:pPr>
        <w:pStyle w:val="Heading2"/>
        <w:keepNext/>
        <w:spacing w:before="120" w:after="80"/>
      </w:pPr>
      <w:r>
        <w:rPr>
          <w:rFonts w:ascii="Liberation Sans" w:hAnsi="Liberation Sans" w:eastAsia="Liberation Sans"/>
          <w:b/>
          <w:color w:val="17324D"/>
          <w:sz w:val="27"/>
        </w:rPr>
        <w:t>8.4 Billing &amp; Payments</w:t>
      </w:r>
    </w:p>
    <w:p>
      <w:pPr>
        <w:pStyle w:val="ListBullet"/>
        <w:spacing w:after="30" w:line="247" w:lineRule="auto"/>
        <w:ind w:left="255" w:hanging="113"/>
      </w:pPr>
      <w:r>
        <w:rPr>
          <w:rFonts w:ascii="Liberation Sans" w:hAnsi="Liberation Sans" w:eastAsia="Liberation Sans"/>
          <w:color w:val="1F2937"/>
          <w:sz w:val="18"/>
        </w:rPr>
        <w:t>Credit fuel creates receivable immediately; billing documents can be immediate/daily/weekly/monthly without creating the debt twice.</w:t>
      </w:r>
    </w:p>
    <w:p>
      <w:pPr>
        <w:pStyle w:val="ListBullet"/>
        <w:spacing w:after="30" w:line="247" w:lineRule="auto"/>
        <w:ind w:left="255" w:hanging="113"/>
      </w:pPr>
      <w:r>
        <w:rPr>
          <w:rFonts w:ascii="Liberation Sans" w:hAnsi="Liberation Sans" w:eastAsia="Liberation Sans"/>
          <w:color w:val="1F2937"/>
          <w:sz w:val="18"/>
        </w:rPr>
        <w:t>Customer payments may allocate across invoices; excess remains explicit unapplied credit unless refunded.</w:t>
      </w:r>
    </w:p>
    <w:p>
      <w:pPr>
        <w:pStyle w:val="ListBullet"/>
        <w:spacing w:after="30" w:line="247" w:lineRule="auto"/>
        <w:ind w:left="255" w:hanging="113"/>
      </w:pPr>
      <w:r>
        <w:rPr>
          <w:rFonts w:ascii="Liberation Sans" w:hAnsi="Liberation Sans" w:eastAsia="Liberation Sans"/>
          <w:color w:val="1F2937"/>
          <w:sz w:val="18"/>
        </w:rPr>
        <w:t>Cash customer payment atomically reduces receivable and increases physical cash custody.</w:t>
      </w:r>
    </w:p>
    <w:p>
      <w:pPr>
        <w:pStyle w:val="ListBullet"/>
        <w:spacing w:after="30" w:line="247" w:lineRule="auto"/>
        <w:ind w:left="255" w:hanging="113"/>
      </w:pPr>
      <w:r>
        <w:rPr>
          <w:rFonts w:ascii="Liberation Sans" w:hAnsi="Liberation Sans" w:eastAsia="Liberation Sans"/>
          <w:color w:val="1F2937"/>
          <w:sz w:val="18"/>
        </w:rPr>
        <w:t>Customer-specific pricing, station/product/vehicle/driver restrictions and policy versions are snapshotted for historical explainability.</w:t>
      </w:r>
    </w:p>
    <w:p>
      <w:pPr>
        <w:pStyle w:val="Heading2"/>
        <w:keepNext/>
        <w:spacing w:before="120" w:after="80"/>
      </w:pPr>
      <w:r>
        <w:rPr>
          <w:rFonts w:ascii="Liberation Sans" w:hAnsi="Liberation Sans" w:eastAsia="Liberation Sans"/>
          <w:b/>
          <w:color w:val="17324D"/>
          <w:sz w:val="27"/>
        </w:rPr>
        <w:t>8.5 Expenses &amp; Recurring Costs</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381"/>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Area</w:t>
            </w:r>
          </w:p>
        </w:tc>
        <w:tc>
          <w:tcPr>
            <w:tcW w:type="dxa" w:w="6690"/>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Rule</w:t>
            </w:r>
          </w:p>
        </w:tc>
      </w:tr>
      <w:tr>
        <w:trPr>
          <w:cantSplit/>
        </w:trPr>
        <w:tc>
          <w:tcPr>
            <w:tcW w:type="dxa" w:w="2381"/>
            <w:tcMar>
              <w:top w:w="80" w:type="dxa"/>
              <w:start w:w="90" w:type="dxa"/>
              <w:bottom w:w="80" w:type="dxa"/>
              <w:end w:w="90" w:type="dxa"/>
            </w:tcMar>
            <w:vAlign w:val="top"/>
          </w:tcPr>
          <w:p>
            <w:pPr>
              <w:spacing w:after="0"/>
            </w:pPr>
            <w:r>
              <w:rPr>
                <w:rFonts w:ascii="Liberation Sans" w:hAnsi="Liberation Sans" w:eastAsia="Liberation Sans"/>
                <w:color w:val="1F2937"/>
                <w:sz w:val="16"/>
              </w:rPr>
              <w:t>Daily expense</w:t>
            </w:r>
          </w:p>
        </w:tc>
        <w:tc>
          <w:tcPr>
            <w:tcW w:type="dxa" w:w="6690"/>
            <w:tcMar>
              <w:top w:w="80" w:type="dxa"/>
              <w:start w:w="90" w:type="dxa"/>
              <w:bottom w:w="80" w:type="dxa"/>
              <w:end w:w="90" w:type="dxa"/>
            </w:tcMar>
            <w:vAlign w:val="top"/>
          </w:tcPr>
          <w:p>
            <w:pPr>
              <w:spacing w:after="0"/>
            </w:pPr>
            <w:r>
              <w:rPr>
                <w:rFonts w:ascii="Liberation Sans" w:hAnsi="Liberation Sans" w:eastAsia="Liberation Sans"/>
                <w:color w:val="1F2937"/>
                <w:sz w:val="16"/>
              </w:rPr>
              <w:t>Economic expense document plus separate settlement source (cash/bank/payable/reimbursement)</w:t>
            </w:r>
          </w:p>
        </w:tc>
      </w:tr>
      <w:tr>
        <w:trPr>
          <w:cantSplit/>
        </w:trPr>
        <w:tc>
          <w:tcPr>
            <w:tcW w:type="dxa" w:w="2381"/>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Cash paid before approval</w:t>
            </w:r>
          </w:p>
        </w:tc>
        <w:tc>
          <w:tcPr>
            <w:tcW w:type="dxa" w:w="6690"/>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Cash movement remains physical truth even if later expense approval fails; a resolution exception handles the business problem</w:t>
            </w:r>
          </w:p>
        </w:tc>
      </w:tr>
      <w:tr>
        <w:trPr>
          <w:cantSplit/>
        </w:trPr>
        <w:tc>
          <w:tcPr>
            <w:tcW w:type="dxa" w:w="2381"/>
            <w:tcMar>
              <w:top w:w="80" w:type="dxa"/>
              <w:start w:w="90" w:type="dxa"/>
              <w:bottom w:w="80" w:type="dxa"/>
              <w:end w:w="90" w:type="dxa"/>
            </w:tcMar>
            <w:vAlign w:val="top"/>
          </w:tcPr>
          <w:p>
            <w:pPr>
              <w:spacing w:after="0"/>
            </w:pPr>
            <w:r>
              <w:rPr>
                <w:rFonts w:ascii="Liberation Sans" w:hAnsi="Liberation Sans" w:eastAsia="Liberation Sans"/>
                <w:color w:val="1F2937"/>
                <w:sz w:val="16"/>
              </w:rPr>
              <w:t>Direct inventory cost</w:t>
            </w:r>
          </w:p>
        </w:tc>
        <w:tc>
          <w:tcPr>
            <w:tcW w:type="dxa" w:w="6690"/>
            <w:tcMar>
              <w:top w:w="80" w:type="dxa"/>
              <w:start w:w="90" w:type="dxa"/>
              <w:bottom w:w="80" w:type="dxa"/>
              <w:end w:w="90" w:type="dxa"/>
            </w:tcMar>
            <w:vAlign w:val="top"/>
          </w:tcPr>
          <w:p>
            <w:pPr>
              <w:spacing w:after="0"/>
            </w:pPr>
            <w:r>
              <w:rPr>
                <w:rFonts w:ascii="Liberation Sans" w:hAnsi="Liberation Sans" w:eastAsia="Liberation Sans"/>
                <w:color w:val="1F2937"/>
                <w:sz w:val="16"/>
              </w:rPr>
              <w:t>Classified separately so landed cost is not deducted twice as operating expense</w:t>
            </w:r>
          </w:p>
        </w:tc>
      </w:tr>
      <w:tr>
        <w:trPr>
          <w:cantSplit/>
        </w:trPr>
        <w:tc>
          <w:tcPr>
            <w:tcW w:type="dxa" w:w="2381"/>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Recurring fixed cost</w:t>
            </w:r>
          </w:p>
        </w:tc>
        <w:tc>
          <w:tcPr>
            <w:tcW w:type="dxa" w:w="6690"/>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Template → period obligation → daily recognition → payment allocation</w:t>
            </w:r>
          </w:p>
        </w:tc>
      </w:tr>
      <w:tr>
        <w:trPr>
          <w:cantSplit/>
        </w:trPr>
        <w:tc>
          <w:tcPr>
            <w:tcW w:type="dxa" w:w="2381"/>
            <w:tcMar>
              <w:top w:w="80" w:type="dxa"/>
              <w:start w:w="90" w:type="dxa"/>
              <w:bottom w:w="80" w:type="dxa"/>
              <w:end w:w="90" w:type="dxa"/>
            </w:tcMar>
            <w:vAlign w:val="top"/>
          </w:tcPr>
          <w:p>
            <w:pPr>
              <w:spacing w:after="0"/>
            </w:pPr>
            <w:r>
              <w:rPr>
                <w:rFonts w:ascii="Liberation Sans" w:hAnsi="Liberation Sans" w:eastAsia="Liberation Sans"/>
                <w:color w:val="1F2937"/>
                <w:sz w:val="16"/>
              </w:rPr>
              <w:t>Payroll future integration</w:t>
            </w:r>
          </w:p>
        </w:tc>
        <w:tc>
          <w:tcPr>
            <w:tcW w:type="dxa" w:w="6690"/>
            <w:tcMar>
              <w:top w:w="80" w:type="dxa"/>
              <w:start w:w="90" w:type="dxa"/>
              <w:bottom w:w="80" w:type="dxa"/>
              <w:end w:w="90" w:type="dxa"/>
            </w:tcMar>
            <w:vAlign w:val="top"/>
          </w:tcPr>
          <w:p>
            <w:pPr>
              <w:spacing w:after="0"/>
            </w:pPr>
            <w:r>
              <w:rPr>
                <w:rFonts w:ascii="Liberation Sans" w:hAnsi="Liberation Sans" w:eastAsia="Liberation Sans"/>
                <w:color w:val="1F2937"/>
                <w:sz w:val="16"/>
              </w:rPr>
              <w:t>ShandaHR remains authoritative; Fuel receives explicit API data and prevents duplicate manual recognition</w:t>
            </w:r>
          </w:p>
        </w:tc>
      </w:tr>
    </w:tbl>
    <w:p>
      <w:pPr>
        <w:spacing w:after="40"/>
      </w:pPr>
    </w:p>
    <w:p>
      <w:pPr>
        <w:pStyle w:val="Heading1"/>
        <w:keepNext/>
        <w:spacing w:before="180" w:after="80"/>
      </w:pPr>
      <w:r>
        <w:rPr>
          <w:rFonts w:ascii="Liberation Sans" w:hAnsi="Liberation Sans" w:eastAsia="Liberation Sans"/>
          <w:b/>
          <w:color w:val="17324D"/>
          <w:sz w:val="36"/>
        </w:rPr>
        <w:t>9. Cash, Banking &amp; Electronic Settlements</w:t>
      </w:r>
    </w:p>
    <w:p>
      <w:pPr>
        <w:pStyle w:val="Heading2"/>
        <w:keepNext/>
        <w:spacing w:before="120" w:after="80"/>
      </w:pPr>
      <w:r>
        <w:rPr>
          <w:rFonts w:ascii="Liberation Sans" w:hAnsi="Liberation Sans" w:eastAsia="Liberation Sans"/>
          <w:b/>
          <w:color w:val="17324D"/>
          <w:sz w:val="27"/>
        </w:rPr>
        <w:t>9.1 Cash Custody</w:t>
      </w:r>
    </w:p>
    <w:p>
      <w:pPr>
        <w:jc w:val="center"/>
      </w:pPr>
      <w:r>
        <w:drawing>
          <wp:inline xmlns:a="http://schemas.openxmlformats.org/drawingml/2006/main" xmlns:pic="http://schemas.openxmlformats.org/drawingml/2006/picture">
            <wp:extent cx="5669280" cy="3335261"/>
            <wp:docPr id="5" name="Picture 5" descr="Cash custody flow showing station safe, sender confirmation, transit, collector, deposit pending, bank confirmed and dispute custody." title="Figure 5. Cash custody from station safe to bank confirmation, including transit and dispute custody."/>
            <wp:cNvGraphicFramePr>
              <a:graphicFrameLocks noChangeAspect="1"/>
            </wp:cNvGraphicFramePr>
            <a:graphic>
              <a:graphicData uri="http://schemas.openxmlformats.org/drawingml/2006/picture">
                <pic:pic>
                  <pic:nvPicPr>
                    <pic:cNvPr id="0" name="05_cash_custody.png"/>
                    <pic:cNvPicPr/>
                  </pic:nvPicPr>
                  <pic:blipFill>
                    <a:blip r:embed="rId15"/>
                    <a:stretch>
                      <a:fillRect/>
                    </a:stretch>
                  </pic:blipFill>
                  <pic:spPr>
                    <a:xfrm>
                      <a:off x="0" y="0"/>
                      <a:ext cx="5669280" cy="3335261"/>
                    </a:xfrm>
                    <a:prstGeom prst="rect"/>
                  </pic:spPr>
                </pic:pic>
              </a:graphicData>
            </a:graphic>
          </wp:inline>
        </w:drawing>
      </w:r>
    </w:p>
    <w:p>
      <w:pPr>
        <w:pStyle w:val="Caption"/>
        <w:jc w:val="center"/>
      </w:pPr>
      <w:r>
        <w:rPr>
          <w:i/>
          <w:color w:val="667085"/>
          <w:sz w:val="18"/>
        </w:rPr>
        <w:t>Figure 5. Cash custody from station safe to bank confirmation, including transit and dispute custody.</w:t>
      </w:r>
    </w:p>
    <w:p>
      <w:pPr>
        <w:spacing w:after="100" w:line="259" w:lineRule="auto"/>
      </w:pPr>
      <w:r>
        <w:rPr>
          <w:rFonts w:ascii="Liberation Sans" w:hAnsi="Liberation Sans" w:eastAsia="Liberation Sans"/>
          <w:color w:val="1F2937"/>
          <w:sz w:val="18"/>
        </w:rPr>
        <w:t>Physical cash is tracked by location, custodian and currency. Internal handovers conserve value and use explicit transit/dispute custody so the same cash is never simultaneously counted at two locations.</w:t>
      </w:r>
    </w:p>
    <w:tbl>
      <w:tblPr>
        <w:tblW w:type="auto" w:w="0"/>
        <w:jc w:val="center"/>
        <w:tblLook w:firstColumn="1" w:firstRow="1" w:lastColumn="0" w:lastRow="0" w:noHBand="0" w:noVBand="1" w:val="04A0"/>
      </w:tblPr>
      <w:tblGrid>
        <w:gridCol w:w="10036"/>
      </w:tblGrid>
      <w:tr>
        <w:tc>
          <w:tcPr>
            <w:tcW w:type="dxa" w:w="10036"/>
            <w:shd w:fill="F2F4F7"/>
            <w:tcMar>
              <w:top w:w="90" w:type="dxa"/>
              <w:start w:w="130" w:type="dxa"/>
              <w:bottom w:w="90" w:type="dxa"/>
              <w:end w:w="130" w:type="dxa"/>
            </w:tcMar>
          </w:tcPr>
          <w:p>
            <w:pPr>
              <w:spacing w:after="0"/>
            </w:pPr>
            <w:r>
              <w:rPr>
                <w:rFonts w:ascii="Liberation Mono" w:hAnsi="Liberation Mono" w:eastAsia="Liberation Mono"/>
                <w:color w:val="1F2937"/>
                <w:sz w:val="15"/>
              </w:rPr>
              <w:t>Station Safe</w:t>
            </w:r>
            <w:r>
              <w:br/>
            </w:r>
            <w:r>
              <w:rPr>
                <w:rFonts w:ascii="Liberation Mono" w:hAnsi="Liberation Mono" w:eastAsia="Liberation Mono"/>
                <w:color w:val="1F2937"/>
                <w:sz w:val="15"/>
              </w:rPr>
              <w:t xml:space="preserve">   └─ Sender confirmation → Handover Transit</w:t>
            </w:r>
            <w:r>
              <w:br/>
            </w:r>
            <w:r>
              <w:rPr>
                <w:rFonts w:ascii="Liberation Mono" w:hAnsi="Liberation Mono" w:eastAsia="Liberation Mono"/>
                <w:color w:val="1F2937"/>
                <w:sz w:val="15"/>
              </w:rPr>
              <w:t xml:space="preserve">         ├─ Receiver agrees → Collector / Management Custody</w:t>
            </w:r>
            <w:r>
              <w:br/>
            </w:r>
            <w:r>
              <w:rPr>
                <w:rFonts w:ascii="Liberation Mono" w:hAnsi="Liberation Mono" w:eastAsia="Liberation Mono"/>
                <w:color w:val="1F2937"/>
                <w:sz w:val="15"/>
              </w:rPr>
              <w:t xml:space="preserve">         └─ Receiver differs → Acknowledged Custody + Dispute Custody</w:t>
            </w:r>
            <w:r>
              <w:br/>
            </w:r>
            <w:r>
              <w:rPr>
                <w:rFonts w:ascii="Liberation Mono" w:hAnsi="Liberation Mono" w:eastAsia="Liberation Mono"/>
                <w:color w:val="1F2937"/>
                <w:sz w:val="15"/>
              </w:rPr>
              <w:t xml:space="preserve">               └─ Deposit Recorded → Deposit Pending → Bank Confirmed</w:t>
            </w:r>
          </w:p>
        </w:tc>
      </w:tr>
    </w:tbl>
    <w:p>
      <w:pPr>
        <w:spacing w:after="20"/>
      </w:pPr>
    </w:p>
    <w:p>
      <w:pPr>
        <w:pStyle w:val="Heading2"/>
        <w:keepNext/>
        <w:spacing w:before="120" w:after="80"/>
      </w:pPr>
      <w:r>
        <w:rPr>
          <w:rFonts w:ascii="Liberation Sans" w:hAnsi="Liberation Sans" w:eastAsia="Liberation Sans"/>
          <w:b/>
          <w:color w:val="17324D"/>
          <w:sz w:val="27"/>
        </w:rPr>
        <w:t>9.2 Expected Physical Cash</w:t>
      </w:r>
    </w:p>
    <w:tbl>
      <w:tblPr>
        <w:tblW w:type="auto" w:w="0"/>
        <w:jc w:val="center"/>
        <w:tblLayout w:type="autofit"/>
        <w:tblLook w:firstColumn="1" w:firstRow="1" w:lastColumn="0" w:lastRow="0" w:noHBand="0" w:noVBand="1" w:val="04A0"/>
      </w:tblPr>
      <w:tblGrid>
        <w:gridCol w:w="10036"/>
      </w:tblGrid>
      <w:tr>
        <w:tc>
          <w:tcPr>
            <w:tcW w:type="dxa" w:w="10036"/>
            <w:shd w:fill="EAF5F3"/>
            <w:tcMar>
              <w:top w:w="110" w:type="dxa"/>
              <w:start w:w="150" w:type="dxa"/>
              <w:bottom w:w="110" w:type="dxa"/>
              <w:end w:w="150" w:type="dxa"/>
            </w:tcMar>
          </w:tcPr>
          <w:p>
            <w:pPr>
              <w:spacing w:after="40"/>
            </w:pPr>
            <w:r>
              <w:rPr>
                <w:rFonts w:ascii="Liberation Sans" w:hAnsi="Liberation Sans" w:eastAsia="Liberation Sans"/>
                <w:b/>
                <w:color w:val="0F766E"/>
                <w:sz w:val="19"/>
              </w:rPr>
              <w:t>FORMULA</w:t>
            </w:r>
          </w:p>
          <w:p>
            <w:pPr>
              <w:spacing w:after="0"/>
            </w:pPr>
            <w:r>
              <w:rPr>
                <w:rFonts w:ascii="Liberation Sans" w:hAnsi="Liberation Sans" w:eastAsia="Liberation Sans"/>
                <w:color w:val="1F2937"/>
                <w:sz w:val="18"/>
              </w:rPr>
              <w:t>Expected physical cash = opening physical cash + cash receipts - cash disbursements - confirmed collections ± approved cash adjustments. “Cash sales” and “cash receipts” are not interchangeable because customer debt payments/prepaid top-ups can add cash without being same-day fuel sales.</w:t>
            </w:r>
          </w:p>
        </w:tc>
      </w:tr>
    </w:tbl>
    <w:p>
      <w:pPr>
        <w:spacing w:after="20"/>
      </w:pPr>
    </w:p>
    <w:p>
      <w:pPr>
        <w:pStyle w:val="Heading2"/>
        <w:keepNext/>
        <w:spacing w:before="120" w:after="80"/>
      </w:pPr>
      <w:r>
        <w:rPr>
          <w:rFonts w:ascii="Liberation Sans" w:hAnsi="Liberation Sans" w:eastAsia="Liberation Sans"/>
          <w:b/>
          <w:color w:val="17324D"/>
          <w:sz w:val="27"/>
        </w:rPr>
        <w:t>9.3 Banking</w:t>
      </w:r>
    </w:p>
    <w:p>
      <w:pPr>
        <w:pStyle w:val="ListBullet"/>
        <w:spacing w:after="30" w:line="247" w:lineRule="auto"/>
        <w:ind w:left="255" w:hanging="113"/>
      </w:pPr>
      <w:r>
        <w:rPr>
          <w:rFonts w:ascii="Liberation Sans" w:hAnsi="Liberation Sans" w:eastAsia="Liberation Sans"/>
          <w:color w:val="1F2937"/>
          <w:sz w:val="18"/>
        </w:rPr>
        <w:t>Bank account master data is sensitive; high-risk changes require step-up authentication and approval.</w:t>
      </w:r>
    </w:p>
    <w:p>
      <w:pPr>
        <w:pStyle w:val="ListBullet"/>
        <w:spacing w:after="30" w:line="247" w:lineRule="auto"/>
        <w:ind w:left="255" w:hanging="113"/>
      </w:pPr>
      <w:r>
        <w:rPr>
          <w:rFonts w:ascii="Liberation Sans" w:hAnsi="Liberation Sans" w:eastAsia="Liberation Sans"/>
          <w:color w:val="1F2937"/>
          <w:sz w:val="18"/>
        </w:rPr>
        <w:t>A recorded deposit is not automatically confirmed bank money. Deposit pending and bank-confirmed stages are separate.</w:t>
      </w:r>
    </w:p>
    <w:p>
      <w:pPr>
        <w:pStyle w:val="ListBullet"/>
        <w:spacing w:after="30" w:line="247" w:lineRule="auto"/>
        <w:ind w:left="255" w:hanging="113"/>
      </w:pPr>
      <w:r>
        <w:rPr>
          <w:rFonts w:ascii="Liberation Sans" w:hAnsi="Liberation Sans" w:eastAsia="Liberation Sans"/>
          <w:color w:val="1F2937"/>
          <w:sz w:val="18"/>
        </w:rPr>
        <w:t>V1 can use manual bank confirmation by Finance/Owner. Future statement adapters fit the existing model without changing cash custody logic.</w:t>
      </w:r>
    </w:p>
    <w:p>
      <w:pPr>
        <w:pStyle w:val="ListBullet"/>
        <w:spacing w:after="30" w:line="247" w:lineRule="auto"/>
        <w:ind w:left="255" w:hanging="113"/>
      </w:pPr>
      <w:r>
        <w:rPr>
          <w:rFonts w:ascii="Liberation Sans" w:hAnsi="Liberation Sans" w:eastAsia="Liberation Sans"/>
          <w:color w:val="1F2937"/>
          <w:sz w:val="18"/>
        </w:rPr>
        <w:t>Tracked bank balance is only as complete as imported/confirmed bank movements; reports disclose completeness rather than claiming a true bank statement balance without evidence.</w:t>
      </w:r>
    </w:p>
    <w:p>
      <w:pPr>
        <w:pStyle w:val="Heading2"/>
        <w:keepNext/>
        <w:spacing w:before="120" w:after="80"/>
      </w:pPr>
      <w:r>
        <w:rPr>
          <w:rFonts w:ascii="Liberation Sans" w:hAnsi="Liberation Sans" w:eastAsia="Liberation Sans"/>
          <w:b/>
          <w:color w:val="17324D"/>
          <w:sz w:val="27"/>
        </w:rPr>
        <w:t>9.4 POS / EcoCash / Provider Settlement</w:t>
      </w:r>
    </w:p>
    <w:tbl>
      <w:tblPr>
        <w:tblW w:type="auto" w:w="0"/>
        <w:jc w:val="center"/>
        <w:tblLook w:firstColumn="1" w:firstRow="1" w:lastColumn="0" w:lastRow="0" w:noHBand="0" w:noVBand="1" w:val="04A0"/>
      </w:tblPr>
      <w:tblGrid>
        <w:gridCol w:w="10036"/>
      </w:tblGrid>
      <w:tr>
        <w:tc>
          <w:tcPr>
            <w:tcW w:type="dxa" w:w="10036"/>
            <w:shd w:fill="F2F4F7"/>
            <w:tcMar>
              <w:top w:w="90" w:type="dxa"/>
              <w:start w:w="130" w:type="dxa"/>
              <w:bottom w:w="90" w:type="dxa"/>
              <w:end w:w="130" w:type="dxa"/>
            </w:tcMar>
          </w:tcPr>
          <w:p>
            <w:pPr>
              <w:spacing w:after="0"/>
            </w:pPr>
            <w:r>
              <w:rPr>
                <w:rFonts w:ascii="Liberation Mono" w:hAnsi="Liberation Mono" w:eastAsia="Liberation Mono"/>
                <w:color w:val="1F2937"/>
                <w:sz w:val="15"/>
              </w:rPr>
              <w:t>Station Declaration</w:t>
            </w:r>
            <w:r>
              <w:br/>
            </w:r>
            <w:r>
              <w:rPr>
                <w:rFonts w:ascii="Liberation Mono" w:hAnsi="Liberation Mono" w:eastAsia="Liberation Mono"/>
                <w:color w:val="1F2937"/>
                <w:sz w:val="15"/>
              </w:rPr>
              <w:t xml:space="preserve">   → Provider Receivable</w:t>
            </w:r>
            <w:r>
              <w:br/>
            </w:r>
            <w:r>
              <w:rPr>
                <w:rFonts w:ascii="Liberation Mono" w:hAnsi="Liberation Mono" w:eastAsia="Liberation Mono"/>
                <w:color w:val="1F2937"/>
                <w:sz w:val="15"/>
              </w:rPr>
              <w:t xml:space="preserve">      → Provider Batch / Statement</w:t>
            </w:r>
            <w:r>
              <w:br/>
            </w:r>
            <w:r>
              <w:rPr>
                <w:rFonts w:ascii="Liberation Mono" w:hAnsi="Liberation Mono" w:eastAsia="Liberation Mono"/>
                <w:color w:val="1F2937"/>
                <w:sz w:val="15"/>
              </w:rPr>
              <w:t xml:space="preserve">         → Fees / refunds / reversals</w:t>
            </w:r>
            <w:r>
              <w:br/>
            </w:r>
            <w:r>
              <w:rPr>
                <w:rFonts w:ascii="Liberation Mono" w:hAnsi="Liberation Mono" w:eastAsia="Liberation Mono"/>
                <w:color w:val="1F2937"/>
                <w:sz w:val="15"/>
              </w:rPr>
              <w:t xml:space="preserve">            → Settlement</w:t>
            </w:r>
            <w:r>
              <w:br/>
            </w:r>
            <w:r>
              <w:rPr>
                <w:rFonts w:ascii="Liberation Mono" w:hAnsi="Liberation Mono" w:eastAsia="Liberation Mono"/>
                <w:color w:val="1F2937"/>
                <w:sz w:val="15"/>
              </w:rPr>
              <w:t xml:space="preserve">               → Bank Receipt</w:t>
            </w:r>
            <w:r>
              <w:br/>
            </w:r>
            <w:r>
              <w:rPr>
                <w:rFonts w:ascii="Liberation Mono" w:hAnsi="Liberation Mono" w:eastAsia="Liberation Mono"/>
                <w:color w:val="1F2937"/>
                <w:sz w:val="15"/>
              </w:rPr>
              <w:t xml:space="preserve">                  → Difference? resolve via exception, not station-shortage rewrite</w:t>
            </w:r>
          </w:p>
        </w:tc>
      </w:tr>
    </w:tbl>
    <w:p>
      <w:pPr>
        <w:spacing w:after="20"/>
      </w:pP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551"/>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Metric</w:t>
            </w:r>
          </w:p>
        </w:tc>
        <w:tc>
          <w:tcPr>
            <w:tcW w:type="dxa" w:w="6520"/>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Definition</w:t>
            </w:r>
          </w:p>
        </w:tc>
      </w:tr>
      <w:tr>
        <w:trPr>
          <w:cantSplit/>
        </w:trPr>
        <w:tc>
          <w:tcPr>
            <w:tcW w:type="dxa" w:w="2551"/>
            <w:tcMar>
              <w:top w:w="80" w:type="dxa"/>
              <w:start w:w="90" w:type="dxa"/>
              <w:bottom w:w="80" w:type="dxa"/>
              <w:end w:w="90" w:type="dxa"/>
            </w:tcMar>
            <w:vAlign w:val="top"/>
          </w:tcPr>
          <w:p>
            <w:pPr>
              <w:spacing w:after="0"/>
            </w:pPr>
            <w:r>
              <w:rPr>
                <w:rFonts w:ascii="Liberation Sans" w:hAnsi="Liberation Sans" w:eastAsia="Liberation Sans"/>
                <w:color w:val="1F2937"/>
                <w:sz w:val="16"/>
              </w:rPr>
              <w:t>Expected net settlement</w:t>
            </w:r>
          </w:p>
        </w:tc>
        <w:tc>
          <w:tcPr>
            <w:tcW w:type="dxa" w:w="6520"/>
            <w:tcMar>
              <w:top w:w="80" w:type="dxa"/>
              <w:start w:w="90" w:type="dxa"/>
              <w:bottom w:w="80" w:type="dxa"/>
              <w:end w:w="90" w:type="dxa"/>
            </w:tcMar>
            <w:vAlign w:val="top"/>
          </w:tcPr>
          <w:p>
            <w:pPr>
              <w:spacing w:after="0"/>
            </w:pPr>
            <w:r>
              <w:rPr>
                <w:rFonts w:ascii="Liberation Sans" w:hAnsi="Liberation Sans" w:eastAsia="Liberation Sans"/>
                <w:color w:val="1F2937"/>
                <w:sz w:val="16"/>
              </w:rPr>
              <w:t>Gross provider sales - refunds/reversals - provider charges</w:t>
            </w:r>
          </w:p>
        </w:tc>
      </w:tr>
      <w:tr>
        <w:trPr>
          <w:cantSplit/>
        </w:trPr>
        <w:tc>
          <w:tcPr>
            <w:tcW w:type="dxa" w:w="2551"/>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Settlement variance</w:t>
            </w:r>
          </w:p>
        </w:tc>
        <w:tc>
          <w:tcPr>
            <w:tcW w:type="dxa" w:w="6520"/>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Actual bank settlement - expected net settlement</w:t>
            </w:r>
          </w:p>
        </w:tc>
      </w:tr>
      <w:tr>
        <w:trPr>
          <w:cantSplit/>
        </w:trPr>
        <w:tc>
          <w:tcPr>
            <w:tcW w:type="dxa" w:w="2551"/>
            <w:tcMar>
              <w:top w:w="80" w:type="dxa"/>
              <w:start w:w="90" w:type="dxa"/>
              <w:bottom w:w="80" w:type="dxa"/>
              <w:end w:w="90" w:type="dxa"/>
            </w:tcMar>
            <w:vAlign w:val="top"/>
          </w:tcPr>
          <w:p>
            <w:pPr>
              <w:spacing w:after="0"/>
            </w:pPr>
            <w:r>
              <w:rPr>
                <w:rFonts w:ascii="Liberation Sans" w:hAnsi="Liberation Sans" w:eastAsia="Liberation Sans"/>
                <w:color w:val="1F2937"/>
                <w:sz w:val="16"/>
              </w:rPr>
              <w:t>Provider fee</w:t>
            </w:r>
          </w:p>
        </w:tc>
        <w:tc>
          <w:tcPr>
            <w:tcW w:type="dxa" w:w="6520"/>
            <w:tcMar>
              <w:top w:w="80" w:type="dxa"/>
              <w:start w:w="90" w:type="dxa"/>
              <w:bottom w:w="80" w:type="dxa"/>
              <w:end w:w="90" w:type="dxa"/>
            </w:tcMar>
            <w:vAlign w:val="top"/>
          </w:tcPr>
          <w:p>
            <w:pPr>
              <w:spacing w:after="0"/>
            </w:pPr>
            <w:r>
              <w:rPr>
                <w:rFonts w:ascii="Liberation Sans" w:hAnsi="Liberation Sans" w:eastAsia="Liberation Sans"/>
                <w:color w:val="1F2937"/>
                <w:sz w:val="16"/>
              </w:rPr>
              <w:t>Expense + provider account reduction; never unexplained cash/sales shortage</w:t>
            </w:r>
          </w:p>
        </w:tc>
      </w:tr>
    </w:tbl>
    <w:p>
      <w:pPr>
        <w:spacing w:after="40"/>
      </w:pPr>
    </w:p>
    <w:p>
      <w:pPr>
        <w:pStyle w:val="Heading1"/>
        <w:keepNext/>
        <w:spacing w:before="180" w:after="80"/>
      </w:pPr>
      <w:r>
        <w:rPr>
          <w:rFonts w:ascii="Liberation Sans" w:hAnsi="Liberation Sans" w:eastAsia="Liberation Sans"/>
          <w:b/>
          <w:color w:val="17324D"/>
          <w:sz w:val="36"/>
        </w:rPr>
        <w:t>10. Profitability, Operational Position &amp; Reporting</w:t>
      </w:r>
    </w:p>
    <w:p>
      <w:pPr>
        <w:pStyle w:val="Heading2"/>
        <w:keepNext/>
        <w:spacing w:before="120" w:after="80"/>
      </w:pPr>
      <w:r>
        <w:rPr>
          <w:rFonts w:ascii="Liberation Sans" w:hAnsi="Liberation Sans" w:eastAsia="Liberation Sans"/>
          <w:b/>
          <w:color w:val="17324D"/>
          <w:sz w:val="27"/>
        </w:rPr>
        <w:t>10.1 Profitability</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438"/>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Metric</w:t>
            </w:r>
          </w:p>
        </w:tc>
        <w:tc>
          <w:tcPr>
            <w:tcW w:type="dxa" w:w="6633"/>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Canonical source / formula</w:t>
            </w:r>
          </w:p>
        </w:tc>
      </w:tr>
      <w:tr>
        <w:trPr>
          <w:cantSplit/>
        </w:trPr>
        <w:tc>
          <w:tcPr>
            <w:tcW w:type="dxa" w:w="2438"/>
            <w:tcMar>
              <w:top w:w="80" w:type="dxa"/>
              <w:start w:w="90" w:type="dxa"/>
              <w:bottom w:w="80" w:type="dxa"/>
              <w:end w:w="90" w:type="dxa"/>
            </w:tcMar>
            <w:vAlign w:val="top"/>
          </w:tcPr>
          <w:p>
            <w:pPr>
              <w:spacing w:after="0"/>
            </w:pPr>
            <w:r>
              <w:rPr>
                <w:rFonts w:ascii="Liberation Sans" w:hAnsi="Liberation Sans" w:eastAsia="Liberation Sans"/>
                <w:color w:val="1F2937"/>
                <w:sz w:val="16"/>
              </w:rPr>
              <w:t>Revenue</w:t>
            </w:r>
          </w:p>
        </w:tc>
        <w:tc>
          <w:tcPr>
            <w:tcW w:type="dxa" w:w="6633"/>
            <w:tcMar>
              <w:top w:w="80" w:type="dxa"/>
              <w:start w:w="90" w:type="dxa"/>
              <w:bottom w:w="80" w:type="dxa"/>
              <w:end w:w="90" w:type="dxa"/>
            </w:tcMar>
            <w:vAlign w:val="top"/>
          </w:tcPr>
          <w:p>
            <w:pPr>
              <w:spacing w:after="0"/>
            </w:pPr>
            <w:r>
              <w:rPr>
                <w:rFonts w:ascii="Liberation Sans" w:hAnsi="Liberation Sans" w:eastAsia="Liberation Sans"/>
                <w:color w:val="1F2937"/>
                <w:sz w:val="16"/>
              </w:rPr>
              <w:t>Posted sale recognition movements</w:t>
            </w:r>
          </w:p>
        </w:tc>
      </w:tr>
      <w:tr>
        <w:trPr>
          <w:cantSplit/>
        </w:trPr>
        <w:tc>
          <w:tcPr>
            <w:tcW w:type="dxa" w:w="2438"/>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COGS</w:t>
            </w:r>
          </w:p>
        </w:tc>
        <w:tc>
          <w:tcPr>
            <w:tcW w:type="dxa" w:w="6633"/>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Inventory sale movement value plus explicit later COGS revaluations</w:t>
            </w:r>
          </w:p>
        </w:tc>
      </w:tr>
      <w:tr>
        <w:trPr>
          <w:cantSplit/>
        </w:trPr>
        <w:tc>
          <w:tcPr>
            <w:tcW w:type="dxa" w:w="2438"/>
            <w:tcMar>
              <w:top w:w="80" w:type="dxa"/>
              <w:start w:w="90" w:type="dxa"/>
              <w:bottom w:w="80" w:type="dxa"/>
              <w:end w:w="90" w:type="dxa"/>
            </w:tcMar>
            <w:vAlign w:val="top"/>
          </w:tcPr>
          <w:p>
            <w:pPr>
              <w:spacing w:after="0"/>
            </w:pPr>
            <w:r>
              <w:rPr>
                <w:rFonts w:ascii="Liberation Sans" w:hAnsi="Liberation Sans" w:eastAsia="Liberation Sans"/>
                <w:color w:val="1F2937"/>
                <w:sz w:val="16"/>
              </w:rPr>
              <w:t>Gross Profit</w:t>
            </w:r>
          </w:p>
        </w:tc>
        <w:tc>
          <w:tcPr>
            <w:tcW w:type="dxa" w:w="6633"/>
            <w:tcMar>
              <w:top w:w="80" w:type="dxa"/>
              <w:start w:w="90" w:type="dxa"/>
              <w:bottom w:w="80" w:type="dxa"/>
              <w:end w:w="90" w:type="dxa"/>
            </w:tcMar>
            <w:vAlign w:val="top"/>
          </w:tcPr>
          <w:p>
            <w:pPr>
              <w:spacing w:after="0"/>
            </w:pPr>
            <w:r>
              <w:rPr>
                <w:rFonts w:ascii="Liberation Sans" w:hAnsi="Liberation Sans" w:eastAsia="Liberation Sans"/>
                <w:color w:val="1F2937"/>
                <w:sz w:val="16"/>
              </w:rPr>
              <w:t>Revenue - COGS</w:t>
            </w:r>
          </w:p>
        </w:tc>
      </w:tr>
      <w:tr>
        <w:trPr>
          <w:cantSplit/>
        </w:trPr>
        <w:tc>
          <w:tcPr>
            <w:tcW w:type="dxa" w:w="2438"/>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Gross Profit / L</w:t>
            </w:r>
          </w:p>
        </w:tc>
        <w:tc>
          <w:tcPr>
            <w:tcW w:type="dxa" w:w="6633"/>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Gross Profit ÷ applicable litres</w:t>
            </w:r>
          </w:p>
        </w:tc>
      </w:tr>
      <w:tr>
        <w:trPr>
          <w:cantSplit/>
        </w:trPr>
        <w:tc>
          <w:tcPr>
            <w:tcW w:type="dxa" w:w="2438"/>
            <w:tcMar>
              <w:top w:w="80" w:type="dxa"/>
              <w:start w:w="90" w:type="dxa"/>
              <w:bottom w:w="80" w:type="dxa"/>
              <w:end w:w="90" w:type="dxa"/>
            </w:tcMar>
            <w:vAlign w:val="top"/>
          </w:tcPr>
          <w:p>
            <w:pPr>
              <w:spacing w:after="0"/>
            </w:pPr>
            <w:r>
              <w:rPr>
                <w:rFonts w:ascii="Liberation Sans" w:hAnsi="Liberation Sans" w:eastAsia="Liberation Sans"/>
                <w:color w:val="1F2937"/>
                <w:sz w:val="16"/>
              </w:rPr>
              <w:t>Operating Expenses</w:t>
            </w:r>
          </w:p>
        </w:tc>
        <w:tc>
          <w:tcPr>
            <w:tcW w:type="dxa" w:w="6633"/>
            <w:tcMar>
              <w:top w:w="80" w:type="dxa"/>
              <w:start w:w="90" w:type="dxa"/>
              <w:bottom w:w="80" w:type="dxa"/>
              <w:end w:w="90" w:type="dxa"/>
            </w:tcMar>
            <w:vAlign w:val="top"/>
          </w:tcPr>
          <w:p>
            <w:pPr>
              <w:spacing w:after="0"/>
            </w:pPr>
            <w:r>
              <w:rPr>
                <w:rFonts w:ascii="Liberation Sans" w:hAnsi="Liberation Sans" w:eastAsia="Liberation Sans"/>
                <w:color w:val="1F2937"/>
                <w:sz w:val="16"/>
              </w:rPr>
              <w:t>Posted operating expense recognition</w:t>
            </w:r>
          </w:p>
        </w:tc>
      </w:tr>
      <w:tr>
        <w:trPr>
          <w:cantSplit/>
        </w:trPr>
        <w:tc>
          <w:tcPr>
            <w:tcW w:type="dxa" w:w="2438"/>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Fixed-cost allocation</w:t>
            </w:r>
          </w:p>
        </w:tc>
        <w:tc>
          <w:tcPr>
            <w:tcW w:type="dxa" w:w="6633"/>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Recurring cost daily recognition</w:t>
            </w:r>
          </w:p>
        </w:tc>
      </w:tr>
      <w:tr>
        <w:trPr>
          <w:cantSplit/>
        </w:trPr>
        <w:tc>
          <w:tcPr>
            <w:tcW w:type="dxa" w:w="2438"/>
            <w:tcMar>
              <w:top w:w="80" w:type="dxa"/>
              <w:start w:w="90" w:type="dxa"/>
              <w:bottom w:w="80" w:type="dxa"/>
              <w:end w:w="90" w:type="dxa"/>
            </w:tcMar>
            <w:vAlign w:val="top"/>
          </w:tcPr>
          <w:p>
            <w:pPr>
              <w:spacing w:after="0"/>
            </w:pPr>
            <w:r>
              <w:rPr>
                <w:rFonts w:ascii="Liberation Sans" w:hAnsi="Liberation Sans" w:eastAsia="Liberation Sans"/>
                <w:color w:val="1F2937"/>
                <w:sz w:val="16"/>
              </w:rPr>
              <w:t>Operational Profit</w:t>
            </w:r>
          </w:p>
        </w:tc>
        <w:tc>
          <w:tcPr>
            <w:tcW w:type="dxa" w:w="6633"/>
            <w:tcMar>
              <w:top w:w="80" w:type="dxa"/>
              <w:start w:w="90" w:type="dxa"/>
              <w:bottom w:w="80" w:type="dxa"/>
              <w:end w:w="90" w:type="dxa"/>
            </w:tcMar>
            <w:vAlign w:val="top"/>
          </w:tcPr>
          <w:p>
            <w:pPr>
              <w:spacing w:after="0"/>
            </w:pPr>
            <w:r>
              <w:rPr>
                <w:rFonts w:ascii="Liberation Sans" w:hAnsi="Liberation Sans" w:eastAsia="Liberation Sans"/>
                <w:color w:val="1F2937"/>
                <w:sz w:val="16"/>
              </w:rPr>
              <w:t>Gross Profit - operating expenses - fixed-cost recognition</w:t>
            </w:r>
          </w:p>
        </w:tc>
      </w:tr>
    </w:tbl>
    <w:p>
      <w:pPr>
        <w:spacing w:after="40"/>
      </w:pPr>
    </w:p>
    <w:tbl>
      <w:tblPr>
        <w:tblW w:type="auto" w:w="0"/>
        <w:jc w:val="center"/>
        <w:tblLayout w:type="autofit"/>
        <w:tblLook w:firstColumn="1" w:firstRow="1" w:lastColumn="0" w:lastRow="0" w:noHBand="0" w:noVBand="1" w:val="04A0"/>
      </w:tblPr>
      <w:tblGrid>
        <w:gridCol w:w="10036"/>
      </w:tblGrid>
      <w:tr>
        <w:tc>
          <w:tcPr>
            <w:tcW w:type="dxa" w:w="10036"/>
            <w:shd w:fill="FFF6DA"/>
            <w:tcMar>
              <w:top w:w="110" w:type="dxa"/>
              <w:start w:w="150" w:type="dxa"/>
              <w:bottom w:w="110" w:type="dxa"/>
              <w:end w:w="150" w:type="dxa"/>
            </w:tcMar>
          </w:tcPr>
          <w:p>
            <w:pPr>
              <w:spacing w:after="40"/>
            </w:pPr>
            <w:r>
              <w:rPr>
                <w:rFonts w:ascii="Liberation Sans" w:hAnsi="Liberation Sans" w:eastAsia="Liberation Sans"/>
                <w:b/>
                <w:color w:val="C58B00"/>
                <w:sz w:val="19"/>
              </w:rPr>
              <w:t>BOUNDARY</w:t>
            </w:r>
          </w:p>
          <w:p>
            <w:pPr>
              <w:spacing w:after="0"/>
            </w:pPr>
            <w:r>
              <w:rPr>
                <w:rFonts w:ascii="Liberation Sans" w:hAnsi="Liberation Sans" w:eastAsia="Liberation Sans"/>
                <w:color w:val="1F2937"/>
                <w:sz w:val="18"/>
              </w:rPr>
              <w:t>Operational Profit is a management measure, not statutory net profit. Tax, financing, depreciation and a full general ledger are outside the confirmed V1 scope unless explicitly added later.</w:t>
            </w:r>
          </w:p>
        </w:tc>
      </w:tr>
    </w:tbl>
    <w:p>
      <w:pPr>
        <w:spacing w:after="20"/>
      </w:pPr>
    </w:p>
    <w:p>
      <w:pPr>
        <w:pStyle w:val="Heading2"/>
        <w:keepNext/>
        <w:spacing w:before="120" w:after="80"/>
      </w:pPr>
      <w:r>
        <w:rPr>
          <w:rFonts w:ascii="Liberation Sans" w:hAnsi="Liberation Sans" w:eastAsia="Liberation Sans"/>
          <w:b/>
          <w:color w:val="17324D"/>
          <w:sz w:val="27"/>
        </w:rPr>
        <w:t>10.2 Shanda Operational Net Position</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4535"/>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Assets / exposures</w:t>
            </w:r>
          </w:p>
        </w:tc>
        <w:tc>
          <w:tcPr>
            <w:tcW w:type="dxa" w:w="4535"/>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Liabilities / obligations</w:t>
            </w:r>
          </w:p>
        </w:tc>
      </w:tr>
      <w:tr>
        <w:trPr>
          <w:cantSplit/>
        </w:trPr>
        <w:tc>
          <w:tcPr>
            <w:tcW w:type="dxa" w:w="4535"/>
            <w:tcMar>
              <w:top w:w="80" w:type="dxa"/>
              <w:start w:w="90" w:type="dxa"/>
              <w:bottom w:w="80" w:type="dxa"/>
              <w:end w:w="90" w:type="dxa"/>
            </w:tcMar>
            <w:vAlign w:val="top"/>
          </w:tcPr>
          <w:p>
            <w:pPr>
              <w:spacing w:after="0"/>
            </w:pPr>
            <w:r>
              <w:rPr>
                <w:rFonts w:ascii="Liberation Sans" w:hAnsi="Liberation Sans" w:eastAsia="Liberation Sans"/>
                <w:color w:val="1F2937"/>
                <w:sz w:val="16"/>
              </w:rPr>
              <w:t>Physical cash custody</w:t>
            </w:r>
          </w:p>
        </w:tc>
        <w:tc>
          <w:tcPr>
            <w:tcW w:type="dxa" w:w="4535"/>
            <w:tcMar>
              <w:top w:w="80" w:type="dxa"/>
              <w:start w:w="90" w:type="dxa"/>
              <w:bottom w:w="80" w:type="dxa"/>
              <w:end w:w="90" w:type="dxa"/>
            </w:tcMar>
            <w:vAlign w:val="top"/>
          </w:tcPr>
          <w:p>
            <w:pPr>
              <w:spacing w:after="0"/>
            </w:pPr>
            <w:r>
              <w:rPr>
                <w:rFonts w:ascii="Liberation Sans" w:hAnsi="Liberation Sans" w:eastAsia="Liberation Sans"/>
                <w:color w:val="1F2937"/>
                <w:sz w:val="16"/>
              </w:rPr>
              <w:t>Supplier payable</w:t>
            </w:r>
          </w:p>
        </w:tc>
      </w:tr>
      <w:tr>
        <w:trPr>
          <w:cantSplit/>
        </w:trPr>
        <w:tc>
          <w:tcPr>
            <w:tcW w:type="dxa" w:w="4535"/>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Tracked bank money</w:t>
            </w:r>
          </w:p>
        </w:tc>
        <w:tc>
          <w:tcPr>
            <w:tcW w:type="dxa" w:w="4535"/>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Approved unbilled supplier exposure</w:t>
            </w:r>
          </w:p>
        </w:tc>
      </w:tr>
      <w:tr>
        <w:trPr>
          <w:cantSplit/>
        </w:trPr>
        <w:tc>
          <w:tcPr>
            <w:tcW w:type="dxa" w:w="4535"/>
            <w:tcMar>
              <w:top w:w="80" w:type="dxa"/>
              <w:start w:w="90" w:type="dxa"/>
              <w:bottom w:w="80" w:type="dxa"/>
              <w:end w:w="90" w:type="dxa"/>
            </w:tcMar>
            <w:vAlign w:val="top"/>
          </w:tcPr>
          <w:p>
            <w:pPr>
              <w:spacing w:after="0"/>
            </w:pPr>
            <w:r>
              <w:rPr>
                <w:rFonts w:ascii="Liberation Sans" w:hAnsi="Liberation Sans" w:eastAsia="Liberation Sans"/>
                <w:color w:val="1F2937"/>
                <w:sz w:val="16"/>
              </w:rPr>
              <w:t>Electronic provider receivables</w:t>
            </w:r>
          </w:p>
        </w:tc>
        <w:tc>
          <w:tcPr>
            <w:tcW w:type="dxa" w:w="4535"/>
            <w:tcMar>
              <w:top w:w="80" w:type="dxa"/>
              <w:start w:w="90" w:type="dxa"/>
              <w:bottom w:w="80" w:type="dxa"/>
              <w:end w:w="90" w:type="dxa"/>
            </w:tcMar>
            <w:vAlign w:val="top"/>
          </w:tcPr>
          <w:p>
            <w:pPr>
              <w:spacing w:after="0"/>
            </w:pPr>
            <w:r>
              <w:rPr>
                <w:rFonts w:ascii="Liberation Sans" w:hAnsi="Liberation Sans" w:eastAsia="Liberation Sans"/>
                <w:color w:val="1F2937"/>
                <w:sz w:val="16"/>
              </w:rPr>
              <w:t>Operating/unpaid expense obligations</w:t>
            </w:r>
          </w:p>
        </w:tc>
      </w:tr>
      <w:tr>
        <w:trPr>
          <w:cantSplit/>
        </w:trPr>
        <w:tc>
          <w:tcPr>
            <w:tcW w:type="dxa" w:w="4535"/>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Customer receivables</w:t>
            </w:r>
          </w:p>
        </w:tc>
        <w:tc>
          <w:tcPr>
            <w:tcW w:type="dxa" w:w="4535"/>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Customer prepaid-value obligation</w:t>
            </w:r>
          </w:p>
        </w:tc>
      </w:tr>
      <w:tr>
        <w:trPr>
          <w:cantSplit/>
        </w:trPr>
        <w:tc>
          <w:tcPr>
            <w:tcW w:type="dxa" w:w="4535"/>
            <w:tcMar>
              <w:top w:w="80" w:type="dxa"/>
              <w:start w:w="90" w:type="dxa"/>
              <w:bottom w:w="80" w:type="dxa"/>
              <w:end w:w="90" w:type="dxa"/>
            </w:tcMar>
            <w:vAlign w:val="top"/>
          </w:tcPr>
          <w:p>
            <w:pPr>
              <w:spacing w:after="0"/>
            </w:pPr>
            <w:r>
              <w:rPr>
                <w:rFonts w:ascii="Liberation Sans" w:hAnsi="Liberation Sans" w:eastAsia="Liberation Sans"/>
                <w:color w:val="1F2937"/>
                <w:sz w:val="16"/>
              </w:rPr>
              <w:t>Inventory value</w:t>
            </w:r>
          </w:p>
        </w:tc>
        <w:tc>
          <w:tcPr>
            <w:tcW w:type="dxa" w:w="4535"/>
            <w:tcMar>
              <w:top w:w="80" w:type="dxa"/>
              <w:start w:w="90" w:type="dxa"/>
              <w:bottom w:w="80" w:type="dxa"/>
              <w:end w:w="90" w:type="dxa"/>
            </w:tcMar>
            <w:vAlign w:val="top"/>
          </w:tcPr>
          <w:p>
            <w:pPr>
              <w:spacing w:after="0"/>
            </w:pPr>
            <w:r>
              <w:rPr>
                <w:rFonts w:ascii="Liberation Sans" w:hAnsi="Liberation Sans" w:eastAsia="Liberation Sans"/>
                <w:color w:val="1F2937"/>
                <w:sz w:val="16"/>
              </w:rPr>
              <w:t>Prepaid-litre estimated exposure / obligation presentation</w:t>
            </w:r>
          </w:p>
        </w:tc>
      </w:tr>
    </w:tbl>
    <w:p>
      <w:pPr>
        <w:spacing w:after="40"/>
      </w:pPr>
    </w:p>
    <w:p>
      <w:pPr>
        <w:spacing w:after="100" w:line="259" w:lineRule="auto"/>
      </w:pPr>
      <w:r>
        <w:rPr>
          <w:rFonts w:ascii="Liberation Sans" w:hAnsi="Liberation Sans" w:eastAsia="Liberation Sans"/>
          <w:color w:val="1F2937"/>
          <w:sz w:val="18"/>
        </w:rPr>
        <w:t>This is explicitly labeled “Shanda Operational Net Position”, not a statutory balance sheet.</w:t>
      </w:r>
    </w:p>
    <w:p>
      <w:pPr>
        <w:pStyle w:val="Heading2"/>
        <w:keepNext/>
        <w:spacing w:before="120" w:after="80"/>
      </w:pPr>
      <w:r>
        <w:rPr>
          <w:rFonts w:ascii="Liberation Sans" w:hAnsi="Liberation Sans" w:eastAsia="Liberation Sans"/>
          <w:b/>
          <w:color w:val="17324D"/>
          <w:sz w:val="27"/>
        </w:rPr>
        <w:t>10.3 Reporting States</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381"/>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State</w:t>
            </w:r>
          </w:p>
        </w:tc>
        <w:tc>
          <w:tcPr>
            <w:tcW w:type="dxa" w:w="6690"/>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Meaning</w:t>
            </w:r>
          </w:p>
        </w:tc>
      </w:tr>
      <w:tr>
        <w:trPr>
          <w:cantSplit/>
        </w:trPr>
        <w:tc>
          <w:tcPr>
            <w:tcW w:type="dxa" w:w="2381"/>
            <w:tcMar>
              <w:top w:w="80" w:type="dxa"/>
              <w:start w:w="90" w:type="dxa"/>
              <w:bottom w:w="80" w:type="dxa"/>
              <w:end w:w="90" w:type="dxa"/>
            </w:tcMar>
            <w:vAlign w:val="top"/>
          </w:tcPr>
          <w:p>
            <w:pPr>
              <w:spacing w:after="0"/>
            </w:pPr>
            <w:r>
              <w:rPr>
                <w:rFonts w:ascii="Liberation Sans" w:hAnsi="Liberation Sans" w:eastAsia="Liberation Sans"/>
                <w:color w:val="1F2937"/>
                <w:sz w:val="16"/>
              </w:rPr>
              <w:t>LIVE / ESTIMATED</w:t>
            </w:r>
          </w:p>
        </w:tc>
        <w:tc>
          <w:tcPr>
            <w:tcW w:type="dxa" w:w="6690"/>
            <w:tcMar>
              <w:top w:w="80" w:type="dxa"/>
              <w:start w:w="90" w:type="dxa"/>
              <w:bottom w:w="80" w:type="dxa"/>
              <w:end w:w="90" w:type="dxa"/>
            </w:tcMar>
            <w:vAlign w:val="top"/>
          </w:tcPr>
          <w:p>
            <w:pPr>
              <w:spacing w:after="0"/>
            </w:pPr>
            <w:r>
              <w:rPr>
                <w:rFonts w:ascii="Liberation Sans" w:hAnsi="Liberation Sans" w:eastAsia="Liberation Sans"/>
                <w:color w:val="1F2937"/>
                <w:sz w:val="16"/>
              </w:rPr>
              <w:t>Current operational data including pending/provisional components, visibly labeled</w:t>
            </w:r>
          </w:p>
        </w:tc>
      </w:tr>
      <w:tr>
        <w:trPr>
          <w:cantSplit/>
        </w:trPr>
        <w:tc>
          <w:tcPr>
            <w:tcW w:type="dxa" w:w="2381"/>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POSTED</w:t>
            </w:r>
          </w:p>
        </w:tc>
        <w:tc>
          <w:tcPr>
            <w:tcW w:type="dxa" w:w="6690"/>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Official posted data only</w:t>
            </w:r>
          </w:p>
        </w:tc>
      </w:tr>
      <w:tr>
        <w:trPr>
          <w:cantSplit/>
        </w:trPr>
        <w:tc>
          <w:tcPr>
            <w:tcW w:type="dxa" w:w="2381"/>
            <w:tcMar>
              <w:top w:w="80" w:type="dxa"/>
              <w:start w:w="90" w:type="dxa"/>
              <w:bottom w:w="80" w:type="dxa"/>
              <w:end w:w="90" w:type="dxa"/>
            </w:tcMar>
            <w:vAlign w:val="top"/>
          </w:tcPr>
          <w:p>
            <w:pPr>
              <w:spacing w:after="0"/>
            </w:pPr>
            <w:r>
              <w:rPr>
                <w:rFonts w:ascii="Liberation Sans" w:hAnsi="Liberation Sans" w:eastAsia="Liberation Sans"/>
                <w:color w:val="1F2937"/>
                <w:sz w:val="16"/>
              </w:rPr>
              <w:t>RESTATED</w:t>
            </w:r>
          </w:p>
        </w:tc>
        <w:tc>
          <w:tcPr>
            <w:tcW w:type="dxa" w:w="6690"/>
            <w:tcMar>
              <w:top w:w="80" w:type="dxa"/>
              <w:start w:w="90" w:type="dxa"/>
              <w:bottom w:w="80" w:type="dxa"/>
              <w:end w:w="90" w:type="dxa"/>
            </w:tcMar>
            <w:vAlign w:val="top"/>
          </w:tcPr>
          <w:p>
            <w:pPr>
              <w:spacing w:after="0"/>
            </w:pPr>
            <w:r>
              <w:rPr>
                <w:rFonts w:ascii="Liberation Sans" w:hAnsi="Liberation Sans" w:eastAsia="Liberation Sans"/>
                <w:color w:val="1F2937"/>
                <w:sz w:val="16"/>
              </w:rPr>
              <w:t>Later approved adjustments/revaluations changed the as-of result; prior report artifacts remain intact</w:t>
            </w:r>
          </w:p>
        </w:tc>
      </w:tr>
    </w:tbl>
    <w:p>
      <w:pPr>
        <w:spacing w:after="40"/>
      </w:pPr>
    </w:p>
    <w:p>
      <w:pPr>
        <w:pStyle w:val="Heading2"/>
        <w:keepNext/>
        <w:spacing w:before="120" w:after="80"/>
      </w:pPr>
      <w:r>
        <w:rPr>
          <w:rFonts w:ascii="Liberation Sans" w:hAnsi="Liberation Sans" w:eastAsia="Liberation Sans"/>
          <w:b/>
          <w:color w:val="17324D"/>
          <w:sz w:val="27"/>
        </w:rPr>
        <w:t>10.4 Curated Report Catalogue</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1984"/>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Category</w:t>
            </w:r>
          </w:p>
        </w:tc>
        <w:tc>
          <w:tcPr>
            <w:tcW w:type="dxa" w:w="7087"/>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Initial reports</w:t>
            </w:r>
          </w:p>
        </w:tc>
      </w:tr>
      <w:tr>
        <w:trPr>
          <w:cantSplit/>
        </w:trPr>
        <w:tc>
          <w:tcPr>
            <w:tcW w:type="dxa" w:w="1984"/>
            <w:tcMar>
              <w:top w:w="80" w:type="dxa"/>
              <w:start w:w="90" w:type="dxa"/>
              <w:bottom w:w="80" w:type="dxa"/>
              <w:end w:w="90" w:type="dxa"/>
            </w:tcMar>
            <w:vAlign w:val="top"/>
          </w:tcPr>
          <w:p>
            <w:pPr>
              <w:spacing w:after="0"/>
            </w:pPr>
            <w:r>
              <w:rPr>
                <w:rFonts w:ascii="Liberation Sans" w:hAnsi="Liberation Sans" w:eastAsia="Liberation Sans"/>
                <w:color w:val="1F2937"/>
                <w:sz w:val="16"/>
              </w:rPr>
              <w:t>Operations</w:t>
            </w:r>
          </w:p>
        </w:tc>
        <w:tc>
          <w:tcPr>
            <w:tcW w:type="dxa" w:w="7087"/>
            <w:tcMar>
              <w:top w:w="80" w:type="dxa"/>
              <w:start w:w="90" w:type="dxa"/>
              <w:bottom w:w="80" w:type="dxa"/>
              <w:end w:w="90" w:type="dxa"/>
            </w:tcMar>
            <w:vAlign w:val="top"/>
          </w:tcPr>
          <w:p>
            <w:pPr>
              <w:spacing w:after="0"/>
            </w:pPr>
            <w:r>
              <w:rPr>
                <w:rFonts w:ascii="Liberation Sans" w:hAnsi="Liberation Sans" w:eastAsia="Liberation Sans"/>
                <w:color w:val="1F2937"/>
                <w:sz w:val="16"/>
              </w:rPr>
              <w:t>Daily Reconciliation, Shift Sales, sales by station/product/attendant/payment</w:t>
            </w:r>
          </w:p>
        </w:tc>
      </w:tr>
      <w:tr>
        <w:trPr>
          <w:cantSplit/>
        </w:trPr>
        <w:tc>
          <w:tcPr>
            <w:tcW w:type="dxa" w:w="1984"/>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Inventory</w:t>
            </w:r>
          </w:p>
        </w:tc>
        <w:tc>
          <w:tcPr>
            <w:tcW w:type="dxa" w:w="7087"/>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Stock Position, Movement History, Tank Dip History, Stock Variance, Delivery Variance</w:t>
            </w:r>
          </w:p>
        </w:tc>
      </w:tr>
      <w:tr>
        <w:trPr>
          <w:cantSplit/>
        </w:trPr>
        <w:tc>
          <w:tcPr>
            <w:tcW w:type="dxa" w:w="1984"/>
            <w:tcMar>
              <w:top w:w="80" w:type="dxa"/>
              <w:start w:w="90" w:type="dxa"/>
              <w:bottom w:w="80" w:type="dxa"/>
              <w:end w:w="90" w:type="dxa"/>
            </w:tcMar>
            <w:vAlign w:val="top"/>
          </w:tcPr>
          <w:p>
            <w:pPr>
              <w:spacing w:after="0"/>
            </w:pPr>
            <w:r>
              <w:rPr>
                <w:rFonts w:ascii="Liberation Sans" w:hAnsi="Liberation Sans" w:eastAsia="Liberation Sans"/>
                <w:color w:val="1F2937"/>
                <w:sz w:val="16"/>
              </w:rPr>
              <w:t>Money</w:t>
            </w:r>
          </w:p>
        </w:tc>
        <w:tc>
          <w:tcPr>
            <w:tcW w:type="dxa" w:w="7087"/>
            <w:tcMar>
              <w:top w:w="80" w:type="dxa"/>
              <w:start w:w="90" w:type="dxa"/>
              <w:bottom w:w="80" w:type="dxa"/>
              <w:end w:w="90" w:type="dxa"/>
            </w:tcMar>
            <w:vAlign w:val="top"/>
          </w:tcPr>
          <w:p>
            <w:pPr>
              <w:spacing w:after="0"/>
            </w:pPr>
            <w:r>
              <w:rPr>
                <w:rFonts w:ascii="Liberation Sans" w:hAnsi="Liberation Sans" w:eastAsia="Liberation Sans"/>
                <w:color w:val="1F2937"/>
                <w:sz w:val="16"/>
              </w:rPr>
              <w:t>Cash Custody, Collections/Banking, POS/EcoCash Settlement</w:t>
            </w:r>
          </w:p>
        </w:tc>
      </w:tr>
      <w:tr>
        <w:trPr>
          <w:cantSplit/>
        </w:trPr>
        <w:tc>
          <w:tcPr>
            <w:tcW w:type="dxa" w:w="1984"/>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Commercial</w:t>
            </w:r>
          </w:p>
        </w:tc>
        <w:tc>
          <w:tcPr>
            <w:tcW w:type="dxa" w:w="7087"/>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Supplier Aging/Statement/Payments, Customer Aging/Statement/Payments</w:t>
            </w:r>
          </w:p>
        </w:tc>
      </w:tr>
      <w:tr>
        <w:trPr>
          <w:cantSplit/>
        </w:trPr>
        <w:tc>
          <w:tcPr>
            <w:tcW w:type="dxa" w:w="1984"/>
            <w:tcMar>
              <w:top w:w="80" w:type="dxa"/>
              <w:start w:w="90" w:type="dxa"/>
              <w:bottom w:w="80" w:type="dxa"/>
              <w:end w:w="90" w:type="dxa"/>
            </w:tcMar>
            <w:vAlign w:val="top"/>
          </w:tcPr>
          <w:p>
            <w:pPr>
              <w:spacing w:after="0"/>
            </w:pPr>
            <w:r>
              <w:rPr>
                <w:rFonts w:ascii="Liberation Sans" w:hAnsi="Liberation Sans" w:eastAsia="Liberation Sans"/>
                <w:color w:val="1F2937"/>
                <w:sz w:val="16"/>
              </w:rPr>
              <w:t>Financial</w:t>
            </w:r>
          </w:p>
        </w:tc>
        <w:tc>
          <w:tcPr>
            <w:tcW w:type="dxa" w:w="7087"/>
            <w:tcMar>
              <w:top w:w="80" w:type="dxa"/>
              <w:start w:w="90" w:type="dxa"/>
              <w:bottom w:w="80" w:type="dxa"/>
              <w:end w:w="90" w:type="dxa"/>
            </w:tcMar>
            <w:vAlign w:val="top"/>
          </w:tcPr>
          <w:p>
            <w:pPr>
              <w:spacing w:after="0"/>
            </w:pPr>
            <w:r>
              <w:rPr>
                <w:rFonts w:ascii="Liberation Sans" w:hAnsi="Liberation Sans" w:eastAsia="Liberation Sans"/>
                <w:color w:val="1F2937"/>
                <w:sz w:val="16"/>
              </w:rPr>
              <w:t>Daily/Station Profitability, Operational Financial Position, expenses/fixed-cost views</w:t>
            </w:r>
          </w:p>
        </w:tc>
      </w:tr>
    </w:tbl>
    <w:p>
      <w:pPr>
        <w:spacing w:after="40"/>
      </w:pPr>
    </w:p>
    <w:p>
      <w:pPr>
        <w:pStyle w:val="Heading2"/>
        <w:keepNext/>
        <w:spacing w:before="120" w:after="80"/>
      </w:pPr>
      <w:r>
        <w:rPr>
          <w:rFonts w:ascii="Liberation Sans" w:hAnsi="Liberation Sans" w:eastAsia="Liberation Sans"/>
          <w:b/>
          <w:color w:val="17324D"/>
          <w:sz w:val="27"/>
        </w:rPr>
        <w:t>10.5 Export Integrity</w:t>
      </w:r>
    </w:p>
    <w:p>
      <w:pPr>
        <w:pStyle w:val="ListBullet"/>
        <w:spacing w:after="30" w:line="247" w:lineRule="auto"/>
        <w:ind w:left="255" w:hanging="113"/>
      </w:pPr>
      <w:r>
        <w:rPr>
          <w:rFonts w:ascii="Liberation Sans" w:hAnsi="Liberation Sans" w:eastAsia="Liberation Sans"/>
          <w:color w:val="1F2937"/>
          <w:sz w:val="18"/>
        </w:rPr>
        <w:t>Dashboard, PDF and XLSX use the same canonical calculation layer.</w:t>
      </w:r>
    </w:p>
    <w:p>
      <w:pPr>
        <w:pStyle w:val="ListBullet"/>
        <w:spacing w:after="30" w:line="247" w:lineRule="auto"/>
        <w:ind w:left="255" w:hanging="113"/>
      </w:pPr>
      <w:r>
        <w:rPr>
          <w:rFonts w:ascii="Liberation Sans" w:hAnsi="Liberation Sans" w:eastAsia="Liberation Sans"/>
          <w:color w:val="1F2937"/>
          <w:sz w:val="18"/>
        </w:rPr>
        <w:t>Report Run stores period, as_of, filters, calculation version, data-quality status and source cutoff/checksum.</w:t>
      </w:r>
    </w:p>
    <w:p>
      <w:pPr>
        <w:pStyle w:val="ListBullet"/>
        <w:spacing w:after="30" w:line="247" w:lineRule="auto"/>
        <w:ind w:left="255" w:hanging="113"/>
      </w:pPr>
      <w:r>
        <w:rPr>
          <w:rFonts w:ascii="Liberation Sans" w:hAnsi="Liberation Sans" w:eastAsia="Liberation Sans"/>
          <w:color w:val="1F2937"/>
          <w:sz w:val="18"/>
        </w:rPr>
        <w:t>Report Artifact is separate from Report Run; multiple PDF/XLSX artifacts may belong to one run.</w:t>
      </w:r>
    </w:p>
    <w:p>
      <w:pPr>
        <w:pStyle w:val="ListBullet"/>
        <w:spacing w:after="30" w:line="247" w:lineRule="auto"/>
        <w:ind w:left="255" w:hanging="113"/>
      </w:pPr>
      <w:r>
        <w:rPr>
          <w:rFonts w:ascii="Liberation Sans" w:hAnsi="Liberation Sans" w:eastAsia="Liberation Sans"/>
          <w:color w:val="1F2937"/>
          <w:sz w:val="18"/>
        </w:rPr>
        <w:t>Large exports are background jobs in private storage with short-lived download links and authorization rechecks at request, generation and download.</w:t>
      </w:r>
    </w:p>
    <w:p>
      <w:pPr>
        <w:pStyle w:val="Heading1"/>
        <w:keepNext/>
        <w:spacing w:before="180" w:after="80"/>
      </w:pPr>
      <w:r>
        <w:rPr>
          <w:rFonts w:ascii="Liberation Sans" w:hAnsi="Liberation Sans" w:eastAsia="Liberation Sans"/>
          <w:b/>
          <w:color w:val="17324D"/>
          <w:sz w:val="36"/>
        </w:rPr>
        <w:t>11. Approvals, Exceptions, Documents &amp; Audit</w:t>
      </w:r>
    </w:p>
    <w:p>
      <w:pPr>
        <w:pStyle w:val="Heading2"/>
        <w:keepNext/>
        <w:spacing w:before="120" w:after="80"/>
      </w:pPr>
      <w:r>
        <w:rPr>
          <w:rFonts w:ascii="Liberation Sans" w:hAnsi="Liberation Sans" w:eastAsia="Liberation Sans"/>
          <w:b/>
          <w:color w:val="17324D"/>
          <w:sz w:val="27"/>
        </w:rPr>
        <w:t>11.1 Approval Engine</w:t>
      </w:r>
    </w:p>
    <w:p>
      <w:pPr>
        <w:spacing w:after="100" w:line="259" w:lineRule="auto"/>
      </w:pPr>
      <w:r>
        <w:rPr>
          <w:rFonts w:ascii="Liberation Sans" w:hAnsi="Liberation Sans" w:eastAsia="Liberation Sans"/>
          <w:color w:val="1F2937"/>
          <w:sz w:val="18"/>
        </w:rPr>
        <w:t>Approval policy is effective-dated and snapshotted at submission. Current security authority is not snapshotted; it is always rechecked when a user attempts to approve.</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438"/>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Concept</w:t>
            </w:r>
          </w:p>
        </w:tc>
        <w:tc>
          <w:tcPr>
            <w:tcW w:type="dxa" w:w="6633"/>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Rule</w:t>
            </w:r>
          </w:p>
        </w:tc>
      </w:tr>
      <w:tr>
        <w:trPr>
          <w:cantSplit/>
        </w:trPr>
        <w:tc>
          <w:tcPr>
            <w:tcW w:type="dxa" w:w="2438"/>
            <w:tcMar>
              <w:top w:w="80" w:type="dxa"/>
              <w:start w:w="90" w:type="dxa"/>
              <w:bottom w:w="80" w:type="dxa"/>
              <w:end w:w="90" w:type="dxa"/>
            </w:tcMar>
            <w:vAlign w:val="top"/>
          </w:tcPr>
          <w:p>
            <w:pPr>
              <w:spacing w:after="0"/>
            </w:pPr>
            <w:r>
              <w:rPr>
                <w:rFonts w:ascii="Liberation Sans" w:hAnsi="Liberation Sans" w:eastAsia="Liberation Sans"/>
                <w:color w:val="1F2937"/>
                <w:sz w:val="16"/>
              </w:rPr>
              <w:t>Approval Request</w:t>
            </w:r>
          </w:p>
        </w:tc>
        <w:tc>
          <w:tcPr>
            <w:tcW w:type="dxa" w:w="6633"/>
            <w:tcMar>
              <w:top w:w="80" w:type="dxa"/>
              <w:start w:w="90" w:type="dxa"/>
              <w:bottom w:w="80" w:type="dxa"/>
              <w:end w:w="90" w:type="dxa"/>
            </w:tcMar>
            <w:vAlign w:val="top"/>
          </w:tcPr>
          <w:p>
            <w:pPr>
              <w:spacing w:after="0"/>
            </w:pPr>
            <w:r>
              <w:rPr>
                <w:rFonts w:ascii="Liberation Sans" w:hAnsi="Liberation Sans" w:eastAsia="Liberation Sans"/>
                <w:color w:val="1F2937"/>
                <w:sz w:val="16"/>
              </w:rPr>
              <w:t>Links to exact business record version</w:t>
            </w:r>
          </w:p>
        </w:tc>
      </w:tr>
      <w:tr>
        <w:trPr>
          <w:cantSplit/>
        </w:trPr>
        <w:tc>
          <w:tcPr>
            <w:tcW w:type="dxa" w:w="2438"/>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Approval Step</w:t>
            </w:r>
          </w:p>
        </w:tc>
        <w:tc>
          <w:tcPr>
            <w:tcW w:type="dxa" w:w="6633"/>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Required permission, scope and approver count</w:t>
            </w:r>
          </w:p>
        </w:tc>
      </w:tr>
      <w:tr>
        <w:trPr>
          <w:cantSplit/>
        </w:trPr>
        <w:tc>
          <w:tcPr>
            <w:tcW w:type="dxa" w:w="2438"/>
            <w:tcMar>
              <w:top w:w="80" w:type="dxa"/>
              <w:start w:w="90" w:type="dxa"/>
              <w:bottom w:w="80" w:type="dxa"/>
              <w:end w:w="90" w:type="dxa"/>
            </w:tcMar>
            <w:vAlign w:val="top"/>
          </w:tcPr>
          <w:p>
            <w:pPr>
              <w:spacing w:after="0"/>
            </w:pPr>
            <w:r>
              <w:rPr>
                <w:rFonts w:ascii="Liberation Sans" w:hAnsi="Liberation Sans" w:eastAsia="Liberation Sans"/>
                <w:color w:val="1F2937"/>
                <w:sz w:val="16"/>
              </w:rPr>
              <w:t>Decision</w:t>
            </w:r>
          </w:p>
        </w:tc>
        <w:tc>
          <w:tcPr>
            <w:tcW w:type="dxa" w:w="6633"/>
            <w:tcMar>
              <w:top w:w="80" w:type="dxa"/>
              <w:start w:w="90" w:type="dxa"/>
              <w:bottom w:w="80" w:type="dxa"/>
              <w:end w:w="90" w:type="dxa"/>
            </w:tcMar>
            <w:vAlign w:val="top"/>
          </w:tcPr>
          <w:p>
            <w:pPr>
              <w:spacing w:after="0"/>
            </w:pPr>
            <w:r>
              <w:rPr>
                <w:rFonts w:ascii="Liberation Sans" w:hAnsi="Liberation Sans" w:eastAsia="Liberation Sans"/>
                <w:color w:val="1F2937"/>
                <w:sz w:val="16"/>
              </w:rPr>
              <w:t>Approve / Reject / Return for Correction with actor/time/scope snapshot</w:t>
            </w:r>
          </w:p>
        </w:tc>
      </w:tr>
      <w:tr>
        <w:trPr>
          <w:cantSplit/>
        </w:trPr>
        <w:tc>
          <w:tcPr>
            <w:tcW w:type="dxa" w:w="2438"/>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Superseded</w:t>
            </w:r>
          </w:p>
        </w:tc>
        <w:tc>
          <w:tcPr>
            <w:tcW w:type="dxa" w:w="6633"/>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If source record changes, pending old approval becomes SUPERSEDED and cannot be reused</w:t>
            </w:r>
          </w:p>
        </w:tc>
      </w:tr>
      <w:tr>
        <w:trPr>
          <w:cantSplit/>
        </w:trPr>
        <w:tc>
          <w:tcPr>
            <w:tcW w:type="dxa" w:w="2438"/>
            <w:tcMar>
              <w:top w:w="80" w:type="dxa"/>
              <w:start w:w="90" w:type="dxa"/>
              <w:bottom w:w="80" w:type="dxa"/>
              <w:end w:w="90" w:type="dxa"/>
            </w:tcMar>
            <w:vAlign w:val="top"/>
          </w:tcPr>
          <w:p>
            <w:pPr>
              <w:spacing w:after="0"/>
            </w:pPr>
            <w:r>
              <w:rPr>
                <w:rFonts w:ascii="Liberation Sans" w:hAnsi="Liberation Sans" w:eastAsia="Liberation Sans"/>
                <w:color w:val="1F2937"/>
                <w:sz w:val="16"/>
              </w:rPr>
              <w:t>Single Authority Mode</w:t>
            </w:r>
          </w:p>
        </w:tc>
        <w:tc>
          <w:tcPr>
            <w:tcW w:type="dxa" w:w="6633"/>
            <w:tcMar>
              <w:top w:w="80" w:type="dxa"/>
              <w:start w:w="90" w:type="dxa"/>
              <w:bottom w:w="80" w:type="dxa"/>
              <w:end w:w="90" w:type="dxa"/>
            </w:tcMar>
            <w:vAlign w:val="top"/>
          </w:tcPr>
          <w:p>
            <w:pPr>
              <w:spacing w:after="0"/>
            </w:pPr>
            <w:r>
              <w:rPr>
                <w:rFonts w:ascii="Liberation Sans" w:hAnsi="Liberation Sans" w:eastAsia="Liberation Sans"/>
                <w:color w:val="1F2937"/>
                <w:sz w:val="16"/>
              </w:rPr>
              <w:t>Audited configurable exception for genuine one-owner situations, never a generic bypass</w:t>
            </w:r>
          </w:p>
        </w:tc>
      </w:tr>
    </w:tbl>
    <w:p>
      <w:pPr>
        <w:spacing w:after="40"/>
      </w:pPr>
    </w:p>
    <w:p>
      <w:pPr>
        <w:pStyle w:val="Heading2"/>
        <w:keepNext/>
        <w:spacing w:before="120" w:after="80"/>
      </w:pPr>
      <w:r>
        <w:rPr>
          <w:rFonts w:ascii="Liberation Sans" w:hAnsi="Liberation Sans" w:eastAsia="Liberation Sans"/>
          <w:b/>
          <w:color w:val="17324D"/>
          <w:sz w:val="27"/>
        </w:rPr>
        <w:t>11.2 Recommended Pilot Approval Defaults</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438"/>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Domain</w:t>
            </w:r>
          </w:p>
        </w:tc>
        <w:tc>
          <w:tcPr>
            <w:tcW w:type="dxa" w:w="6633"/>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Recommended default</w:t>
            </w:r>
          </w:p>
        </w:tc>
      </w:tr>
      <w:tr>
        <w:trPr>
          <w:cantSplit/>
        </w:trPr>
        <w:tc>
          <w:tcPr>
            <w:tcW w:type="dxa" w:w="2438"/>
            <w:tcMar>
              <w:top w:w="80" w:type="dxa"/>
              <w:start w:w="90" w:type="dxa"/>
              <w:bottom w:w="80" w:type="dxa"/>
              <w:end w:w="90" w:type="dxa"/>
            </w:tcMar>
            <w:vAlign w:val="top"/>
          </w:tcPr>
          <w:p>
            <w:pPr>
              <w:spacing w:after="0"/>
            </w:pPr>
            <w:r>
              <w:rPr>
                <w:rFonts w:ascii="Liberation Sans" w:hAnsi="Liberation Sans" w:eastAsia="Liberation Sans"/>
                <w:color w:val="1F2937"/>
                <w:sz w:val="16"/>
              </w:rPr>
              <w:t>Daily reconciliation</w:t>
            </w:r>
          </w:p>
        </w:tc>
        <w:tc>
          <w:tcPr>
            <w:tcW w:type="dxa" w:w="6633"/>
            <w:tcMar>
              <w:top w:w="80" w:type="dxa"/>
              <w:start w:w="90" w:type="dxa"/>
              <w:bottom w:w="80" w:type="dxa"/>
              <w:end w:w="90" w:type="dxa"/>
            </w:tcMar>
            <w:vAlign w:val="top"/>
          </w:tcPr>
          <w:p>
            <w:pPr>
              <w:spacing w:after="0"/>
            </w:pPr>
            <w:r>
              <w:rPr>
                <w:rFonts w:ascii="Liberation Sans" w:hAnsi="Liberation Sans" w:eastAsia="Liberation Sans"/>
                <w:color w:val="1F2937"/>
                <w:sz w:val="16"/>
              </w:rPr>
              <w:t>Supervisor submits; Owner/authorized management approves. Self-approval off.</w:t>
            </w:r>
          </w:p>
        </w:tc>
      </w:tr>
      <w:tr>
        <w:trPr>
          <w:cantSplit/>
        </w:trPr>
        <w:tc>
          <w:tcPr>
            <w:tcW w:type="dxa" w:w="2438"/>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Supplier payment</w:t>
            </w:r>
          </w:p>
        </w:tc>
        <w:tc>
          <w:tcPr>
            <w:tcW w:type="dxa" w:w="6633"/>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Management approval always; step-up at USD 5,000; second approver target at USD 20,000 when organizationally possible.</w:t>
            </w:r>
          </w:p>
        </w:tc>
      </w:tr>
      <w:tr>
        <w:trPr>
          <w:cantSplit/>
        </w:trPr>
        <w:tc>
          <w:tcPr>
            <w:tcW w:type="dxa" w:w="2438"/>
            <w:tcMar>
              <w:top w:w="80" w:type="dxa"/>
              <w:start w:w="90" w:type="dxa"/>
              <w:bottom w:w="80" w:type="dxa"/>
              <w:end w:w="90" w:type="dxa"/>
            </w:tcMar>
            <w:vAlign w:val="top"/>
          </w:tcPr>
          <w:p>
            <w:pPr>
              <w:spacing w:after="0"/>
            </w:pPr>
            <w:r>
              <w:rPr>
                <w:rFonts w:ascii="Liberation Sans" w:hAnsi="Liberation Sans" w:eastAsia="Liberation Sans"/>
                <w:color w:val="1F2937"/>
                <w:sz w:val="16"/>
              </w:rPr>
              <w:t>Station expense</w:t>
            </w:r>
          </w:p>
        </w:tc>
        <w:tc>
          <w:tcPr>
            <w:tcW w:type="dxa" w:w="6633"/>
            <w:tcMar>
              <w:top w:w="80" w:type="dxa"/>
              <w:start w:w="90" w:type="dxa"/>
              <w:bottom w:w="80" w:type="dxa"/>
              <w:end w:w="90" w:type="dxa"/>
            </w:tcMar>
            <w:vAlign w:val="top"/>
          </w:tcPr>
          <w:p>
            <w:pPr>
              <w:spacing w:after="0"/>
            </w:pPr>
            <w:r>
              <w:rPr>
                <w:rFonts w:ascii="Liberation Sans" w:hAnsi="Liberation Sans" w:eastAsia="Liberation Sans"/>
                <w:color w:val="1F2937"/>
                <w:sz w:val="16"/>
              </w:rPr>
              <w:t>Policy-based; pilot step-up at USD 250, second approval target at USD 1,000; category rules can be stricter.</w:t>
            </w:r>
          </w:p>
        </w:tc>
      </w:tr>
      <w:tr>
        <w:trPr>
          <w:cantSplit/>
        </w:trPr>
        <w:tc>
          <w:tcPr>
            <w:tcW w:type="dxa" w:w="2438"/>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Inventory adjustment</w:t>
            </w:r>
          </w:p>
        </w:tc>
        <w:tc>
          <w:tcPr>
            <w:tcW w:type="dxa" w:w="6633"/>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Management approval; step-up from material litre/value threshold.</w:t>
            </w:r>
          </w:p>
        </w:tc>
      </w:tr>
      <w:tr>
        <w:trPr>
          <w:cantSplit/>
        </w:trPr>
        <w:tc>
          <w:tcPr>
            <w:tcW w:type="dxa" w:w="2438"/>
            <w:tcMar>
              <w:top w:w="80" w:type="dxa"/>
              <w:start w:w="90" w:type="dxa"/>
              <w:bottom w:w="80" w:type="dxa"/>
              <w:end w:w="90" w:type="dxa"/>
            </w:tcMar>
            <w:vAlign w:val="top"/>
          </w:tcPr>
          <w:p>
            <w:pPr>
              <w:spacing w:after="0"/>
            </w:pPr>
            <w:r>
              <w:rPr>
                <w:rFonts w:ascii="Liberation Sans" w:hAnsi="Liberation Sans" w:eastAsia="Liberation Sans"/>
                <w:color w:val="1F2937"/>
                <w:sz w:val="16"/>
              </w:rPr>
              <w:t>Customer limit override</w:t>
            </w:r>
          </w:p>
        </w:tc>
        <w:tc>
          <w:tcPr>
            <w:tcW w:type="dxa" w:w="6633"/>
            <w:tcMar>
              <w:top w:w="80" w:type="dxa"/>
              <w:start w:w="90" w:type="dxa"/>
              <w:bottom w:w="80" w:type="dxa"/>
              <w:end w:w="90" w:type="dxa"/>
            </w:tcMar>
            <w:vAlign w:val="top"/>
          </w:tcPr>
          <w:p>
            <w:pPr>
              <w:spacing w:after="0"/>
            </w:pPr>
            <w:r>
              <w:rPr>
                <w:rFonts w:ascii="Liberation Sans" w:hAnsi="Liberation Sans" w:eastAsia="Liberation Sans"/>
                <w:color w:val="1F2937"/>
                <w:sz w:val="16"/>
              </w:rPr>
              <w:t>Always explicit management approval.</w:t>
            </w:r>
          </w:p>
        </w:tc>
      </w:tr>
      <w:tr>
        <w:trPr>
          <w:cantSplit/>
        </w:trPr>
        <w:tc>
          <w:tcPr>
            <w:tcW w:type="dxa" w:w="2438"/>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Price / bank-account change / reversal</w:t>
            </w:r>
          </w:p>
        </w:tc>
        <w:tc>
          <w:tcPr>
            <w:tcW w:type="dxa" w:w="6633"/>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High-risk approval with step-up and audit.</w:t>
            </w:r>
          </w:p>
        </w:tc>
      </w:tr>
    </w:tbl>
    <w:p>
      <w:pPr>
        <w:spacing w:after="40"/>
      </w:pPr>
    </w:p>
    <w:p>
      <w:pPr>
        <w:spacing w:after="100" w:line="259" w:lineRule="auto"/>
      </w:pPr>
      <w:r>
        <w:rPr>
          <w:rFonts w:ascii="Liberation Sans" w:hAnsi="Liberation Sans" w:eastAsia="Liberation Sans"/>
          <w:color w:val="1F2937"/>
          <w:sz w:val="18"/>
        </w:rPr>
        <w:t>These thresholds are configuration and pilot defaults, not hard-coded accounting truth. Tune from real TEI volumes after observing the pilot.</w:t>
      </w:r>
    </w:p>
    <w:p>
      <w:pPr>
        <w:pStyle w:val="Heading2"/>
        <w:keepNext/>
        <w:spacing w:before="120" w:after="80"/>
      </w:pPr>
      <w:r>
        <w:rPr>
          <w:rFonts w:ascii="Liberation Sans" w:hAnsi="Liberation Sans" w:eastAsia="Liberation Sans"/>
          <w:b/>
          <w:color w:val="17324D"/>
          <w:sz w:val="27"/>
        </w:rPr>
        <w:t>11.3 Exceptions &amp; Action Center</w:t>
      </w:r>
    </w:p>
    <w:p>
      <w:pPr>
        <w:spacing w:after="100" w:line="259" w:lineRule="auto"/>
      </w:pPr>
      <w:r>
        <w:rPr>
          <w:rFonts w:ascii="Liberation Sans" w:hAnsi="Liberation Sans" w:eastAsia="Liberation Sans"/>
          <w:color w:val="1F2937"/>
          <w:sz w:val="18"/>
        </w:rPr>
        <w:t>Business exceptions record unresolved conditions such as cash shortage, delivery variance, provider settlement difference, low stock, overdue invoices and missing evidence. The Action Center is a rebuildable projection that prioritizes approvals/exceptions/tasks but never becomes financial source-of-truth.</w:t>
      </w:r>
    </w:p>
    <w:p>
      <w:pPr>
        <w:pStyle w:val="Heading2"/>
        <w:keepNext/>
        <w:spacing w:before="120" w:after="80"/>
      </w:pPr>
      <w:r>
        <w:rPr>
          <w:rFonts w:ascii="Liberation Sans" w:hAnsi="Liberation Sans" w:eastAsia="Liberation Sans"/>
          <w:b/>
          <w:color w:val="17324D"/>
          <w:sz w:val="27"/>
        </w:rPr>
        <w:t>11.4 Documents</w:t>
      </w:r>
    </w:p>
    <w:p>
      <w:pPr>
        <w:pStyle w:val="ListBullet"/>
        <w:spacing w:after="30" w:line="247" w:lineRule="auto"/>
        <w:ind w:left="255" w:hanging="113"/>
      </w:pPr>
      <w:r>
        <w:rPr>
          <w:rFonts w:ascii="Liberation Sans" w:hAnsi="Liberation Sans" w:eastAsia="Liberation Sans"/>
          <w:color w:val="1F2937"/>
          <w:sz w:val="18"/>
        </w:rPr>
        <w:t>Private object storage; documents are versioned and never overwritten in place.</w:t>
      </w:r>
    </w:p>
    <w:p>
      <w:pPr>
        <w:pStyle w:val="ListBullet"/>
        <w:spacing w:after="30" w:line="247" w:lineRule="auto"/>
        <w:ind w:left="255" w:hanging="113"/>
      </w:pPr>
      <w:r>
        <w:rPr>
          <w:rFonts w:ascii="Liberation Sans" w:hAnsi="Liberation Sans" w:eastAsia="Liberation Sans"/>
          <w:color w:val="1F2937"/>
          <w:sz w:val="18"/>
        </w:rPr>
        <w:t>Upload lifecycle: pending → uploaded/unverified → server verification → available / rejected / quarantined.</w:t>
      </w:r>
    </w:p>
    <w:p>
      <w:pPr>
        <w:pStyle w:val="ListBullet"/>
        <w:spacing w:after="30" w:line="247" w:lineRule="auto"/>
        <w:ind w:left="255" w:hanging="113"/>
      </w:pPr>
      <w:r>
        <w:rPr>
          <w:rFonts w:ascii="Liberation Sans" w:hAnsi="Liberation Sans" w:eastAsia="Liberation Sans"/>
          <w:color w:val="1F2937"/>
          <w:sz w:val="18"/>
        </w:rPr>
        <w:t>Verification checks object identity, file size, MIME/magic bytes, checksum and tenant/document relationship.</w:t>
      </w:r>
    </w:p>
    <w:p>
      <w:pPr>
        <w:pStyle w:val="ListBullet"/>
        <w:spacing w:after="30" w:line="247" w:lineRule="auto"/>
        <w:ind w:left="255" w:hanging="113"/>
      </w:pPr>
      <w:r>
        <w:rPr>
          <w:rFonts w:ascii="Liberation Sans" w:hAnsi="Liberation Sans" w:eastAsia="Liberation Sans"/>
          <w:color w:val="1F2937"/>
          <w:sz w:val="18"/>
        </w:rPr>
        <w:t>Required evidence only accepts verified AVAILABLE document versions.</w:t>
      </w:r>
    </w:p>
    <w:p>
      <w:pPr>
        <w:pStyle w:val="Heading2"/>
        <w:keepNext/>
        <w:spacing w:before="120" w:after="80"/>
      </w:pPr>
      <w:r>
        <w:rPr>
          <w:rFonts w:ascii="Liberation Sans" w:hAnsi="Liberation Sans" w:eastAsia="Liberation Sans"/>
          <w:b/>
          <w:color w:val="17324D"/>
          <w:sz w:val="27"/>
        </w:rPr>
        <w:t>11.5 Tamper-Evident Audit</w:t>
      </w:r>
    </w:p>
    <w:p>
      <w:pPr>
        <w:pStyle w:val="ListBullet"/>
        <w:spacing w:after="30" w:line="247" w:lineRule="auto"/>
        <w:ind w:left="255" w:hanging="113"/>
      </w:pPr>
      <w:r>
        <w:rPr>
          <w:rFonts w:ascii="Liberation Sans" w:hAnsi="Liberation Sans" w:eastAsia="Liberation Sans"/>
          <w:color w:val="1F2937"/>
          <w:sz w:val="18"/>
        </w:rPr>
        <w:t>Every consequential command appends an audit event with actor, command, resource, before/after state where appropriate, reason, timestamp and request ID.</w:t>
      </w:r>
    </w:p>
    <w:p>
      <w:pPr>
        <w:pStyle w:val="ListBullet"/>
        <w:spacing w:after="30" w:line="247" w:lineRule="auto"/>
        <w:ind w:left="255" w:hanging="113"/>
      </w:pPr>
      <w:r>
        <w:rPr>
          <w:rFonts w:ascii="Liberation Sans" w:hAnsi="Liberation Sans" w:eastAsia="Liberation Sans"/>
          <w:color w:val="1F2937"/>
          <w:sz w:val="18"/>
        </w:rPr>
        <w:t>Audit events are independently signed/HMACed with key version identifiers rather than creating one global sequential hash bottleneck.</w:t>
      </w:r>
    </w:p>
    <w:p>
      <w:pPr>
        <w:pStyle w:val="ListBullet"/>
        <w:spacing w:after="30" w:line="247" w:lineRule="auto"/>
        <w:ind w:left="255" w:hanging="113"/>
      </w:pPr>
      <w:r>
        <w:rPr>
          <w:rFonts w:ascii="Liberation Sans" w:hAnsi="Liberation Sans" w:eastAsia="Liberation Sans"/>
          <w:color w:val="1F2937"/>
          <w:sz w:val="18"/>
        </w:rPr>
        <w:t>Periodic per-tenant signed root/Merkle checkpoints are exported to retention-protected private storage so later tampering becomes detectable.</w:t>
      </w:r>
    </w:p>
    <w:p>
      <w:pPr>
        <w:pStyle w:val="ListBullet"/>
        <w:spacing w:after="30" w:line="247" w:lineRule="auto"/>
        <w:ind w:left="255" w:hanging="113"/>
      </w:pPr>
      <w:r>
        <w:rPr>
          <w:rFonts w:ascii="Liberation Sans" w:hAnsi="Liberation Sans" w:eastAsia="Liberation Sans"/>
          <w:color w:val="1F2937"/>
          <w:sz w:val="18"/>
        </w:rPr>
        <w:t>Security events are separate from business audit and cover login/MFA failures, recovery, elevation, cross-tenant denial, sensitive exports and break-glass access.</w:t>
      </w:r>
    </w:p>
    <w:p>
      <w:pPr>
        <w:pStyle w:val="Heading1"/>
        <w:keepNext/>
        <w:spacing w:before="180" w:after="80"/>
      </w:pPr>
      <w:r>
        <w:rPr>
          <w:rFonts w:ascii="Liberation Sans" w:hAnsi="Liberation Sans" w:eastAsia="Liberation Sans"/>
          <w:b/>
          <w:color w:val="17324D"/>
          <w:sz w:val="36"/>
        </w:rPr>
        <w:t>12. Security, Privacy &amp; Tenant Isolation</w:t>
      </w:r>
    </w:p>
    <w:p>
      <w:pPr>
        <w:pStyle w:val="Heading2"/>
        <w:keepNext/>
        <w:spacing w:before="120" w:after="80"/>
      </w:pPr>
      <w:r>
        <w:rPr>
          <w:rFonts w:ascii="Liberation Sans" w:hAnsi="Liberation Sans" w:eastAsia="Liberation Sans"/>
          <w:b/>
          <w:color w:val="17324D"/>
          <w:sz w:val="27"/>
        </w:rPr>
        <w:t>12.1 Defense in Depth</w:t>
      </w:r>
    </w:p>
    <w:p>
      <w:pPr>
        <w:jc w:val="center"/>
      </w:pPr>
      <w:r>
        <w:drawing>
          <wp:inline xmlns:a="http://schemas.openxmlformats.org/drawingml/2006/main" xmlns:pic="http://schemas.openxmlformats.org/drawingml/2006/picture">
            <wp:extent cx="5669280" cy="3335261"/>
            <wp:docPr id="6" name="Picture 6" descr="Security request path with authentication, membership, authorization, tenant transaction context, RLS and named command constraints." title="Figure 6. Protected request path from authentication through authorization, tenant context, RLS and database constraints."/>
            <wp:cNvGraphicFramePr>
              <a:graphicFrameLocks noChangeAspect="1"/>
            </wp:cNvGraphicFramePr>
            <a:graphic>
              <a:graphicData uri="http://schemas.openxmlformats.org/drawingml/2006/picture">
                <pic:pic>
                  <pic:nvPicPr>
                    <pic:cNvPr id="0" name="06_security_path.png"/>
                    <pic:cNvPicPr/>
                  </pic:nvPicPr>
                  <pic:blipFill>
                    <a:blip r:embed="rId16"/>
                    <a:stretch>
                      <a:fillRect/>
                    </a:stretch>
                  </pic:blipFill>
                  <pic:spPr>
                    <a:xfrm>
                      <a:off x="0" y="0"/>
                      <a:ext cx="5669280" cy="3335261"/>
                    </a:xfrm>
                    <a:prstGeom prst="rect"/>
                  </pic:spPr>
                </pic:pic>
              </a:graphicData>
            </a:graphic>
          </wp:inline>
        </w:drawing>
      </w:r>
    </w:p>
    <w:p>
      <w:pPr>
        <w:pStyle w:val="Caption"/>
        <w:jc w:val="center"/>
      </w:pPr>
      <w:r>
        <w:rPr>
          <w:i/>
          <w:color w:val="667085"/>
          <w:sz w:val="18"/>
        </w:rPr>
        <w:t>Figure 6. Protected request path from authentication through authorization, tenant context, RLS and database constraints.</w:t>
      </w:r>
    </w:p>
    <w:tbl>
      <w:tblPr>
        <w:tblW w:type="auto" w:w="0"/>
        <w:jc w:val="center"/>
        <w:tblLook w:firstColumn="1" w:firstRow="1" w:lastColumn="0" w:lastRow="0" w:noHBand="0" w:noVBand="1" w:val="04A0"/>
      </w:tblPr>
      <w:tblGrid>
        <w:gridCol w:w="10036"/>
      </w:tblGrid>
      <w:tr>
        <w:tc>
          <w:tcPr>
            <w:tcW w:type="dxa" w:w="10036"/>
            <w:shd w:fill="F2F4F7"/>
            <w:tcMar>
              <w:top w:w="90" w:type="dxa"/>
              <w:start w:w="130" w:type="dxa"/>
              <w:bottom w:w="90" w:type="dxa"/>
              <w:end w:w="130" w:type="dxa"/>
            </w:tcMar>
          </w:tcPr>
          <w:p>
            <w:pPr>
              <w:spacing w:after="0"/>
            </w:pPr>
            <w:r>
              <w:rPr>
                <w:rFonts w:ascii="Liberation Mono" w:hAnsi="Liberation Mono" w:eastAsia="Liberation Mono"/>
                <w:color w:val="1F2937"/>
                <w:sz w:val="15"/>
              </w:rPr>
              <w:t>WAF / TLS / rate limits</w:t>
            </w:r>
            <w:r>
              <w:br/>
            </w:r>
            <w:r>
              <w:rPr>
                <w:rFonts w:ascii="Liberation Mono" w:hAnsi="Liberation Mono" w:eastAsia="Liberation Mono"/>
                <w:color w:val="1F2937"/>
                <w:sz w:val="15"/>
              </w:rPr>
              <w:t xml:space="preserve">   → Better Auth session</w:t>
            </w:r>
            <w:r>
              <w:br/>
            </w:r>
            <w:r>
              <w:rPr>
                <w:rFonts w:ascii="Liberation Mono" w:hAnsi="Liberation Mono" w:eastAsia="Liberation Mono"/>
                <w:color w:val="1F2937"/>
                <w:sz w:val="15"/>
              </w:rPr>
              <w:t xml:space="preserve">      → Active tenant membership validation</w:t>
            </w:r>
            <w:r>
              <w:br/>
            </w:r>
            <w:r>
              <w:rPr>
                <w:rFonts w:ascii="Liberation Mono" w:hAnsi="Liberation Mono" w:eastAsia="Liberation Mono"/>
                <w:color w:val="1F2937"/>
                <w:sz w:val="15"/>
              </w:rPr>
              <w:t xml:space="preserve">         → Permission + scope authorization</w:t>
            </w:r>
            <w:r>
              <w:br/>
            </w:r>
            <w:r>
              <w:rPr>
                <w:rFonts w:ascii="Liberation Mono" w:hAnsi="Liberation Mono" w:eastAsia="Liberation Mono"/>
                <w:color w:val="1F2937"/>
                <w:sz w:val="15"/>
              </w:rPr>
              <w:t xml:space="preserve">            → Tenant DB transaction context</w:t>
            </w:r>
            <w:r>
              <w:br/>
            </w:r>
            <w:r>
              <w:rPr>
                <w:rFonts w:ascii="Liberation Mono" w:hAnsi="Liberation Mono" w:eastAsia="Liberation Mono"/>
                <w:color w:val="1F2937"/>
                <w:sz w:val="15"/>
              </w:rPr>
              <w:t xml:space="preserve">               → PostgreSQL RLS</w:t>
            </w:r>
            <w:r>
              <w:br/>
            </w:r>
            <w:r>
              <w:rPr>
                <w:rFonts w:ascii="Liberation Mono" w:hAnsi="Liberation Mono" w:eastAsia="Liberation Mono"/>
                <w:color w:val="1F2937"/>
                <w:sz w:val="15"/>
              </w:rPr>
              <w:t xml:space="preserve">                  → composite tenant-aware FKs + CHECK/UNIQUE/exclusion constraints</w:t>
            </w:r>
            <w:r>
              <w:br/>
            </w:r>
            <w:r>
              <w:rPr>
                <w:rFonts w:ascii="Liberation Mono" w:hAnsi="Liberation Mono" w:eastAsia="Liberation Mono"/>
                <w:color w:val="1F2937"/>
                <w:sz w:val="15"/>
              </w:rPr>
              <w:t xml:space="preserve">                     → domain ledgers + audit</w:t>
            </w:r>
          </w:p>
        </w:tc>
      </w:tr>
    </w:tbl>
    <w:p>
      <w:pPr>
        <w:spacing w:after="20"/>
      </w:pPr>
    </w:p>
    <w:p>
      <w:pPr>
        <w:pStyle w:val="Heading2"/>
        <w:keepNext/>
        <w:spacing w:before="120" w:after="80"/>
      </w:pPr>
      <w:r>
        <w:rPr>
          <w:rFonts w:ascii="Liberation Sans" w:hAnsi="Liberation Sans" w:eastAsia="Liberation Sans"/>
          <w:b/>
          <w:color w:val="17324D"/>
          <w:sz w:val="27"/>
        </w:rPr>
        <w:t>12.2 Authentication</w:t>
      </w:r>
    </w:p>
    <w:p>
      <w:pPr>
        <w:pStyle w:val="ListBullet"/>
        <w:spacing w:after="30" w:line="247" w:lineRule="auto"/>
        <w:ind w:left="255" w:hanging="113"/>
      </w:pPr>
      <w:r>
        <w:rPr>
          <w:rFonts w:ascii="Liberation Sans" w:hAnsi="Liberation Sans" w:eastAsia="Liberation Sans"/>
          <w:color w:val="1F2937"/>
          <w:sz w:val="18"/>
        </w:rPr>
        <w:t>Better Auth identity/session layer; Shanda owns tenant membership and business authorization.</w:t>
      </w:r>
    </w:p>
    <w:p>
      <w:pPr>
        <w:pStyle w:val="ListBullet"/>
        <w:spacing w:after="30" w:line="247" w:lineRule="auto"/>
        <w:ind w:left="255" w:hanging="113"/>
      </w:pPr>
      <w:r>
        <w:rPr>
          <w:rFonts w:ascii="Liberation Sans" w:hAnsi="Liberation Sans" w:eastAsia="Liberation Sans"/>
          <w:color w:val="1F2937"/>
          <w:sz w:val="18"/>
        </w:rPr>
        <w:t>Passkey preferred; password + TOTP fallback; no SMS dependency initially.</w:t>
      </w:r>
    </w:p>
    <w:p>
      <w:pPr>
        <w:pStyle w:val="ListBullet"/>
        <w:spacing w:after="30" w:line="247" w:lineRule="auto"/>
        <w:ind w:left="255" w:hanging="113"/>
      </w:pPr>
      <w:r>
        <w:rPr>
          <w:rFonts w:ascii="Liberation Sans" w:hAnsi="Liberation Sans" w:eastAsia="Liberation Sans"/>
          <w:color w:val="1F2937"/>
          <w:sz w:val="18"/>
        </w:rPr>
        <w:t>Strong authentication required for Owner/Admin/Finance/Supervisor by default.</w:t>
      </w:r>
    </w:p>
    <w:p>
      <w:pPr>
        <w:pStyle w:val="ListBullet"/>
        <w:spacing w:after="30" w:line="247" w:lineRule="auto"/>
        <w:ind w:left="255" w:hanging="113"/>
      </w:pPr>
      <w:r>
        <w:rPr>
          <w:rFonts w:ascii="Liberation Sans" w:hAnsi="Liberation Sans" w:eastAsia="Liberation Sans"/>
          <w:color w:val="1F2937"/>
          <w:sz w:val="18"/>
        </w:rPr>
        <w:t>High-risk step-up sessions are short-lived; two step-up levels may be used for very sensitive actions.</w:t>
      </w:r>
    </w:p>
    <w:p>
      <w:pPr>
        <w:pStyle w:val="ListBullet"/>
        <w:spacing w:after="30" w:line="247" w:lineRule="auto"/>
        <w:ind w:left="255" w:hanging="113"/>
      </w:pPr>
      <w:r>
        <w:rPr>
          <w:rFonts w:ascii="Liberation Sans" w:hAnsi="Liberation Sans" w:eastAsia="Liberation Sans"/>
          <w:color w:val="1F2937"/>
          <w:sz w:val="18"/>
        </w:rPr>
        <w:t>Disabling membership revokes sessions, grants and outstanding access while retaining historical identity.</w:t>
      </w:r>
    </w:p>
    <w:p>
      <w:pPr>
        <w:pStyle w:val="Heading2"/>
        <w:keepNext/>
        <w:spacing w:before="120" w:after="80"/>
      </w:pPr>
      <w:r>
        <w:rPr>
          <w:rFonts w:ascii="Liberation Sans" w:hAnsi="Liberation Sans" w:eastAsia="Liberation Sans"/>
          <w:b/>
          <w:color w:val="17324D"/>
          <w:sz w:val="27"/>
        </w:rPr>
        <w:t>12.3 Database Isolation</w:t>
      </w:r>
    </w:p>
    <w:p>
      <w:pPr>
        <w:pStyle w:val="ListBullet"/>
        <w:spacing w:after="30" w:line="247" w:lineRule="auto"/>
        <w:ind w:left="255" w:hanging="113"/>
      </w:pPr>
      <w:r>
        <w:rPr>
          <w:rFonts w:ascii="Liberation Sans" w:hAnsi="Liberation Sans" w:eastAsia="Liberation Sans"/>
          <w:color w:val="1F2937"/>
          <w:sz w:val="18"/>
        </w:rPr>
        <w:t>Business tables carry tenant_id; important parent keys are unique as (tenant_id, id); child foreign keys repeat tenant_id so cross-tenant linkage fails at PostgreSQL level.</w:t>
      </w:r>
    </w:p>
    <w:p>
      <w:pPr>
        <w:pStyle w:val="ListBullet"/>
        <w:spacing w:after="30" w:line="247" w:lineRule="auto"/>
        <w:ind w:left="255" w:hanging="113"/>
      </w:pPr>
      <w:r>
        <w:rPr>
          <w:rFonts w:ascii="Liberation Sans" w:hAnsi="Liberation Sans" w:eastAsia="Liberation Sans"/>
          <w:color w:val="1F2937"/>
          <w:sz w:val="18"/>
        </w:rPr>
        <w:t>Runtime DB role is not schema owner and cannot alter/disable RLS.</w:t>
      </w:r>
    </w:p>
    <w:p>
      <w:pPr>
        <w:pStyle w:val="ListBullet"/>
        <w:spacing w:after="30" w:line="247" w:lineRule="auto"/>
        <w:ind w:left="255" w:hanging="113"/>
      </w:pPr>
      <w:r>
        <w:rPr>
          <w:rFonts w:ascii="Liberation Sans" w:hAnsi="Liberation Sans" w:eastAsia="Liberation Sans"/>
          <w:color w:val="1F2937"/>
          <w:sz w:val="18"/>
        </w:rPr>
        <w:t>Every normal read and write runs through a transaction-local tenant context; missing context fails closed.</w:t>
      </w:r>
    </w:p>
    <w:p>
      <w:pPr>
        <w:pStyle w:val="ListBullet"/>
        <w:spacing w:after="30" w:line="247" w:lineRule="auto"/>
        <w:ind w:left="255" w:hanging="113"/>
      </w:pPr>
      <w:r>
        <w:rPr>
          <w:rFonts w:ascii="Liberation Sans" w:hAnsi="Liberation Sans" w:eastAsia="Liberation Sans"/>
          <w:color w:val="1F2937"/>
          <w:sz w:val="18"/>
        </w:rPr>
        <w:t>Background jobs execute under explicit tenant/source context rather than hidden bypass credentials.</w:t>
      </w:r>
    </w:p>
    <w:p>
      <w:pPr>
        <w:pStyle w:val="ListBullet"/>
        <w:spacing w:after="30" w:line="247" w:lineRule="auto"/>
        <w:ind w:left="255" w:hanging="113"/>
      </w:pPr>
      <w:r>
        <w:rPr>
          <w:rFonts w:ascii="Liberation Sans" w:hAnsi="Liberation Sans" w:eastAsia="Liberation Sans"/>
          <w:color w:val="1F2937"/>
          <w:sz w:val="18"/>
        </w:rPr>
        <w:t>SECURITY DEFINER functions are prohibited by default unless narrowly reviewed.</w:t>
      </w:r>
    </w:p>
    <w:p>
      <w:pPr>
        <w:pStyle w:val="Heading2"/>
        <w:keepNext/>
        <w:spacing w:before="120" w:after="80"/>
      </w:pPr>
      <w:r>
        <w:rPr>
          <w:rFonts w:ascii="Liberation Sans" w:hAnsi="Liberation Sans" w:eastAsia="Liberation Sans"/>
          <w:b/>
          <w:color w:val="17324D"/>
          <w:sz w:val="27"/>
        </w:rPr>
        <w:t>12.4 Support Access</w:t>
      </w:r>
    </w:p>
    <w:p>
      <w:pPr>
        <w:spacing w:after="100" w:line="259" w:lineRule="auto"/>
      </w:pPr>
      <w:r>
        <w:rPr>
          <w:rFonts w:ascii="Liberation Sans" w:hAnsi="Liberation Sans" w:eastAsia="Liberation Sans"/>
          <w:color w:val="1F2937"/>
          <w:sz w:val="18"/>
        </w:rPr>
        <w:t>Support has no permanent unrestricted customer-data role. Access is temporary, scoped, expiring, owner-authorized where practical, read-only by default, visibly bannered in the customer UI and audited under a separate SUPPORT actor rather than impersonating the user.</w:t>
      </w:r>
    </w:p>
    <w:p>
      <w:pPr>
        <w:pStyle w:val="Heading2"/>
        <w:keepNext/>
        <w:spacing w:before="120" w:after="80"/>
      </w:pPr>
      <w:r>
        <w:rPr>
          <w:rFonts w:ascii="Liberation Sans" w:hAnsi="Liberation Sans" w:eastAsia="Liberation Sans"/>
          <w:b/>
          <w:color w:val="17324D"/>
          <w:sz w:val="27"/>
        </w:rPr>
        <w:t>12.5 Sensitive Data &amp; Exports</w:t>
      </w:r>
    </w:p>
    <w:p>
      <w:pPr>
        <w:pStyle w:val="ListBullet"/>
        <w:spacing w:after="30" w:line="247" w:lineRule="auto"/>
        <w:ind w:left="255" w:hanging="113"/>
      </w:pPr>
      <w:r>
        <w:rPr>
          <w:rFonts w:ascii="Liberation Sans" w:hAnsi="Liberation Sans" w:eastAsia="Liberation Sans"/>
          <w:color w:val="1F2937"/>
          <w:sz w:val="18"/>
        </w:rPr>
        <w:t>Full bank account details are encrypted/permission-controlled; UI normally uses masked identifiers.</w:t>
      </w:r>
    </w:p>
    <w:p>
      <w:pPr>
        <w:pStyle w:val="ListBullet"/>
        <w:spacing w:after="30" w:line="247" w:lineRule="auto"/>
        <w:ind w:left="255" w:hanging="113"/>
      </w:pPr>
      <w:r>
        <w:rPr>
          <w:rFonts w:ascii="Liberation Sans" w:hAnsi="Liberation Sans" w:eastAsia="Liberation Sans"/>
          <w:color w:val="1F2937"/>
          <w:sz w:val="18"/>
        </w:rPr>
        <w:t>Logs redact sensitive content; no session replay with sensitive financial forms.</w:t>
      </w:r>
    </w:p>
    <w:p>
      <w:pPr>
        <w:pStyle w:val="ListBullet"/>
        <w:spacing w:after="30" w:line="247" w:lineRule="auto"/>
        <w:ind w:left="255" w:hanging="113"/>
      </w:pPr>
      <w:r>
        <w:rPr>
          <w:rFonts w:ascii="Liberation Sans" w:hAnsi="Liberation Sans" w:eastAsia="Liberation Sans"/>
          <w:color w:val="1F2937"/>
          <w:sz w:val="18"/>
        </w:rPr>
        <w:t>Export authorization is rechecked at request, worker execution and download.</w:t>
      </w:r>
    </w:p>
    <w:p>
      <w:pPr>
        <w:pStyle w:val="ListBullet"/>
        <w:spacing w:after="30" w:line="247" w:lineRule="auto"/>
        <w:ind w:left="255" w:hanging="113"/>
      </w:pPr>
      <w:r>
        <w:rPr>
          <w:rFonts w:ascii="Liberation Sans" w:hAnsi="Liberation Sans" w:eastAsia="Liberation Sans"/>
          <w:color w:val="1F2937"/>
          <w:sz w:val="18"/>
        </w:rPr>
        <w:t>Notification previews contain minimal safe information; sensitive amounts/details remain inside the authenticated app.</w:t>
      </w:r>
    </w:p>
    <w:p>
      <w:pPr>
        <w:pStyle w:val="Heading1"/>
        <w:keepNext/>
        <w:spacing w:before="180" w:after="80"/>
      </w:pPr>
      <w:r>
        <w:rPr>
          <w:rFonts w:ascii="Liberation Sans" w:hAnsi="Liberation Sans" w:eastAsia="Liberation Sans"/>
          <w:b/>
          <w:color w:val="17324D"/>
          <w:sz w:val="36"/>
        </w:rPr>
        <w:t>13. Engineering Architecture</w:t>
      </w:r>
    </w:p>
    <w:p>
      <w:pPr>
        <w:pStyle w:val="Heading2"/>
        <w:keepNext/>
        <w:spacing w:before="120" w:after="80"/>
      </w:pPr>
      <w:r>
        <w:rPr>
          <w:rFonts w:ascii="Liberation Sans" w:hAnsi="Liberation Sans" w:eastAsia="Liberation Sans"/>
          <w:b/>
          <w:color w:val="17324D"/>
          <w:sz w:val="27"/>
        </w:rPr>
        <w:t>13.1 Recommended Stack</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324"/>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Layer</w:t>
            </w:r>
          </w:p>
        </w:tc>
        <w:tc>
          <w:tcPr>
            <w:tcW w:type="dxa" w:w="6746"/>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Recommendation</w:t>
            </w:r>
          </w:p>
        </w:tc>
      </w:tr>
      <w:tr>
        <w:trPr>
          <w:cantSplit/>
        </w:trPr>
        <w:tc>
          <w:tcPr>
            <w:tcW w:type="dxa" w:w="2324"/>
            <w:tcMar>
              <w:top w:w="80" w:type="dxa"/>
              <w:start w:w="90" w:type="dxa"/>
              <w:bottom w:w="80" w:type="dxa"/>
              <w:end w:w="90" w:type="dxa"/>
            </w:tcMar>
            <w:vAlign w:val="top"/>
          </w:tcPr>
          <w:p>
            <w:pPr>
              <w:spacing w:after="0"/>
            </w:pPr>
            <w:r>
              <w:rPr>
                <w:rFonts w:ascii="Liberation Sans" w:hAnsi="Liberation Sans" w:eastAsia="Liberation Sans"/>
                <w:color w:val="1F2937"/>
                <w:sz w:val="16"/>
              </w:rPr>
              <w:t>Web application</w:t>
            </w:r>
          </w:p>
        </w:tc>
        <w:tc>
          <w:tcPr>
            <w:tcW w:type="dxa" w:w="6746"/>
            <w:tcMar>
              <w:top w:w="80" w:type="dxa"/>
              <w:start w:w="90" w:type="dxa"/>
              <w:bottom w:w="80" w:type="dxa"/>
              <w:end w:w="90" w:type="dxa"/>
            </w:tcMar>
            <w:vAlign w:val="top"/>
          </w:tcPr>
          <w:p>
            <w:pPr>
              <w:spacing w:after="0"/>
            </w:pPr>
            <w:r>
              <w:rPr>
                <w:rFonts w:ascii="Liberation Sans" w:hAnsi="Liberation Sans" w:eastAsia="Liberation Sans"/>
                <w:color w:val="1F2937"/>
                <w:sz w:val="16"/>
              </w:rPr>
              <w:t>Next.js 16.x, Node 24 LTS, TypeScript strict</w:t>
            </w:r>
          </w:p>
        </w:tc>
      </w:tr>
      <w:tr>
        <w:trPr>
          <w:cantSplit/>
        </w:trPr>
        <w:tc>
          <w:tcPr>
            <w:tcW w:type="dxa" w:w="2324"/>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Hosting</w:t>
            </w:r>
          </w:p>
        </w:tc>
        <w:tc>
          <w:tcPr>
            <w:tcW w:type="dxa" w:w="6746"/>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Separate Shanda Fuel Vercel project; core financial runtime on Node, not Edge</w:t>
            </w:r>
          </w:p>
        </w:tc>
      </w:tr>
      <w:tr>
        <w:trPr>
          <w:cantSplit/>
        </w:trPr>
        <w:tc>
          <w:tcPr>
            <w:tcW w:type="dxa" w:w="2324"/>
            <w:tcMar>
              <w:top w:w="80" w:type="dxa"/>
              <w:start w:w="90" w:type="dxa"/>
              <w:bottom w:w="80" w:type="dxa"/>
              <w:end w:w="90" w:type="dxa"/>
            </w:tcMar>
            <w:vAlign w:val="top"/>
          </w:tcPr>
          <w:p>
            <w:pPr>
              <w:spacing w:after="0"/>
            </w:pPr>
            <w:r>
              <w:rPr>
                <w:rFonts w:ascii="Liberation Sans" w:hAnsi="Liberation Sans" w:eastAsia="Liberation Sans"/>
                <w:color w:val="1F2937"/>
                <w:sz w:val="16"/>
              </w:rPr>
              <w:t>Database</w:t>
            </w:r>
          </w:p>
        </w:tc>
        <w:tc>
          <w:tcPr>
            <w:tcW w:type="dxa" w:w="6746"/>
            <w:tcMar>
              <w:top w:w="80" w:type="dxa"/>
              <w:start w:w="90" w:type="dxa"/>
              <w:bottom w:w="80" w:type="dxa"/>
              <w:end w:w="90" w:type="dxa"/>
            </w:tcMar>
            <w:vAlign w:val="top"/>
          </w:tcPr>
          <w:p>
            <w:pPr>
              <w:spacing w:after="0"/>
            </w:pPr>
            <w:r>
              <w:rPr>
                <w:rFonts w:ascii="Liberation Sans" w:hAnsi="Liberation Sans" w:eastAsia="Liberation Sans"/>
                <w:color w:val="1F2937"/>
                <w:sz w:val="16"/>
              </w:rPr>
              <w:t>Neon PostgreSQL with explicit RLS and Drizzle ORM</w:t>
            </w:r>
          </w:p>
        </w:tc>
      </w:tr>
      <w:tr>
        <w:trPr>
          <w:cantSplit/>
        </w:trPr>
        <w:tc>
          <w:tcPr>
            <w:tcW w:type="dxa" w:w="2324"/>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Authentication</w:t>
            </w:r>
          </w:p>
        </w:tc>
        <w:tc>
          <w:tcPr>
            <w:tcW w:type="dxa" w:w="6746"/>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Better Auth</w:t>
            </w:r>
          </w:p>
        </w:tc>
      </w:tr>
      <w:tr>
        <w:trPr>
          <w:cantSplit/>
        </w:trPr>
        <w:tc>
          <w:tcPr>
            <w:tcW w:type="dxa" w:w="2324"/>
            <w:tcMar>
              <w:top w:w="80" w:type="dxa"/>
              <w:start w:w="90" w:type="dxa"/>
              <w:bottom w:w="80" w:type="dxa"/>
              <w:end w:w="90" w:type="dxa"/>
            </w:tcMar>
            <w:vAlign w:val="top"/>
          </w:tcPr>
          <w:p>
            <w:pPr>
              <w:spacing w:after="0"/>
            </w:pPr>
            <w:r>
              <w:rPr>
                <w:rFonts w:ascii="Liberation Sans" w:hAnsi="Liberation Sans" w:eastAsia="Liberation Sans"/>
                <w:color w:val="1F2937"/>
                <w:sz w:val="16"/>
              </w:rPr>
              <w:t>Validation/forms</w:t>
            </w:r>
          </w:p>
        </w:tc>
        <w:tc>
          <w:tcPr>
            <w:tcW w:type="dxa" w:w="6746"/>
            <w:tcMar>
              <w:top w:w="80" w:type="dxa"/>
              <w:start w:w="90" w:type="dxa"/>
              <w:bottom w:w="80" w:type="dxa"/>
              <w:end w:w="90" w:type="dxa"/>
            </w:tcMar>
            <w:vAlign w:val="top"/>
          </w:tcPr>
          <w:p>
            <w:pPr>
              <w:spacing w:after="0"/>
            </w:pPr>
            <w:r>
              <w:rPr>
                <w:rFonts w:ascii="Liberation Sans" w:hAnsi="Liberation Sans" w:eastAsia="Liberation Sans"/>
                <w:color w:val="1F2937"/>
                <w:sz w:val="16"/>
              </w:rPr>
              <w:t>Zod; React Hook Form for complex forms, native/simple server forms where appropriate</w:t>
            </w:r>
          </w:p>
        </w:tc>
      </w:tr>
      <w:tr>
        <w:trPr>
          <w:cantSplit/>
        </w:trPr>
        <w:tc>
          <w:tcPr>
            <w:tcW w:type="dxa" w:w="2324"/>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UI</w:t>
            </w:r>
          </w:p>
        </w:tc>
        <w:tc>
          <w:tcPr>
            <w:tcW w:type="dxa" w:w="6746"/>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Tailwind + semantic CSS variables + Radix primitives + own design system + Lucide</w:t>
            </w:r>
          </w:p>
        </w:tc>
      </w:tr>
      <w:tr>
        <w:trPr>
          <w:cantSplit/>
        </w:trPr>
        <w:tc>
          <w:tcPr>
            <w:tcW w:type="dxa" w:w="2324"/>
            <w:tcMar>
              <w:top w:w="80" w:type="dxa"/>
              <w:start w:w="90" w:type="dxa"/>
              <w:bottom w:w="80" w:type="dxa"/>
              <w:end w:w="90" w:type="dxa"/>
            </w:tcMar>
            <w:vAlign w:val="top"/>
          </w:tcPr>
          <w:p>
            <w:pPr>
              <w:spacing w:after="0"/>
            </w:pPr>
            <w:r>
              <w:rPr>
                <w:rFonts w:ascii="Liberation Sans" w:hAnsi="Liberation Sans" w:eastAsia="Liberation Sans"/>
                <w:color w:val="1F2937"/>
                <w:sz w:val="16"/>
              </w:rPr>
              <w:t>Decimal arithmetic</w:t>
            </w:r>
          </w:p>
        </w:tc>
        <w:tc>
          <w:tcPr>
            <w:tcW w:type="dxa" w:w="6746"/>
            <w:tcMar>
              <w:top w:w="80" w:type="dxa"/>
              <w:start w:w="90" w:type="dxa"/>
              <w:bottom w:w="80" w:type="dxa"/>
              <w:end w:w="90" w:type="dxa"/>
            </w:tcMar>
            <w:vAlign w:val="top"/>
          </w:tcPr>
          <w:p>
            <w:pPr>
              <w:spacing w:after="0"/>
            </w:pPr>
            <w:r>
              <w:rPr>
                <w:rFonts w:ascii="Liberation Sans" w:hAnsi="Liberation Sans" w:eastAsia="Liberation Sans"/>
                <w:color w:val="1F2937"/>
                <w:sz w:val="16"/>
              </w:rPr>
              <w:t>decimal.js plus PostgreSQL NUMERIC; never JS floating point for money/stock truth</w:t>
            </w:r>
          </w:p>
        </w:tc>
      </w:tr>
      <w:tr>
        <w:trPr>
          <w:cantSplit/>
        </w:trPr>
        <w:tc>
          <w:tcPr>
            <w:tcW w:type="dxa" w:w="2324"/>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Documents</w:t>
            </w:r>
          </w:p>
        </w:tc>
        <w:tc>
          <w:tcPr>
            <w:tcW w:type="dxa" w:w="6746"/>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Cloudflare R2 private buckets/prefix policy separation</w:t>
            </w:r>
          </w:p>
        </w:tc>
      </w:tr>
      <w:tr>
        <w:trPr>
          <w:cantSplit/>
        </w:trPr>
        <w:tc>
          <w:tcPr>
            <w:tcW w:type="dxa" w:w="2324"/>
            <w:tcMar>
              <w:top w:w="80" w:type="dxa"/>
              <w:start w:w="90" w:type="dxa"/>
              <w:bottom w:w="80" w:type="dxa"/>
              <w:end w:w="90" w:type="dxa"/>
            </w:tcMar>
            <w:vAlign w:val="top"/>
          </w:tcPr>
          <w:p>
            <w:pPr>
              <w:spacing w:after="0"/>
            </w:pPr>
            <w:r>
              <w:rPr>
                <w:rFonts w:ascii="Liberation Sans" w:hAnsi="Liberation Sans" w:eastAsia="Liberation Sans"/>
                <w:color w:val="1F2937"/>
                <w:sz w:val="16"/>
              </w:rPr>
              <w:t>Email</w:t>
            </w:r>
          </w:p>
        </w:tc>
        <w:tc>
          <w:tcPr>
            <w:tcW w:type="dxa" w:w="6746"/>
            <w:tcMar>
              <w:top w:w="80" w:type="dxa"/>
              <w:start w:w="90" w:type="dxa"/>
              <w:bottom w:w="80" w:type="dxa"/>
              <w:end w:w="90" w:type="dxa"/>
            </w:tcMar>
            <w:vAlign w:val="top"/>
          </w:tcPr>
          <w:p>
            <w:pPr>
              <w:spacing w:after="0"/>
            </w:pPr>
            <w:r>
              <w:rPr>
                <w:rFonts w:ascii="Liberation Sans" w:hAnsi="Liberation Sans" w:eastAsia="Liberation Sans"/>
                <w:color w:val="1F2937"/>
                <w:sz w:val="16"/>
              </w:rPr>
              <w:t>Resend behind adapter</w:t>
            </w:r>
          </w:p>
        </w:tc>
      </w:tr>
      <w:tr>
        <w:trPr>
          <w:cantSplit/>
        </w:trPr>
        <w:tc>
          <w:tcPr>
            <w:tcW w:type="dxa" w:w="2324"/>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PDF/XLSX</w:t>
            </w:r>
          </w:p>
        </w:tc>
        <w:tc>
          <w:tcPr>
            <w:tcW w:type="dxa" w:w="6746"/>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React PDF for deterministic PDFs; ExcelJS for real workbooks</w:t>
            </w:r>
          </w:p>
        </w:tc>
      </w:tr>
      <w:tr>
        <w:trPr>
          <w:cantSplit/>
        </w:trPr>
        <w:tc>
          <w:tcPr>
            <w:tcW w:type="dxa" w:w="2324"/>
            <w:tcMar>
              <w:top w:w="80" w:type="dxa"/>
              <w:start w:w="90" w:type="dxa"/>
              <w:bottom w:w="80" w:type="dxa"/>
              <w:end w:w="90" w:type="dxa"/>
            </w:tcMar>
            <w:vAlign w:val="top"/>
          </w:tcPr>
          <w:p>
            <w:pPr>
              <w:spacing w:after="0"/>
            </w:pPr>
            <w:r>
              <w:rPr>
                <w:rFonts w:ascii="Liberation Sans" w:hAnsi="Liberation Sans" w:eastAsia="Liberation Sans"/>
                <w:color w:val="1F2937"/>
                <w:sz w:val="16"/>
              </w:rPr>
              <w:t>Testing</w:t>
            </w:r>
          </w:p>
        </w:tc>
        <w:tc>
          <w:tcPr>
            <w:tcW w:type="dxa" w:w="6746"/>
            <w:tcMar>
              <w:top w:w="80" w:type="dxa"/>
              <w:start w:w="90" w:type="dxa"/>
              <w:bottom w:w="80" w:type="dxa"/>
              <w:end w:w="90" w:type="dxa"/>
            </w:tcMar>
            <w:vAlign w:val="top"/>
          </w:tcPr>
          <w:p>
            <w:pPr>
              <w:spacing w:after="0"/>
            </w:pPr>
            <w:r>
              <w:rPr>
                <w:rFonts w:ascii="Liberation Sans" w:hAnsi="Liberation Sans" w:eastAsia="Liberation Sans"/>
                <w:color w:val="1F2937"/>
                <w:sz w:val="16"/>
              </w:rPr>
              <w:t>Vitest, Playwright, axe, real PostgreSQL integration/RLS tests</w:t>
            </w:r>
          </w:p>
        </w:tc>
      </w:tr>
      <w:tr>
        <w:trPr>
          <w:cantSplit/>
        </w:trPr>
        <w:tc>
          <w:tcPr>
            <w:tcW w:type="dxa" w:w="2324"/>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CI/CD</w:t>
            </w:r>
          </w:p>
        </w:tc>
        <w:tc>
          <w:tcPr>
            <w:tcW w:type="dxa" w:w="6746"/>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GitHub Actions + Vercel</w:t>
            </w:r>
          </w:p>
        </w:tc>
      </w:tr>
    </w:tbl>
    <w:p>
      <w:pPr>
        <w:spacing w:after="40"/>
      </w:pPr>
    </w:p>
    <w:p>
      <w:pPr>
        <w:pStyle w:val="Heading2"/>
        <w:keepNext/>
        <w:spacing w:before="120" w:after="80"/>
      </w:pPr>
      <w:r>
        <w:rPr>
          <w:rFonts w:ascii="Liberation Sans" w:hAnsi="Liberation Sans" w:eastAsia="Liberation Sans"/>
          <w:b/>
          <w:color w:val="17324D"/>
          <w:sz w:val="27"/>
        </w:rPr>
        <w:t>13.2 Modular Monolith</w:t>
      </w:r>
    </w:p>
    <w:p>
      <w:pPr>
        <w:jc w:val="center"/>
      </w:pPr>
      <w:r>
        <w:drawing>
          <wp:inline xmlns:a="http://schemas.openxmlformats.org/drawingml/2006/main" xmlns:pic="http://schemas.openxmlformats.org/drawingml/2006/picture">
            <wp:extent cx="5669280" cy="3335261"/>
            <wp:docPr id="7" name="Picture 7" descr="Modular monolith diagram showing UI, application modules and platform layer." title="Figure 7. Modular-monolith ownership model and dependency direction."/>
            <wp:cNvGraphicFramePr>
              <a:graphicFrameLocks noChangeAspect="1"/>
            </wp:cNvGraphicFramePr>
            <a:graphic>
              <a:graphicData uri="http://schemas.openxmlformats.org/drawingml/2006/picture">
                <pic:pic>
                  <pic:nvPicPr>
                    <pic:cNvPr id="0" name="07_modular_monolith.png"/>
                    <pic:cNvPicPr/>
                  </pic:nvPicPr>
                  <pic:blipFill>
                    <a:blip r:embed="rId17"/>
                    <a:stretch>
                      <a:fillRect/>
                    </a:stretch>
                  </pic:blipFill>
                  <pic:spPr>
                    <a:xfrm>
                      <a:off x="0" y="0"/>
                      <a:ext cx="5669280" cy="3335261"/>
                    </a:xfrm>
                    <a:prstGeom prst="rect"/>
                  </pic:spPr>
                </pic:pic>
              </a:graphicData>
            </a:graphic>
          </wp:inline>
        </w:drawing>
      </w:r>
    </w:p>
    <w:p>
      <w:pPr>
        <w:pStyle w:val="Caption"/>
        <w:jc w:val="center"/>
      </w:pPr>
      <w:r>
        <w:rPr>
          <w:i/>
          <w:color w:val="667085"/>
          <w:sz w:val="18"/>
        </w:rPr>
        <w:t>Figure 7. Modular-monolith ownership model and dependency direction.</w:t>
      </w:r>
    </w:p>
    <w:tbl>
      <w:tblPr>
        <w:tblW w:type="auto" w:w="0"/>
        <w:jc w:val="center"/>
        <w:tblLook w:firstColumn="1" w:firstRow="1" w:lastColumn="0" w:lastRow="0" w:noHBand="0" w:noVBand="1" w:val="04A0"/>
      </w:tblPr>
      <w:tblGrid>
        <w:gridCol w:w="10036"/>
      </w:tblGrid>
      <w:tr>
        <w:tc>
          <w:tcPr>
            <w:tcW w:type="dxa" w:w="10036"/>
            <w:shd w:fill="F2F4F7"/>
            <w:tcMar>
              <w:top w:w="90" w:type="dxa"/>
              <w:start w:w="130" w:type="dxa"/>
              <w:bottom w:w="90" w:type="dxa"/>
              <w:end w:w="130" w:type="dxa"/>
            </w:tcMar>
          </w:tcPr>
          <w:p>
            <w:pPr>
              <w:spacing w:after="0"/>
            </w:pPr>
            <w:r>
              <w:rPr>
                <w:rFonts w:ascii="Liberation Mono" w:hAnsi="Liberation Mono" w:eastAsia="Liberation Mono"/>
                <w:color w:val="1F2937"/>
                <w:sz w:val="15"/>
              </w:rPr>
              <w:t>src/</w:t>
            </w:r>
            <w:r>
              <w:br/>
            </w:r>
            <w:r>
              <w:rPr>
                <w:rFonts w:ascii="Liberation Mono" w:hAnsi="Liberation Mono" w:eastAsia="Liberation Mono"/>
                <w:color w:val="1F2937"/>
                <w:sz w:val="15"/>
              </w:rPr>
              <w:t xml:space="preserve">  app/                  # Next routes/adapters only</w:t>
            </w:r>
            <w:r>
              <w:br/>
            </w:r>
            <w:r>
              <w:rPr>
                <w:rFonts w:ascii="Liberation Mono" w:hAnsi="Liberation Mono" w:eastAsia="Liberation Mono"/>
                <w:color w:val="1F2937"/>
                <w:sz w:val="15"/>
              </w:rPr>
              <w:t xml:space="preserve">  modules/</w:t>
            </w:r>
            <w:r>
              <w:br/>
            </w:r>
            <w:r>
              <w:rPr>
                <w:rFonts w:ascii="Liberation Mono" w:hAnsi="Liberation Mono" w:eastAsia="Liberation Mono"/>
                <w:color w:val="1F2937"/>
                <w:sz w:val="15"/>
              </w:rPr>
              <w:t xml:space="preserve">    tenancy identity authorization stations configuration</w:t>
            </w:r>
            <w:r>
              <w:br/>
            </w:r>
            <w:r>
              <w:rPr>
                <w:rFonts w:ascii="Liberation Mono" w:hAnsi="Liberation Mono" w:eastAsia="Liberation Mono"/>
                <w:color w:val="1F2937"/>
                <w:sz w:val="15"/>
              </w:rPr>
              <w:t xml:space="preserve">    forecourt pricing tanks inventory deliveries purchasing creditors</w:t>
            </w:r>
            <w:r>
              <w:br/>
            </w:r>
            <w:r>
              <w:rPr>
                <w:rFonts w:ascii="Liberation Mono" w:hAnsi="Liberation Mono" w:eastAsia="Liberation Mono"/>
                <w:color w:val="1F2937"/>
                <w:sz w:val="15"/>
              </w:rPr>
              <w:t xml:space="preserve">    cash banking settlements customers expenses reconciliation</w:t>
            </w:r>
            <w:r>
              <w:br/>
            </w:r>
            <w:r>
              <w:rPr>
                <w:rFonts w:ascii="Liberation Mono" w:hAnsi="Liberation Mono" w:eastAsia="Liberation Mono"/>
                <w:color w:val="1F2937"/>
                <w:sz w:val="15"/>
              </w:rPr>
              <w:t xml:space="preserve">    approvals exceptions documents reporting notifications audit onboarding</w:t>
            </w:r>
            <w:r>
              <w:br/>
            </w:r>
            <w:r>
              <w:rPr>
                <w:rFonts w:ascii="Liberation Mono" w:hAnsi="Liberation Mono" w:eastAsia="Liberation Mono"/>
                <w:color w:val="1F2937"/>
                <w:sz w:val="15"/>
              </w:rPr>
              <w:t xml:space="preserve">  platform/</w:t>
            </w:r>
            <w:r>
              <w:br/>
            </w:r>
            <w:r>
              <w:rPr>
                <w:rFonts w:ascii="Liberation Mono" w:hAnsi="Liberation Mono" w:eastAsia="Liberation Mono"/>
                <w:color w:val="1F2937"/>
                <w:sz w:val="15"/>
              </w:rPr>
              <w:t xml:space="preserve">    db auth storage email jobs security observability idempotency</w:t>
            </w:r>
            <w:r>
              <w:br/>
            </w:r>
            <w:r>
              <w:rPr>
                <w:rFonts w:ascii="Liberation Mono" w:hAnsi="Liberation Mono" w:eastAsia="Liberation Mono"/>
                <w:color w:val="1F2937"/>
                <w:sz w:val="15"/>
              </w:rPr>
              <w:t xml:space="preserve">  design-system/</w:t>
            </w:r>
            <w:r>
              <w:br/>
            </w:r>
            <w:r>
              <w:rPr>
                <w:rFonts w:ascii="Liberation Mono" w:hAnsi="Liberation Mono" w:eastAsia="Liberation Mono"/>
                <w:color w:val="1F2937"/>
                <w:sz w:val="15"/>
              </w:rPr>
              <w:t xml:space="preserve">  shared/               # deliberately tiny</w:t>
            </w:r>
          </w:p>
        </w:tc>
      </w:tr>
    </w:tbl>
    <w:p>
      <w:pPr>
        <w:spacing w:after="20"/>
      </w:pPr>
    </w:p>
    <w:p>
      <w:pPr>
        <w:spacing w:after="100" w:line="259" w:lineRule="auto"/>
      </w:pPr>
      <w:r>
        <w:rPr>
          <w:rFonts w:ascii="Liberation Sans" w:hAnsi="Liberation Sans" w:eastAsia="Liberation Sans"/>
          <w:color w:val="1F2937"/>
          <w:sz w:val="18"/>
        </w:rPr>
        <w:t>Each module owns domain/application/infrastructure/ui/schema/tests and exposes a small public API. UI does not call the database directly; cross-module financial integrity uses real typed relationships, not a generic universal transactions table.</w:t>
      </w:r>
    </w:p>
    <w:p>
      <w:pPr>
        <w:pStyle w:val="Heading2"/>
        <w:keepNext/>
        <w:spacing w:before="120" w:after="80"/>
      </w:pPr>
      <w:r>
        <w:rPr>
          <w:rFonts w:ascii="Liberation Sans" w:hAnsi="Liberation Sans" w:eastAsia="Liberation Sans"/>
          <w:b/>
          <w:color w:val="17324D"/>
          <w:sz w:val="27"/>
        </w:rPr>
        <w:t>13.3 Command Pipeline</w:t>
      </w:r>
    </w:p>
    <w:tbl>
      <w:tblPr>
        <w:tblW w:type="auto" w:w="0"/>
        <w:jc w:val="center"/>
        <w:tblLook w:firstColumn="1" w:firstRow="1" w:lastColumn="0" w:lastRow="0" w:noHBand="0" w:noVBand="1" w:val="04A0"/>
      </w:tblPr>
      <w:tblGrid>
        <w:gridCol w:w="10036"/>
      </w:tblGrid>
      <w:tr>
        <w:tc>
          <w:tcPr>
            <w:tcW w:type="dxa" w:w="10036"/>
            <w:shd w:fill="F2F4F7"/>
            <w:tcMar>
              <w:top w:w="90" w:type="dxa"/>
              <w:start w:w="130" w:type="dxa"/>
              <w:bottom w:w="90" w:type="dxa"/>
              <w:end w:w="130" w:type="dxa"/>
            </w:tcMar>
          </w:tcPr>
          <w:p>
            <w:pPr>
              <w:spacing w:after="0"/>
            </w:pPr>
            <w:r>
              <w:rPr>
                <w:rFonts w:ascii="Liberation Mono" w:hAnsi="Liberation Mono" w:eastAsia="Liberation Mono"/>
                <w:color w:val="1F2937"/>
                <w:sz w:val="15"/>
              </w:rPr>
              <w:t>UI / Server Action / Route Handler</w:t>
            </w:r>
            <w:r>
              <w:br/>
            </w:r>
            <w:r>
              <w:rPr>
                <w:rFonts w:ascii="Liberation Mono" w:hAnsi="Liberation Mono" w:eastAsia="Liberation Mono"/>
                <w:color w:val="1F2937"/>
                <w:sz w:val="15"/>
              </w:rPr>
              <w:t xml:space="preserve">  → authenticate</w:t>
            </w:r>
            <w:r>
              <w:br/>
            </w:r>
            <w:r>
              <w:rPr>
                <w:rFonts w:ascii="Liberation Mono" w:hAnsi="Liberation Mono" w:eastAsia="Liberation Mono"/>
                <w:color w:val="1F2937"/>
                <w:sz w:val="15"/>
              </w:rPr>
              <w:t xml:space="preserve">  → authorize permission + scope</w:t>
            </w:r>
            <w:r>
              <w:br/>
            </w:r>
            <w:r>
              <w:rPr>
                <w:rFonts w:ascii="Liberation Mono" w:hAnsi="Liberation Mono" w:eastAsia="Liberation Mono"/>
                <w:color w:val="1F2937"/>
                <w:sz w:val="15"/>
              </w:rPr>
              <w:t xml:space="preserve">  → validate command DTO</w:t>
            </w:r>
            <w:r>
              <w:br/>
            </w:r>
            <w:r>
              <w:rPr>
                <w:rFonts w:ascii="Liberation Mono" w:hAnsi="Liberation Mono" w:eastAsia="Liberation Mono"/>
                <w:color w:val="1F2937"/>
                <w:sz w:val="15"/>
              </w:rPr>
              <w:t xml:space="preserve">  → check idempotency</w:t>
            </w:r>
            <w:r>
              <w:br/>
            </w:r>
            <w:r>
              <w:rPr>
                <w:rFonts w:ascii="Liberation Mono" w:hAnsi="Liberation Mono" w:eastAsia="Liberation Mono"/>
                <w:color w:val="1F2937"/>
                <w:sz w:val="15"/>
              </w:rPr>
              <w:t xml:space="preserve">  → BEGIN tenant DB transaction</w:t>
            </w:r>
            <w:r>
              <w:br/>
            </w:r>
            <w:r>
              <w:rPr>
                <w:rFonts w:ascii="Liberation Mono" w:hAnsi="Liberation Mono" w:eastAsia="Liberation Mono"/>
                <w:color w:val="1F2937"/>
                <w:sz w:val="15"/>
              </w:rPr>
              <w:t xml:space="preserve">      → lock roots deterministically</w:t>
            </w:r>
            <w:r>
              <w:br/>
            </w:r>
            <w:r>
              <w:rPr>
                <w:rFonts w:ascii="Liberation Mono" w:hAnsi="Liberation Mono" w:eastAsia="Liberation Mono"/>
                <w:color w:val="1F2937"/>
                <w:sz w:val="15"/>
              </w:rPr>
              <w:t xml:space="preserve">      → verify state/version/approval</w:t>
            </w:r>
            <w:r>
              <w:br/>
            </w:r>
            <w:r>
              <w:rPr>
                <w:rFonts w:ascii="Liberation Mono" w:hAnsi="Liberation Mono" w:eastAsia="Liberation Mono"/>
                <w:color w:val="1F2937"/>
                <w:sz w:val="15"/>
              </w:rPr>
              <w:t xml:space="preserve">      → domain command</w:t>
            </w:r>
            <w:r>
              <w:br/>
            </w:r>
            <w:r>
              <w:rPr>
                <w:rFonts w:ascii="Liberation Mono" w:hAnsi="Liberation Mono" w:eastAsia="Liberation Mono"/>
                <w:color w:val="1F2937"/>
                <w:sz w:val="15"/>
              </w:rPr>
              <w:t xml:space="preserve">      → ledger/business rows</w:t>
            </w:r>
            <w:r>
              <w:br/>
            </w:r>
            <w:r>
              <w:rPr>
                <w:rFonts w:ascii="Liberation Mono" w:hAnsi="Liberation Mono" w:eastAsia="Liberation Mono"/>
                <w:color w:val="1F2937"/>
                <w:sz w:val="15"/>
              </w:rPr>
              <w:t xml:space="preserve">      → projections</w:t>
            </w:r>
            <w:r>
              <w:br/>
            </w:r>
            <w:r>
              <w:rPr>
                <w:rFonts w:ascii="Liberation Mono" w:hAnsi="Liberation Mono" w:eastAsia="Liberation Mono"/>
                <w:color w:val="1F2937"/>
                <w:sz w:val="15"/>
              </w:rPr>
              <w:t xml:space="preserve">      → audit + outbox</w:t>
            </w:r>
            <w:r>
              <w:br/>
            </w:r>
            <w:r>
              <w:rPr>
                <w:rFonts w:ascii="Liberation Mono" w:hAnsi="Liberation Mono" w:eastAsia="Liberation Mono"/>
                <w:color w:val="1F2937"/>
                <w:sz w:val="15"/>
              </w:rPr>
              <w:t xml:space="preserve">  → COMMIT</w:t>
            </w:r>
            <w:r>
              <w:br/>
            </w:r>
            <w:r>
              <w:rPr>
                <w:rFonts w:ascii="Liberation Mono" w:hAnsi="Liberation Mono" w:eastAsia="Liberation Mono"/>
                <w:color w:val="1F2937"/>
                <w:sz w:val="15"/>
              </w:rPr>
              <w:t xml:space="preserve">  → authoritative response</w:t>
            </w:r>
          </w:p>
        </w:tc>
      </w:tr>
    </w:tbl>
    <w:p>
      <w:pPr>
        <w:spacing w:after="20"/>
      </w:pPr>
    </w:p>
    <w:p>
      <w:pPr>
        <w:pStyle w:val="Heading2"/>
        <w:keepNext/>
        <w:spacing w:before="120" w:after="80"/>
      </w:pPr>
      <w:r>
        <w:rPr>
          <w:rFonts w:ascii="Liberation Sans" w:hAnsi="Liberation Sans" w:eastAsia="Liberation Sans"/>
          <w:b/>
          <w:color w:val="17324D"/>
          <w:sz w:val="27"/>
        </w:rPr>
        <w:t>13.4 Numeric &amp; ID Conventions</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438"/>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Type</w:t>
            </w:r>
          </w:p>
        </w:tc>
        <w:tc>
          <w:tcPr>
            <w:tcW w:type="dxa" w:w="6633"/>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Database convention</w:t>
            </w:r>
          </w:p>
        </w:tc>
      </w:tr>
      <w:tr>
        <w:trPr>
          <w:cantSplit/>
        </w:trPr>
        <w:tc>
          <w:tcPr>
            <w:tcW w:type="dxa" w:w="2438"/>
            <w:tcMar>
              <w:top w:w="80" w:type="dxa"/>
              <w:start w:w="90" w:type="dxa"/>
              <w:bottom w:w="80" w:type="dxa"/>
              <w:end w:w="90" w:type="dxa"/>
            </w:tcMar>
            <w:vAlign w:val="top"/>
          </w:tcPr>
          <w:p>
            <w:pPr>
              <w:spacing w:after="0"/>
            </w:pPr>
            <w:r>
              <w:rPr>
                <w:rFonts w:ascii="Liberation Sans" w:hAnsi="Liberation Sans" w:eastAsia="Liberation Sans"/>
                <w:color w:val="1F2937"/>
                <w:sz w:val="16"/>
              </w:rPr>
              <w:t>Money</w:t>
            </w:r>
          </w:p>
        </w:tc>
        <w:tc>
          <w:tcPr>
            <w:tcW w:type="dxa" w:w="6633"/>
            <w:tcMar>
              <w:top w:w="80" w:type="dxa"/>
              <w:start w:w="90" w:type="dxa"/>
              <w:bottom w:w="80" w:type="dxa"/>
              <w:end w:w="90" w:type="dxa"/>
            </w:tcMar>
            <w:vAlign w:val="top"/>
          </w:tcPr>
          <w:p>
            <w:pPr>
              <w:spacing w:after="0"/>
            </w:pPr>
            <w:r>
              <w:rPr>
                <w:rFonts w:ascii="Liberation Sans" w:hAnsi="Liberation Sans" w:eastAsia="Liberation Sans"/>
                <w:color w:val="1F2937"/>
                <w:sz w:val="16"/>
              </w:rPr>
              <w:t>NUMERIC(20,4) + currency code</w:t>
            </w:r>
          </w:p>
        </w:tc>
      </w:tr>
      <w:tr>
        <w:trPr>
          <w:cantSplit/>
        </w:trPr>
        <w:tc>
          <w:tcPr>
            <w:tcW w:type="dxa" w:w="2438"/>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Litres/dips</w:t>
            </w:r>
          </w:p>
        </w:tc>
        <w:tc>
          <w:tcPr>
            <w:tcW w:type="dxa" w:w="6633"/>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NUMERIC(18,3)</w:t>
            </w:r>
          </w:p>
        </w:tc>
      </w:tr>
      <w:tr>
        <w:trPr>
          <w:cantSplit/>
        </w:trPr>
        <w:tc>
          <w:tcPr>
            <w:tcW w:type="dxa" w:w="2438"/>
            <w:tcMar>
              <w:top w:w="80" w:type="dxa"/>
              <w:start w:w="90" w:type="dxa"/>
              <w:bottom w:w="80" w:type="dxa"/>
              <w:end w:w="90" w:type="dxa"/>
            </w:tcMar>
            <w:vAlign w:val="top"/>
          </w:tcPr>
          <w:p>
            <w:pPr>
              <w:spacing w:after="0"/>
            </w:pPr>
            <w:r>
              <w:rPr>
                <w:rFonts w:ascii="Liberation Sans" w:hAnsi="Liberation Sans" w:eastAsia="Liberation Sans"/>
                <w:color w:val="1F2937"/>
                <w:sz w:val="16"/>
              </w:rPr>
              <w:t>Selling price</w:t>
            </w:r>
          </w:p>
        </w:tc>
        <w:tc>
          <w:tcPr>
            <w:tcW w:type="dxa" w:w="6633"/>
            <w:tcMar>
              <w:top w:w="80" w:type="dxa"/>
              <w:start w:w="90" w:type="dxa"/>
              <w:bottom w:w="80" w:type="dxa"/>
              <w:end w:w="90" w:type="dxa"/>
            </w:tcMar>
            <w:vAlign w:val="top"/>
          </w:tcPr>
          <w:p>
            <w:pPr>
              <w:spacing w:after="0"/>
            </w:pPr>
            <w:r>
              <w:rPr>
                <w:rFonts w:ascii="Liberation Sans" w:hAnsi="Liberation Sans" w:eastAsia="Liberation Sans"/>
                <w:color w:val="1F2937"/>
                <w:sz w:val="16"/>
              </w:rPr>
              <w:t>NUMERIC(20,6)</w:t>
            </w:r>
          </w:p>
        </w:tc>
      </w:tr>
      <w:tr>
        <w:trPr>
          <w:cantSplit/>
        </w:trPr>
        <w:tc>
          <w:tcPr>
            <w:tcW w:type="dxa" w:w="2438"/>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Weighted unit cost</w:t>
            </w:r>
          </w:p>
        </w:tc>
        <w:tc>
          <w:tcPr>
            <w:tcW w:type="dxa" w:w="6633"/>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NUMERIC(20,8)</w:t>
            </w:r>
          </w:p>
        </w:tc>
      </w:tr>
      <w:tr>
        <w:trPr>
          <w:cantSplit/>
        </w:trPr>
        <w:tc>
          <w:tcPr>
            <w:tcW w:type="dxa" w:w="2438"/>
            <w:tcMar>
              <w:top w:w="80" w:type="dxa"/>
              <w:start w:w="90" w:type="dxa"/>
              <w:bottom w:w="80" w:type="dxa"/>
              <w:end w:w="90" w:type="dxa"/>
            </w:tcMar>
            <w:vAlign w:val="top"/>
          </w:tcPr>
          <w:p>
            <w:pPr>
              <w:spacing w:after="0"/>
            </w:pPr>
            <w:r>
              <w:rPr>
                <w:rFonts w:ascii="Liberation Sans" w:hAnsi="Liberation Sans" w:eastAsia="Liberation Sans"/>
                <w:color w:val="1F2937"/>
                <w:sz w:val="16"/>
              </w:rPr>
              <w:t>Intermediate valuation</w:t>
            </w:r>
          </w:p>
        </w:tc>
        <w:tc>
          <w:tcPr>
            <w:tcW w:type="dxa" w:w="6633"/>
            <w:tcMar>
              <w:top w:w="80" w:type="dxa"/>
              <w:start w:w="90" w:type="dxa"/>
              <w:bottom w:w="80" w:type="dxa"/>
              <w:end w:w="90" w:type="dxa"/>
            </w:tcMar>
            <w:vAlign w:val="top"/>
          </w:tcPr>
          <w:p>
            <w:pPr>
              <w:spacing w:after="0"/>
            </w:pPr>
            <w:r>
              <w:rPr>
                <w:rFonts w:ascii="Liberation Sans" w:hAnsi="Liberation Sans" w:eastAsia="Liberation Sans"/>
                <w:color w:val="1F2937"/>
                <w:sz w:val="16"/>
              </w:rPr>
              <w:t>NUMERIC(24,8)</w:t>
            </w:r>
          </w:p>
        </w:tc>
      </w:tr>
      <w:tr>
        <w:trPr>
          <w:cantSplit/>
        </w:trPr>
        <w:tc>
          <w:tcPr>
            <w:tcW w:type="dxa" w:w="2438"/>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Ratios</w:t>
            </w:r>
          </w:p>
        </w:tc>
        <w:tc>
          <w:tcPr>
            <w:tcW w:type="dxa" w:w="6633"/>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NUMERIC(18,8)</w:t>
            </w:r>
          </w:p>
        </w:tc>
      </w:tr>
      <w:tr>
        <w:trPr>
          <w:cantSplit/>
        </w:trPr>
        <w:tc>
          <w:tcPr>
            <w:tcW w:type="dxa" w:w="2438"/>
            <w:tcMar>
              <w:top w:w="80" w:type="dxa"/>
              <w:start w:w="90" w:type="dxa"/>
              <w:bottom w:w="80" w:type="dxa"/>
              <w:end w:w="90" w:type="dxa"/>
            </w:tcMar>
            <w:vAlign w:val="top"/>
          </w:tcPr>
          <w:p>
            <w:pPr>
              <w:spacing w:after="0"/>
            </w:pPr>
            <w:r>
              <w:rPr>
                <w:rFonts w:ascii="Liberation Sans" w:hAnsi="Liberation Sans" w:eastAsia="Liberation Sans"/>
                <w:color w:val="1F2937"/>
                <w:sz w:val="16"/>
              </w:rPr>
              <w:t>Internal IDs</w:t>
            </w:r>
          </w:p>
        </w:tc>
        <w:tc>
          <w:tcPr>
            <w:tcW w:type="dxa" w:w="6633"/>
            <w:tcMar>
              <w:top w:w="80" w:type="dxa"/>
              <w:start w:w="90" w:type="dxa"/>
              <w:bottom w:w="80" w:type="dxa"/>
              <w:end w:w="90" w:type="dxa"/>
            </w:tcMar>
            <w:vAlign w:val="top"/>
          </w:tcPr>
          <w:p>
            <w:pPr>
              <w:spacing w:after="0"/>
            </w:pPr>
            <w:r>
              <w:rPr>
                <w:rFonts w:ascii="Liberation Sans" w:hAnsi="Liberation Sans" w:eastAsia="Liberation Sans"/>
                <w:color w:val="1F2937"/>
                <w:sz w:val="16"/>
              </w:rPr>
              <w:t>UUIDv7</w:t>
            </w:r>
          </w:p>
        </w:tc>
      </w:tr>
      <w:tr>
        <w:trPr>
          <w:cantSplit/>
        </w:trPr>
        <w:tc>
          <w:tcPr>
            <w:tcW w:type="dxa" w:w="2438"/>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Human references</w:t>
            </w:r>
          </w:p>
        </w:tc>
        <w:tc>
          <w:tcPr>
            <w:tcW w:type="dxa" w:w="6633"/>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Atomic document counters; never MAX()+1</w:t>
            </w:r>
          </w:p>
        </w:tc>
      </w:tr>
    </w:tbl>
    <w:p>
      <w:pPr>
        <w:spacing w:after="40"/>
      </w:pPr>
    </w:p>
    <w:p>
      <w:pPr>
        <w:pStyle w:val="Heading2"/>
        <w:keepNext/>
        <w:spacing w:before="120" w:after="80"/>
      </w:pPr>
      <w:r>
        <w:rPr>
          <w:rFonts w:ascii="Liberation Sans" w:hAnsi="Liberation Sans" w:eastAsia="Liberation Sans"/>
          <w:b/>
          <w:color w:val="17324D"/>
          <w:sz w:val="27"/>
        </w:rPr>
        <w:t>13.5 Database Principles</w:t>
      </w:r>
    </w:p>
    <w:p>
      <w:pPr>
        <w:pStyle w:val="ListBullet"/>
        <w:spacing w:after="30" w:line="247" w:lineRule="auto"/>
        <w:ind w:left="255" w:hanging="113"/>
      </w:pPr>
      <w:r>
        <w:rPr>
          <w:rFonts w:ascii="Liberation Sans" w:hAnsi="Liberation Sans" w:eastAsia="Liberation Sans"/>
          <w:color w:val="1F2937"/>
          <w:sz w:val="18"/>
        </w:rPr>
        <w:t>No universal transactions table; separate ledgers preserve semantics.</w:t>
      </w:r>
    </w:p>
    <w:p>
      <w:pPr>
        <w:pStyle w:val="ListBullet"/>
        <w:spacing w:after="30" w:line="247" w:lineRule="auto"/>
        <w:ind w:left="255" w:hanging="113"/>
      </w:pPr>
      <w:r>
        <w:rPr>
          <w:rFonts w:ascii="Liberation Sans" w:hAnsi="Liberation Sans" w:eastAsia="Liberation Sans"/>
          <w:color w:val="1F2937"/>
          <w:sz w:val="18"/>
        </w:rPr>
        <w:t>No giant JSON settings blob for core business rules; important configuration is relational and effective-dated.</w:t>
      </w:r>
    </w:p>
    <w:p>
      <w:pPr>
        <w:pStyle w:val="ListBullet"/>
        <w:spacing w:after="30" w:line="247" w:lineRule="auto"/>
        <w:ind w:left="255" w:hanging="113"/>
      </w:pPr>
      <w:r>
        <w:rPr>
          <w:rFonts w:ascii="Liberation Sans" w:hAnsi="Liberation Sans" w:eastAsia="Liberation Sans"/>
          <w:color w:val="1F2937"/>
          <w:sz w:val="18"/>
        </w:rPr>
        <w:t>JSONB is narrow-use metadata, not a substitute for financial relationships.</w:t>
      </w:r>
    </w:p>
    <w:p>
      <w:pPr>
        <w:pStyle w:val="ListBullet"/>
        <w:spacing w:after="30" w:line="247" w:lineRule="auto"/>
        <w:ind w:left="255" w:hanging="113"/>
      </w:pPr>
      <w:r>
        <w:rPr>
          <w:rFonts w:ascii="Liberation Sans" w:hAnsi="Liberation Sans" w:eastAsia="Liberation Sans"/>
          <w:color w:val="1F2937"/>
          <w:sz w:val="18"/>
        </w:rPr>
        <w:t>No generic soft delete everywhere; domains use explicit lifecycle/archive rules.</w:t>
      </w:r>
    </w:p>
    <w:p>
      <w:pPr>
        <w:pStyle w:val="ListBullet"/>
        <w:spacing w:after="30" w:line="247" w:lineRule="auto"/>
        <w:ind w:left="255" w:hanging="113"/>
      </w:pPr>
      <w:r>
        <w:rPr>
          <w:rFonts w:ascii="Liberation Sans" w:hAnsi="Liberation Sans" w:eastAsia="Liberation Sans"/>
          <w:color w:val="1F2937"/>
          <w:sz w:val="18"/>
        </w:rPr>
        <w:t>Current balance/state tables are projections and rebuildable.</w:t>
      </w:r>
    </w:p>
    <w:p>
      <w:pPr>
        <w:pStyle w:val="ListBullet"/>
        <w:spacing w:after="30" w:line="247" w:lineRule="auto"/>
        <w:ind w:left="255" w:hanging="113"/>
      </w:pPr>
      <w:r>
        <w:rPr>
          <w:rFonts w:ascii="Liberation Sans" w:hAnsi="Liberation Sans" w:eastAsia="Liberation Sans"/>
          <w:color w:val="1F2937"/>
          <w:sz w:val="18"/>
        </w:rPr>
        <w:t>Named state-transition commands only; no arbitrary status mutation API.</w:t>
      </w:r>
    </w:p>
    <w:p>
      <w:pPr>
        <w:pStyle w:val="ListBullet"/>
        <w:spacing w:after="30" w:line="247" w:lineRule="auto"/>
        <w:ind w:left="255" w:hanging="113"/>
      </w:pPr>
      <w:r>
        <w:rPr>
          <w:rFonts w:ascii="Liberation Sans" w:hAnsi="Liberation Sans" w:eastAsia="Liberation Sans"/>
          <w:color w:val="1F2937"/>
          <w:sz w:val="18"/>
        </w:rPr>
        <w:t>Deterministic lock ordering and optimistic version checks handle concurrency safely.</w:t>
      </w:r>
    </w:p>
    <w:p>
      <w:pPr>
        <w:pStyle w:val="Heading1"/>
        <w:keepNext/>
        <w:spacing w:before="180" w:after="80"/>
      </w:pPr>
      <w:r>
        <w:rPr>
          <w:rFonts w:ascii="Liberation Sans" w:hAnsi="Liberation Sans" w:eastAsia="Liberation Sans"/>
          <w:b/>
          <w:color w:val="17324D"/>
          <w:sz w:val="36"/>
        </w:rPr>
        <w:t>14. Offline, Background Work &amp; Integrations</w:t>
      </w:r>
    </w:p>
    <w:p>
      <w:pPr>
        <w:pStyle w:val="Heading2"/>
        <w:keepNext/>
        <w:spacing w:before="120" w:after="80"/>
      </w:pPr>
      <w:r>
        <w:rPr>
          <w:rFonts w:ascii="Liberation Sans" w:hAnsi="Liberation Sans" w:eastAsia="Liberation Sans"/>
          <w:b/>
          <w:color w:val="17324D"/>
          <w:sz w:val="27"/>
        </w:rPr>
        <w:t>14.1 Offline/PWA Policy</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4535"/>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Allowed offline/local</w:t>
            </w:r>
          </w:p>
        </w:tc>
        <w:tc>
          <w:tcPr>
            <w:tcW w:type="dxa" w:w="4535"/>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Online required</w:t>
            </w:r>
          </w:p>
        </w:tc>
      </w:tr>
      <w:tr>
        <w:trPr>
          <w:cantSplit/>
        </w:trPr>
        <w:tc>
          <w:tcPr>
            <w:tcW w:type="dxa" w:w="4535"/>
            <w:tcMar>
              <w:top w:w="80" w:type="dxa"/>
              <w:start w:w="90" w:type="dxa"/>
              <w:bottom w:w="80" w:type="dxa"/>
              <w:end w:w="90" w:type="dxa"/>
            </w:tcMar>
            <w:vAlign w:val="top"/>
          </w:tcPr>
          <w:p>
            <w:pPr>
              <w:spacing w:after="0"/>
            </w:pPr>
            <w:r>
              <w:rPr>
                <w:rFonts w:ascii="Liberation Sans" w:hAnsi="Liberation Sans" w:eastAsia="Liberation Sans"/>
                <w:color w:val="1F2937"/>
                <w:sz w:val="16"/>
              </w:rPr>
              <w:t>Limited meter draft, dip draft, expense draft, notes, selected upload queue</w:t>
            </w:r>
          </w:p>
        </w:tc>
        <w:tc>
          <w:tcPr>
            <w:tcW w:type="dxa" w:w="4535"/>
            <w:tcMar>
              <w:top w:w="80" w:type="dxa"/>
              <w:start w:w="90" w:type="dxa"/>
              <w:bottom w:w="80" w:type="dxa"/>
              <w:end w:w="90" w:type="dxa"/>
            </w:tcMar>
            <w:vAlign w:val="top"/>
          </w:tcPr>
          <w:p>
            <w:pPr>
              <w:spacing w:after="0"/>
            </w:pPr>
            <w:r>
              <w:rPr>
                <w:rFonts w:ascii="Liberation Sans" w:hAnsi="Liberation Sans" w:eastAsia="Liberation Sans"/>
                <w:color w:val="1F2937"/>
                <w:sz w:val="16"/>
              </w:rPr>
              <w:t>Approval, posting, reversal, price activation, bank changes, supplier payment, privilege changes</w:t>
            </w:r>
          </w:p>
        </w:tc>
      </w:tr>
      <w:tr>
        <w:trPr>
          <w:cantSplit/>
        </w:trPr>
        <w:tc>
          <w:tcPr>
            <w:tcW w:type="dxa" w:w="4535"/>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Tenant/user scoped IndexedDB with purge on logout/offboarding</w:t>
            </w:r>
          </w:p>
        </w:tc>
        <w:tc>
          <w:tcPr>
            <w:tcW w:type="dxa" w:w="4535"/>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Any action that creates authoritative money/stock/permission state</w:t>
            </w:r>
          </w:p>
        </w:tc>
      </w:tr>
    </w:tbl>
    <w:p>
      <w:pPr>
        <w:spacing w:after="40"/>
      </w:pPr>
    </w:p>
    <w:p>
      <w:pPr>
        <w:spacing w:after="100" w:line="259" w:lineRule="auto"/>
      </w:pPr>
      <w:r>
        <w:rPr>
          <w:rFonts w:ascii="Liberation Sans" w:hAnsi="Liberation Sans" w:eastAsia="Liberation Sans"/>
          <w:color w:val="1F2937"/>
          <w:sz w:val="18"/>
        </w:rPr>
        <w:t>The UI may say “draft saved on this device” but never “submitted/approved/posted” until the server confirms.</w:t>
      </w:r>
    </w:p>
    <w:p>
      <w:pPr>
        <w:pStyle w:val="Heading2"/>
        <w:keepNext/>
        <w:spacing w:before="120" w:after="80"/>
      </w:pPr>
      <w:r>
        <w:rPr>
          <w:rFonts w:ascii="Liberation Sans" w:hAnsi="Liberation Sans" w:eastAsia="Liberation Sans"/>
          <w:b/>
          <w:color w:val="17324D"/>
          <w:sz w:val="27"/>
        </w:rPr>
        <w:t>14.2 Transactional Outbox &amp; Jobs</w:t>
      </w:r>
    </w:p>
    <w:p>
      <w:pPr>
        <w:spacing w:after="100" w:line="259" w:lineRule="auto"/>
      </w:pPr>
      <w:r>
        <w:rPr>
          <w:rFonts w:ascii="Liberation Sans" w:hAnsi="Liberation Sans" w:eastAsia="Liberation Sans"/>
          <w:color w:val="1F2937"/>
          <w:sz w:val="18"/>
        </w:rPr>
        <w:t>Business transactions write outbox events in the same DB transaction. Workers claim leased jobs and perform idempotent effects. The system targets at-least-once execution with exactly-once business effects through idempotency rather than claiming impossible exactly-once execution infrastructure.</w:t>
      </w:r>
    </w:p>
    <w:p>
      <w:pPr>
        <w:pStyle w:val="ListBullet"/>
        <w:spacing w:after="30" w:line="247" w:lineRule="auto"/>
        <w:ind w:left="255" w:hanging="113"/>
      </w:pPr>
      <w:r>
        <w:rPr>
          <w:rFonts w:ascii="Liberation Sans" w:hAnsi="Liberation Sans" w:eastAsia="Liberation Sans"/>
          <w:color w:val="1F2937"/>
          <w:sz w:val="18"/>
        </w:rPr>
        <w:t>Typical jobs: report generation, email/in-app notification, audit checkpointing, scheduled alerts and safe projection refresh/rebuild.</w:t>
      </w:r>
    </w:p>
    <w:p>
      <w:pPr>
        <w:pStyle w:val="ListBullet"/>
        <w:spacing w:after="30" w:line="247" w:lineRule="auto"/>
        <w:ind w:left="255" w:hanging="113"/>
      </w:pPr>
      <w:r>
        <w:rPr>
          <w:rFonts w:ascii="Liberation Sans" w:hAnsi="Liberation Sans" w:eastAsia="Liberation Sans"/>
          <w:color w:val="1F2937"/>
          <w:sz w:val="18"/>
        </w:rPr>
        <w:t>Cron/webhook entry points are authenticated; future external webhooks add replay protection.</w:t>
      </w:r>
    </w:p>
    <w:p>
      <w:pPr>
        <w:pStyle w:val="ListBullet"/>
        <w:spacing w:after="30" w:line="247" w:lineRule="auto"/>
        <w:ind w:left="255" w:hanging="113"/>
      </w:pPr>
      <w:r>
        <w:rPr>
          <w:rFonts w:ascii="Liberation Sans" w:hAnsi="Liberation Sans" w:eastAsia="Liberation Sans"/>
          <w:color w:val="1F2937"/>
          <w:sz w:val="18"/>
        </w:rPr>
        <w:t>Job attempts, errors and durations are persisted for operations/debugging.</w:t>
      </w:r>
    </w:p>
    <w:p>
      <w:pPr>
        <w:pStyle w:val="Heading2"/>
        <w:keepNext/>
        <w:spacing w:before="120" w:after="80"/>
      </w:pPr>
      <w:r>
        <w:rPr>
          <w:rFonts w:ascii="Liberation Sans" w:hAnsi="Liberation Sans" w:eastAsia="Liberation Sans"/>
          <w:b/>
          <w:color w:val="17324D"/>
          <w:sz w:val="27"/>
        </w:rPr>
        <w:t>14.3 ShandaHR Integration Boundary</w:t>
      </w:r>
    </w:p>
    <w:p>
      <w:pPr>
        <w:spacing w:after="100" w:line="259" w:lineRule="auto"/>
      </w:pPr>
      <w:r>
        <w:rPr>
          <w:rFonts w:ascii="Liberation Sans" w:hAnsi="Liberation Sans" w:eastAsia="Liberation Sans"/>
          <w:color w:val="1F2937"/>
          <w:sz w:val="18"/>
        </w:rPr>
        <w:t>ShandaHR and Shanda Fuel remain separate operational systems. Future integration uses explicit APIs/SSO contracts. ShandaHR remains authoritative for employee/payroll information; Fuel consumes only fields needed for access/station context or approved recurring payroll cost integration.</w:t>
      </w:r>
    </w:p>
    <w:p>
      <w:pPr>
        <w:pStyle w:val="Heading2"/>
        <w:keepNext/>
        <w:spacing w:before="120" w:after="80"/>
      </w:pPr>
      <w:r>
        <w:rPr>
          <w:rFonts w:ascii="Liberation Sans" w:hAnsi="Liberation Sans" w:eastAsia="Liberation Sans"/>
          <w:b/>
          <w:color w:val="17324D"/>
          <w:sz w:val="27"/>
        </w:rPr>
        <w:t>14.4 Future Integration Adapters</w:t>
      </w:r>
    </w:p>
    <w:p>
      <w:pPr>
        <w:pStyle w:val="ListBullet"/>
        <w:spacing w:after="30" w:line="247" w:lineRule="auto"/>
        <w:ind w:left="255" w:hanging="113"/>
      </w:pPr>
      <w:r>
        <w:rPr>
          <w:rFonts w:ascii="Liberation Sans" w:hAnsi="Liberation Sans" w:eastAsia="Liberation Sans"/>
          <w:color w:val="1F2937"/>
          <w:sz w:val="18"/>
        </w:rPr>
        <w:t>Bank statement import and matching.</w:t>
      </w:r>
    </w:p>
    <w:p>
      <w:pPr>
        <w:pStyle w:val="ListBullet"/>
        <w:spacing w:after="30" w:line="247" w:lineRule="auto"/>
        <w:ind w:left="255" w:hanging="113"/>
      </w:pPr>
      <w:r>
        <w:rPr>
          <w:rFonts w:ascii="Liberation Sans" w:hAnsi="Liberation Sans" w:eastAsia="Liberation Sans"/>
          <w:color w:val="1F2937"/>
          <w:sz w:val="18"/>
        </w:rPr>
        <w:t>Provider statement/API ingestion.</w:t>
      </w:r>
    </w:p>
    <w:p>
      <w:pPr>
        <w:pStyle w:val="ListBullet"/>
        <w:spacing w:after="30" w:line="247" w:lineRule="auto"/>
        <w:ind w:left="255" w:hanging="113"/>
      </w:pPr>
      <w:r>
        <w:rPr>
          <w:rFonts w:ascii="Liberation Sans" w:hAnsi="Liberation Sans" w:eastAsia="Liberation Sans"/>
          <w:color w:val="1F2937"/>
          <w:sz w:val="18"/>
        </w:rPr>
        <w:t>DocumentProcessor/OCR suggestions that never silently post transactions.</w:t>
      </w:r>
    </w:p>
    <w:p>
      <w:pPr>
        <w:pStyle w:val="ListBullet"/>
        <w:spacing w:after="30" w:line="247" w:lineRule="auto"/>
        <w:ind w:left="255" w:hanging="113"/>
      </w:pPr>
      <w:r>
        <w:rPr>
          <w:rFonts w:ascii="Liberation Sans" w:hAnsi="Liberation Sans" w:eastAsia="Liberation Sans"/>
          <w:color w:val="1F2937"/>
          <w:sz w:val="18"/>
        </w:rPr>
        <w:t>Native mobile clients if PWA limitations become measured constraints.</w:t>
      </w:r>
    </w:p>
    <w:p>
      <w:pPr>
        <w:pStyle w:val="Heading1"/>
        <w:keepNext/>
        <w:spacing w:before="180" w:after="80"/>
      </w:pPr>
      <w:r>
        <w:rPr>
          <w:rFonts w:ascii="Liberation Sans" w:hAnsi="Liberation Sans" w:eastAsia="Liberation Sans"/>
          <w:b/>
          <w:color w:val="17324D"/>
          <w:sz w:val="36"/>
        </w:rPr>
        <w:t>15. Onboarding, Forms &amp; Cutover Data</w:t>
      </w:r>
    </w:p>
    <w:p>
      <w:pPr>
        <w:pStyle w:val="Heading2"/>
        <w:keepNext/>
        <w:spacing w:before="120" w:after="80"/>
      </w:pPr>
      <w:r>
        <w:rPr>
          <w:rFonts w:ascii="Liberation Sans" w:hAnsi="Liberation Sans" w:eastAsia="Liberation Sans"/>
          <w:b/>
          <w:color w:val="17324D"/>
          <w:sz w:val="27"/>
        </w:rPr>
        <w:t>15.1 Development vs Onboarding Boundary</w:t>
      </w:r>
    </w:p>
    <w:tbl>
      <w:tblPr>
        <w:tblW w:type="auto" w:w="0"/>
        <w:jc w:val="center"/>
        <w:tblLayout w:type="autofit"/>
        <w:tblLook w:firstColumn="1" w:firstRow="1" w:lastColumn="0" w:lastRow="0" w:noHBand="0" w:noVBand="1" w:val="04A0"/>
      </w:tblPr>
      <w:tblGrid>
        <w:gridCol w:w="10036"/>
      </w:tblGrid>
      <w:tr>
        <w:tc>
          <w:tcPr>
            <w:tcW w:type="dxa" w:w="10036"/>
            <w:shd w:fill="FFF6DA"/>
            <w:tcMar>
              <w:top w:w="110" w:type="dxa"/>
              <w:start w:w="150" w:type="dxa"/>
              <w:bottom w:w="110" w:type="dxa"/>
              <w:end w:w="150" w:type="dxa"/>
            </w:tcMar>
          </w:tcPr>
          <w:p>
            <w:pPr>
              <w:spacing w:after="40"/>
            </w:pPr>
            <w:r>
              <w:rPr>
                <w:rFonts w:ascii="Liberation Sans" w:hAnsi="Liberation Sans" w:eastAsia="Liberation Sans"/>
                <w:b/>
                <w:color w:val="C58B00"/>
                <w:sz w:val="19"/>
              </w:rPr>
              <w:t>IMPORTANT</w:t>
            </w:r>
          </w:p>
          <w:p>
            <w:pPr>
              <w:spacing w:after="0"/>
            </w:pPr>
            <w:r>
              <w:rPr>
                <w:rFonts w:ascii="Liberation Sans" w:hAnsi="Liberation Sans" w:eastAsia="Liberation Sans"/>
                <w:color w:val="1F2937"/>
                <w:sz w:val="18"/>
              </w:rPr>
              <w:t>Bank accounts, payment providers, tank capacities, calibration points, pump serials, supplier/customer lists, station floats and opening balances are tenant onboarding data. Their absence does not stop the software build.</w:t>
            </w:r>
          </w:p>
        </w:tc>
      </w:tr>
    </w:tbl>
    <w:p>
      <w:pPr>
        <w:spacing w:after="20"/>
      </w:pPr>
    </w:p>
    <w:p>
      <w:pPr>
        <w:pStyle w:val="Heading2"/>
        <w:keepNext/>
        <w:spacing w:before="120" w:after="80"/>
      </w:pPr>
      <w:r>
        <w:rPr>
          <w:rFonts w:ascii="Liberation Sans" w:hAnsi="Liberation Sans" w:eastAsia="Liberation Sans"/>
          <w:b/>
          <w:color w:val="17324D"/>
          <w:sz w:val="27"/>
        </w:rPr>
        <w:t>15.2 Discovery / Setup Workbook</w:t>
      </w:r>
    </w:p>
    <w:p>
      <w:pPr>
        <w:spacing w:after="100" w:line="259" w:lineRule="auto"/>
      </w:pPr>
      <w:r>
        <w:rPr>
          <w:rFonts w:ascii="Liberation Sans" w:hAnsi="Liberation Sans" w:eastAsia="Liberation Sans"/>
          <w:color w:val="1F2937"/>
          <w:sz w:val="18"/>
        </w:rPr>
        <w:t>The companion “Shanda Fuel Discovery, Setup &amp; Operational Forms Pack” is the working capture mechanism for real TEI setup values and our proposed replacement forms. It includes:</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3118"/>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Workbook area</w:t>
            </w:r>
          </w:p>
        </w:tc>
        <w:tc>
          <w:tcPr>
            <w:tcW w:type="dxa" w:w="5953"/>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Purpose</w:t>
            </w:r>
          </w:p>
        </w:tc>
      </w:tr>
      <w:tr>
        <w:trPr>
          <w:cantSplit/>
        </w:trPr>
        <w:tc>
          <w:tcPr>
            <w:tcW w:type="dxa" w:w="3118"/>
            <w:tcMar>
              <w:top w:w="80" w:type="dxa"/>
              <w:start w:w="90" w:type="dxa"/>
              <w:bottom w:w="80" w:type="dxa"/>
              <w:end w:w="90" w:type="dxa"/>
            </w:tcMar>
            <w:vAlign w:val="top"/>
          </w:tcPr>
          <w:p>
            <w:pPr>
              <w:spacing w:after="0"/>
            </w:pPr>
            <w:r>
              <w:rPr>
                <w:rFonts w:ascii="Liberation Sans" w:hAnsi="Liberation Sans" w:eastAsia="Liberation Sans"/>
                <w:color w:val="1F2937"/>
                <w:sz w:val="16"/>
              </w:rPr>
              <w:t>Locations / Pilot / Shifts</w:t>
            </w:r>
          </w:p>
        </w:tc>
        <w:tc>
          <w:tcPr>
            <w:tcW w:type="dxa" w:w="5953"/>
            <w:tcMar>
              <w:top w:w="80" w:type="dxa"/>
              <w:start w:w="90" w:type="dxa"/>
              <w:bottom w:w="80" w:type="dxa"/>
              <w:end w:w="90" w:type="dxa"/>
            </w:tcMar>
            <w:vAlign w:val="top"/>
          </w:tcPr>
          <w:p>
            <w:pPr>
              <w:spacing w:after="0"/>
            </w:pPr>
            <w:r>
              <w:rPr>
                <w:rFonts w:ascii="Liberation Sans" w:hAnsi="Liberation Sans" w:eastAsia="Liberation Sans"/>
                <w:color w:val="1F2937"/>
                <w:sz w:val="16"/>
              </w:rPr>
              <w:t>Confirm site types, pilot station and station-specific shift clock times</w:t>
            </w:r>
          </w:p>
        </w:tc>
      </w:tr>
      <w:tr>
        <w:trPr>
          <w:cantSplit/>
        </w:trPr>
        <w:tc>
          <w:tcPr>
            <w:tcW w:type="dxa" w:w="3118"/>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Banks / Payment Channels</w:t>
            </w:r>
          </w:p>
        </w:tc>
        <w:tc>
          <w:tcPr>
            <w:tcW w:type="dxa" w:w="5953"/>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Capture bank accounts, POS/EcoCash/provider IDs and settlement behavior</w:t>
            </w:r>
          </w:p>
        </w:tc>
      </w:tr>
      <w:tr>
        <w:trPr>
          <w:cantSplit/>
        </w:trPr>
        <w:tc>
          <w:tcPr>
            <w:tcW w:type="dxa" w:w="3118"/>
            <w:tcMar>
              <w:top w:w="80" w:type="dxa"/>
              <w:start w:w="90" w:type="dxa"/>
              <w:bottom w:w="80" w:type="dxa"/>
              <w:end w:w="90" w:type="dxa"/>
            </w:tcMar>
            <w:vAlign w:val="top"/>
          </w:tcPr>
          <w:p>
            <w:pPr>
              <w:spacing w:after="0"/>
            </w:pPr>
            <w:r>
              <w:rPr>
                <w:rFonts w:ascii="Liberation Sans" w:hAnsi="Liberation Sans" w:eastAsia="Liberation Sans"/>
                <w:color w:val="1F2937"/>
                <w:sz w:val="16"/>
              </w:rPr>
              <w:t>Tanks / Calibration / Pumps-Nozzles</w:t>
            </w:r>
          </w:p>
        </w:tc>
        <w:tc>
          <w:tcPr>
            <w:tcW w:type="dxa" w:w="5953"/>
            <w:tcMar>
              <w:top w:w="80" w:type="dxa"/>
              <w:start w:w="90" w:type="dxa"/>
              <w:bottom w:w="80" w:type="dxa"/>
              <w:end w:w="90" w:type="dxa"/>
            </w:tcMar>
            <w:vAlign w:val="top"/>
          </w:tcPr>
          <w:p>
            <w:pPr>
              <w:spacing w:after="0"/>
            </w:pPr>
            <w:r>
              <w:rPr>
                <w:rFonts w:ascii="Liberation Sans" w:hAnsi="Liberation Sans" w:eastAsia="Liberation Sans"/>
                <w:color w:val="1F2937"/>
                <w:sz w:val="16"/>
              </w:rPr>
              <w:t>Capture physical station configuration and approved calibration sources</w:t>
            </w:r>
          </w:p>
        </w:tc>
      </w:tr>
      <w:tr>
        <w:trPr>
          <w:cantSplit/>
        </w:trPr>
        <w:tc>
          <w:tcPr>
            <w:tcW w:type="dxa" w:w="3118"/>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Suppliers / Customers</w:t>
            </w:r>
          </w:p>
        </w:tc>
        <w:tc>
          <w:tcPr>
            <w:tcW w:type="dxa" w:w="5953"/>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Master data and opening commercial terms/balances</w:t>
            </w:r>
          </w:p>
        </w:tc>
      </w:tr>
      <w:tr>
        <w:trPr>
          <w:cantSplit/>
        </w:trPr>
        <w:tc>
          <w:tcPr>
            <w:tcW w:type="dxa" w:w="3118"/>
            <w:tcMar>
              <w:top w:w="80" w:type="dxa"/>
              <w:start w:w="90" w:type="dxa"/>
              <w:bottom w:w="80" w:type="dxa"/>
              <w:end w:w="90" w:type="dxa"/>
            </w:tcMar>
            <w:vAlign w:val="top"/>
          </w:tcPr>
          <w:p>
            <w:pPr>
              <w:spacing w:after="0"/>
            </w:pPr>
            <w:r>
              <w:rPr>
                <w:rFonts w:ascii="Liberation Sans" w:hAnsi="Liberation Sans" w:eastAsia="Liberation Sans"/>
                <w:color w:val="1F2937"/>
                <w:sz w:val="16"/>
              </w:rPr>
              <w:t>Approvals / Cash / Variance Alerts</w:t>
            </w:r>
          </w:p>
        </w:tc>
        <w:tc>
          <w:tcPr>
            <w:tcW w:type="dxa" w:w="5953"/>
            <w:tcMar>
              <w:top w:w="80" w:type="dxa"/>
              <w:start w:w="90" w:type="dxa"/>
              <w:bottom w:w="80" w:type="dxa"/>
              <w:end w:w="90" w:type="dxa"/>
            </w:tcMar>
            <w:vAlign w:val="top"/>
          </w:tcPr>
          <w:p>
            <w:pPr>
              <w:spacing w:after="0"/>
            </w:pPr>
            <w:r>
              <w:rPr>
                <w:rFonts w:ascii="Liberation Sans" w:hAnsi="Liberation Sans" w:eastAsia="Liberation Sans"/>
                <w:color w:val="1F2937"/>
                <w:sz w:val="16"/>
              </w:rPr>
              <w:t>Pilot defaults and station/company policy tuning</w:t>
            </w:r>
          </w:p>
        </w:tc>
      </w:tr>
      <w:tr>
        <w:trPr>
          <w:cantSplit/>
        </w:trPr>
        <w:tc>
          <w:tcPr>
            <w:tcW w:type="dxa" w:w="3118"/>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Tax &amp; Accounting</w:t>
            </w:r>
          </w:p>
        </w:tc>
        <w:tc>
          <w:tcPr>
            <w:tcW w:type="dxa" w:w="5953"/>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Accountant confirmation register; not a software-design blocker</w:t>
            </w:r>
          </w:p>
        </w:tc>
      </w:tr>
      <w:tr>
        <w:trPr>
          <w:cantSplit/>
        </w:trPr>
        <w:tc>
          <w:tcPr>
            <w:tcW w:type="dxa" w:w="3118"/>
            <w:tcMar>
              <w:top w:w="80" w:type="dxa"/>
              <w:start w:w="90" w:type="dxa"/>
              <w:bottom w:w="80" w:type="dxa"/>
              <w:end w:w="90" w:type="dxa"/>
            </w:tcMar>
            <w:vAlign w:val="top"/>
          </w:tcPr>
          <w:p>
            <w:pPr>
              <w:spacing w:after="0"/>
            </w:pPr>
            <w:r>
              <w:rPr>
                <w:rFonts w:ascii="Liberation Sans" w:hAnsi="Liberation Sans" w:eastAsia="Liberation Sans"/>
                <w:color w:val="1F2937"/>
                <w:sz w:val="16"/>
              </w:rPr>
              <w:t>Opening Inventory / Money / Accounts</w:t>
            </w:r>
          </w:p>
        </w:tc>
        <w:tc>
          <w:tcPr>
            <w:tcW w:type="dxa" w:w="5953"/>
            <w:tcMar>
              <w:top w:w="80" w:type="dxa"/>
              <w:start w:w="90" w:type="dxa"/>
              <w:bottom w:w="80" w:type="dxa"/>
              <w:end w:w="90" w:type="dxa"/>
            </w:tcMar>
            <w:vAlign w:val="top"/>
          </w:tcPr>
          <w:p>
            <w:pPr>
              <w:spacing w:after="0"/>
            </w:pPr>
            <w:r>
              <w:rPr>
                <w:rFonts w:ascii="Liberation Sans" w:hAnsi="Liberation Sans" w:eastAsia="Liberation Sans"/>
                <w:color w:val="1F2937"/>
                <w:sz w:val="16"/>
              </w:rPr>
              <w:t>Approved cutover positions</w:t>
            </w:r>
          </w:p>
        </w:tc>
      </w:tr>
      <w:tr>
        <w:trPr>
          <w:cantSplit/>
        </w:trPr>
        <w:tc>
          <w:tcPr>
            <w:tcW w:type="dxa" w:w="3118"/>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Recent History</w:t>
            </w:r>
          </w:p>
        </w:tc>
        <w:tc>
          <w:tcPr>
            <w:tcW w:type="dxa" w:w="5953"/>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Selective reference import only where useful/clean</w:t>
            </w:r>
          </w:p>
        </w:tc>
      </w:tr>
      <w:tr>
        <w:trPr>
          <w:cantSplit/>
        </w:trPr>
        <w:tc>
          <w:tcPr>
            <w:tcW w:type="dxa" w:w="3118"/>
            <w:tcMar>
              <w:top w:w="80" w:type="dxa"/>
              <w:start w:w="90" w:type="dxa"/>
              <w:bottom w:w="80" w:type="dxa"/>
              <w:end w:w="90" w:type="dxa"/>
            </w:tcMar>
            <w:vAlign w:val="top"/>
          </w:tcPr>
          <w:p>
            <w:pPr>
              <w:spacing w:after="0"/>
            </w:pPr>
            <w:r>
              <w:rPr>
                <w:rFonts w:ascii="Liberation Sans" w:hAnsi="Liberation Sans" w:eastAsia="Liberation Sans"/>
                <w:color w:val="1F2937"/>
                <w:sz w:val="16"/>
              </w:rPr>
              <w:t>Daily Reconciliation / Delivery / Cash Handover / Expense Forms</w:t>
            </w:r>
          </w:p>
        </w:tc>
        <w:tc>
          <w:tcPr>
            <w:tcW w:type="dxa" w:w="5953"/>
            <w:tcMar>
              <w:top w:w="80" w:type="dxa"/>
              <w:start w:w="90" w:type="dxa"/>
              <w:bottom w:w="80" w:type="dxa"/>
              <w:end w:w="90" w:type="dxa"/>
            </w:tcMar>
            <w:vAlign w:val="top"/>
          </w:tcPr>
          <w:p>
            <w:pPr>
              <w:spacing w:after="0"/>
            </w:pPr>
            <w:r>
              <w:rPr>
                <w:rFonts w:ascii="Liberation Sans" w:hAnsi="Liberation Sans" w:eastAsia="Liberation Sans"/>
                <w:color w:val="1F2937"/>
                <w:sz w:val="16"/>
              </w:rPr>
              <w:t>Authored operational reference forms that inform the application workflows</w:t>
            </w:r>
          </w:p>
        </w:tc>
      </w:tr>
    </w:tbl>
    <w:p>
      <w:pPr>
        <w:spacing w:after="40"/>
      </w:pPr>
    </w:p>
    <w:p>
      <w:pPr>
        <w:pStyle w:val="Heading2"/>
        <w:keepNext/>
        <w:spacing w:before="120" w:after="80"/>
      </w:pPr>
      <w:r>
        <w:rPr>
          <w:rFonts w:ascii="Liberation Sans" w:hAnsi="Liberation Sans" w:eastAsia="Liberation Sans"/>
          <w:b/>
          <w:color w:val="17324D"/>
          <w:sz w:val="27"/>
        </w:rPr>
        <w:t>15.3 Opening Position Batch</w:t>
      </w:r>
    </w:p>
    <w:p>
      <w:pPr>
        <w:spacing w:after="100" w:line="259" w:lineRule="auto"/>
      </w:pPr>
      <w:r>
        <w:rPr>
          <w:rFonts w:ascii="Liberation Sans" w:hAnsi="Liberation Sans" w:eastAsia="Liberation Sans"/>
          <w:color w:val="1F2937"/>
          <w:sz w:val="18"/>
        </w:rPr>
        <w:t>The new authoritative history starts with one approved opening-position batch per cutover scope and all Shanda Fuel transactions thereafter. Outstanding items at cutover are opening positions even though they may refer to older invoices/transactions.</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381"/>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Opening position type</w:t>
            </w:r>
          </w:p>
        </w:tc>
        <w:tc>
          <w:tcPr>
            <w:tcW w:type="dxa" w:w="6690"/>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Examples</w:t>
            </w:r>
          </w:p>
        </w:tc>
      </w:tr>
      <w:tr>
        <w:trPr>
          <w:cantSplit/>
        </w:trPr>
        <w:tc>
          <w:tcPr>
            <w:tcW w:type="dxa" w:w="2381"/>
            <w:tcMar>
              <w:top w:w="80" w:type="dxa"/>
              <w:start w:w="90" w:type="dxa"/>
              <w:bottom w:w="80" w:type="dxa"/>
              <w:end w:w="90" w:type="dxa"/>
            </w:tcMar>
            <w:vAlign w:val="top"/>
          </w:tcPr>
          <w:p>
            <w:pPr>
              <w:spacing w:after="0"/>
            </w:pPr>
            <w:r>
              <w:rPr>
                <w:rFonts w:ascii="Liberation Sans" w:hAnsi="Liberation Sans" w:eastAsia="Liberation Sans"/>
                <w:color w:val="1F2937"/>
                <w:sz w:val="16"/>
              </w:rPr>
              <w:t>Inventory</w:t>
            </w:r>
          </w:p>
        </w:tc>
        <w:tc>
          <w:tcPr>
            <w:tcW w:type="dxa" w:w="6690"/>
            <w:tcMar>
              <w:top w:w="80" w:type="dxa"/>
              <w:start w:w="90" w:type="dxa"/>
              <w:bottom w:w="80" w:type="dxa"/>
              <w:end w:w="90" w:type="dxa"/>
            </w:tcMar>
            <w:vAlign w:val="top"/>
          </w:tcPr>
          <w:p>
            <w:pPr>
              <w:spacing w:after="0"/>
            </w:pPr>
            <w:r>
              <w:rPr>
                <w:rFonts w:ascii="Liberation Sans" w:hAnsi="Liberation Sans" w:eastAsia="Liberation Sans"/>
                <w:color w:val="1F2937"/>
                <w:sz w:val="16"/>
              </w:rPr>
              <w:t>Pool/product quantity and value plus physical dip evidence</w:t>
            </w:r>
          </w:p>
        </w:tc>
      </w:tr>
      <w:tr>
        <w:trPr>
          <w:cantSplit/>
        </w:trPr>
        <w:tc>
          <w:tcPr>
            <w:tcW w:type="dxa" w:w="2381"/>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Cash</w:t>
            </w:r>
          </w:p>
        </w:tc>
        <w:tc>
          <w:tcPr>
            <w:tcW w:type="dxa" w:w="6690"/>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Station safe/drawer, collector/transit, management custody</w:t>
            </w:r>
          </w:p>
        </w:tc>
      </w:tr>
      <w:tr>
        <w:trPr>
          <w:cantSplit/>
        </w:trPr>
        <w:tc>
          <w:tcPr>
            <w:tcW w:type="dxa" w:w="2381"/>
            <w:tcMar>
              <w:top w:w="80" w:type="dxa"/>
              <w:start w:w="90" w:type="dxa"/>
              <w:bottom w:w="80" w:type="dxa"/>
              <w:end w:w="90" w:type="dxa"/>
            </w:tcMar>
            <w:vAlign w:val="top"/>
          </w:tcPr>
          <w:p>
            <w:pPr>
              <w:spacing w:after="0"/>
            </w:pPr>
            <w:r>
              <w:rPr>
                <w:rFonts w:ascii="Liberation Sans" w:hAnsi="Liberation Sans" w:eastAsia="Liberation Sans"/>
                <w:color w:val="1F2937"/>
                <w:sz w:val="16"/>
              </w:rPr>
              <w:t>Bank / provider</w:t>
            </w:r>
          </w:p>
        </w:tc>
        <w:tc>
          <w:tcPr>
            <w:tcW w:type="dxa" w:w="6690"/>
            <w:tcMar>
              <w:top w:w="80" w:type="dxa"/>
              <w:start w:w="90" w:type="dxa"/>
              <w:bottom w:w="80" w:type="dxa"/>
              <w:end w:w="90" w:type="dxa"/>
            </w:tcMar>
            <w:vAlign w:val="top"/>
          </w:tcPr>
          <w:p>
            <w:pPr>
              <w:spacing w:after="0"/>
            </w:pPr>
            <w:r>
              <w:rPr>
                <w:rFonts w:ascii="Liberation Sans" w:hAnsi="Liberation Sans" w:eastAsia="Liberation Sans"/>
                <w:color w:val="1F2937"/>
                <w:sz w:val="16"/>
              </w:rPr>
              <w:t>Tracked bank starting amount if used; unsettled POS/EcoCash/provider receivables</w:t>
            </w:r>
          </w:p>
        </w:tc>
      </w:tr>
      <w:tr>
        <w:trPr>
          <w:cantSplit/>
        </w:trPr>
        <w:tc>
          <w:tcPr>
            <w:tcW w:type="dxa" w:w="2381"/>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Supplier</w:t>
            </w:r>
          </w:p>
        </w:tc>
        <w:tc>
          <w:tcPr>
            <w:tcW w:type="dxa" w:w="6690"/>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Open invoices, supplier credits/prepayments, unbilled exposure as needed</w:t>
            </w:r>
          </w:p>
        </w:tc>
      </w:tr>
      <w:tr>
        <w:trPr>
          <w:cantSplit/>
        </w:trPr>
        <w:tc>
          <w:tcPr>
            <w:tcW w:type="dxa" w:w="2381"/>
            <w:tcMar>
              <w:top w:w="80" w:type="dxa"/>
              <w:start w:w="90" w:type="dxa"/>
              <w:bottom w:w="80" w:type="dxa"/>
              <w:end w:w="90" w:type="dxa"/>
            </w:tcMar>
            <w:vAlign w:val="top"/>
          </w:tcPr>
          <w:p>
            <w:pPr>
              <w:spacing w:after="0"/>
            </w:pPr>
            <w:r>
              <w:rPr>
                <w:rFonts w:ascii="Liberation Sans" w:hAnsi="Liberation Sans" w:eastAsia="Liberation Sans"/>
                <w:color w:val="1F2937"/>
                <w:sz w:val="16"/>
              </w:rPr>
              <w:t>Customer</w:t>
            </w:r>
          </w:p>
        </w:tc>
        <w:tc>
          <w:tcPr>
            <w:tcW w:type="dxa" w:w="6690"/>
            <w:tcMar>
              <w:top w:w="80" w:type="dxa"/>
              <w:start w:w="90" w:type="dxa"/>
              <w:bottom w:w="80" w:type="dxa"/>
              <w:end w:w="90" w:type="dxa"/>
            </w:tcMar>
            <w:vAlign w:val="top"/>
          </w:tcPr>
          <w:p>
            <w:pPr>
              <w:spacing w:after="0"/>
            </w:pPr>
            <w:r>
              <w:rPr>
                <w:rFonts w:ascii="Liberation Sans" w:hAnsi="Liberation Sans" w:eastAsia="Liberation Sans"/>
                <w:color w:val="1F2937"/>
                <w:sz w:val="16"/>
              </w:rPr>
              <w:t>Open receivables, unapplied credits, prepaid value, prepaid litres</w:t>
            </w:r>
          </w:p>
        </w:tc>
      </w:tr>
      <w:tr>
        <w:trPr>
          <w:cantSplit/>
        </w:trPr>
        <w:tc>
          <w:tcPr>
            <w:tcW w:type="dxa" w:w="2381"/>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Obligations</w:t>
            </w:r>
          </w:p>
        </w:tc>
        <w:tc>
          <w:tcPr>
            <w:tcW w:type="dxa" w:w="6690"/>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Known unpaid operating expenses/recurring obligations</w:t>
            </w:r>
          </w:p>
        </w:tc>
      </w:tr>
    </w:tbl>
    <w:p>
      <w:pPr>
        <w:spacing w:after="40"/>
      </w:pPr>
    </w:p>
    <w:p>
      <w:pPr>
        <w:pStyle w:val="Heading2"/>
        <w:keepNext/>
        <w:spacing w:before="120" w:after="80"/>
      </w:pPr>
      <w:r>
        <w:rPr>
          <w:rFonts w:ascii="Liberation Sans" w:hAnsi="Liberation Sans" w:eastAsia="Liberation Sans"/>
          <w:b/>
          <w:color w:val="17324D"/>
          <w:sz w:val="27"/>
        </w:rPr>
        <w:t>15.4 Selective Recent History</w:t>
      </w:r>
    </w:p>
    <w:p>
      <w:pPr>
        <w:spacing w:after="100" w:line="259" w:lineRule="auto"/>
      </w:pPr>
      <w:r>
        <w:rPr>
          <w:rFonts w:ascii="Liberation Sans" w:hAnsi="Liberation Sans" w:eastAsia="Liberation Sans"/>
          <w:color w:val="1F2937"/>
          <w:sz w:val="18"/>
        </w:rPr>
        <w:t>Recent closed history may be imported for comparison or user continuity only when useful and sufficiently clean. It does not become authoritative new-ledger movement unless it represents an outstanding cutover position.</w:t>
      </w:r>
    </w:p>
    <w:p>
      <w:pPr>
        <w:pStyle w:val="Heading1"/>
        <w:keepNext/>
        <w:spacing w:before="180" w:after="80"/>
      </w:pPr>
      <w:r>
        <w:rPr>
          <w:rFonts w:ascii="Liberation Sans" w:hAnsi="Liberation Sans" w:eastAsia="Liberation Sans"/>
          <w:b/>
          <w:color w:val="17324D"/>
          <w:sz w:val="36"/>
        </w:rPr>
        <w:t>16. Testing, Quality &amp; Definition of Done</w:t>
      </w:r>
    </w:p>
    <w:p>
      <w:pPr>
        <w:pStyle w:val="Heading2"/>
        <w:keepNext/>
        <w:spacing w:before="120" w:after="80"/>
      </w:pPr>
      <w:r>
        <w:rPr>
          <w:rFonts w:ascii="Liberation Sans" w:hAnsi="Liberation Sans" w:eastAsia="Liberation Sans"/>
          <w:b/>
          <w:color w:val="17324D"/>
          <w:sz w:val="27"/>
        </w:rPr>
        <w:t>16.1 Test Layers</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381"/>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Layer</w:t>
            </w:r>
          </w:p>
        </w:tc>
        <w:tc>
          <w:tcPr>
            <w:tcW w:type="dxa" w:w="6690"/>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Examples</w:t>
            </w:r>
          </w:p>
        </w:tc>
      </w:tr>
      <w:tr>
        <w:trPr>
          <w:cantSplit/>
        </w:trPr>
        <w:tc>
          <w:tcPr>
            <w:tcW w:type="dxa" w:w="2381"/>
            <w:tcMar>
              <w:top w:w="80" w:type="dxa"/>
              <w:start w:w="90" w:type="dxa"/>
              <w:bottom w:w="80" w:type="dxa"/>
              <w:end w:w="90" w:type="dxa"/>
            </w:tcMar>
            <w:vAlign w:val="top"/>
          </w:tcPr>
          <w:p>
            <w:pPr>
              <w:spacing w:after="0"/>
            </w:pPr>
            <w:r>
              <w:rPr>
                <w:rFonts w:ascii="Liberation Sans" w:hAnsi="Liberation Sans" w:eastAsia="Liberation Sans"/>
                <w:color w:val="1F2937"/>
                <w:sz w:val="16"/>
              </w:rPr>
              <w:t>Domain unit tests</w:t>
            </w:r>
          </w:p>
        </w:tc>
        <w:tc>
          <w:tcPr>
            <w:tcW w:type="dxa" w:w="6690"/>
            <w:tcMar>
              <w:top w:w="80" w:type="dxa"/>
              <w:start w:w="90" w:type="dxa"/>
              <w:bottom w:w="80" w:type="dxa"/>
              <w:end w:w="90" w:type="dxa"/>
            </w:tcMar>
            <w:vAlign w:val="top"/>
          </w:tcPr>
          <w:p>
            <w:pPr>
              <w:spacing w:after="0"/>
            </w:pPr>
            <w:r>
              <w:rPr>
                <w:rFonts w:ascii="Liberation Sans" w:hAnsi="Liberation Sans" w:eastAsia="Liberation Sans"/>
                <w:color w:val="1F2937"/>
                <w:sz w:val="16"/>
              </w:rPr>
              <w:t>State transition rules, WAC arithmetic, settlement variance, allocation rules, authorization/reservation behavior</w:t>
            </w:r>
          </w:p>
        </w:tc>
      </w:tr>
      <w:tr>
        <w:trPr>
          <w:cantSplit/>
        </w:trPr>
        <w:tc>
          <w:tcPr>
            <w:tcW w:type="dxa" w:w="2381"/>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Property-based tests</w:t>
            </w:r>
          </w:p>
        </w:tc>
        <w:tc>
          <w:tcPr>
            <w:tcW w:type="dxa" w:w="6690"/>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Cash conservation, allocation caps, prepaid non-negative balances, inventory quantity/value conservation</w:t>
            </w:r>
          </w:p>
        </w:tc>
      </w:tr>
      <w:tr>
        <w:trPr>
          <w:cantSplit/>
        </w:trPr>
        <w:tc>
          <w:tcPr>
            <w:tcW w:type="dxa" w:w="2381"/>
            <w:tcMar>
              <w:top w:w="80" w:type="dxa"/>
              <w:start w:w="90" w:type="dxa"/>
              <w:bottom w:w="80" w:type="dxa"/>
              <w:end w:w="90" w:type="dxa"/>
            </w:tcMar>
            <w:vAlign w:val="top"/>
          </w:tcPr>
          <w:p>
            <w:pPr>
              <w:spacing w:after="0"/>
            </w:pPr>
            <w:r>
              <w:rPr>
                <w:rFonts w:ascii="Liberation Sans" w:hAnsi="Liberation Sans" w:eastAsia="Liberation Sans"/>
                <w:color w:val="1F2937"/>
                <w:sz w:val="16"/>
              </w:rPr>
              <w:t>PostgreSQL integration</w:t>
            </w:r>
          </w:p>
        </w:tc>
        <w:tc>
          <w:tcPr>
            <w:tcW w:type="dxa" w:w="6690"/>
            <w:tcMar>
              <w:top w:w="80" w:type="dxa"/>
              <w:start w:w="90" w:type="dxa"/>
              <w:bottom w:w="80" w:type="dxa"/>
              <w:end w:w="90" w:type="dxa"/>
            </w:tcMar>
            <w:vAlign w:val="top"/>
          </w:tcPr>
          <w:p>
            <w:pPr>
              <w:spacing w:after="0"/>
            </w:pPr>
            <w:r>
              <w:rPr>
                <w:rFonts w:ascii="Liberation Sans" w:hAnsi="Liberation Sans" w:eastAsia="Liberation Sans"/>
                <w:color w:val="1F2937"/>
                <w:sz w:val="16"/>
              </w:rPr>
              <w:t>Transactions, constraints, exclusion ranges, idempotency and projection updates</w:t>
            </w:r>
          </w:p>
        </w:tc>
      </w:tr>
      <w:tr>
        <w:trPr>
          <w:cantSplit/>
        </w:trPr>
        <w:tc>
          <w:tcPr>
            <w:tcW w:type="dxa" w:w="2381"/>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RLS/security</w:t>
            </w:r>
          </w:p>
        </w:tc>
        <w:tc>
          <w:tcPr>
            <w:tcW w:type="dxa" w:w="6690"/>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Tenant isolation for CRUD/search/export/jobs; missing tenant context fail-closed</w:t>
            </w:r>
          </w:p>
        </w:tc>
      </w:tr>
      <w:tr>
        <w:trPr>
          <w:cantSplit/>
        </w:trPr>
        <w:tc>
          <w:tcPr>
            <w:tcW w:type="dxa" w:w="2381"/>
            <w:tcMar>
              <w:top w:w="80" w:type="dxa"/>
              <w:start w:w="90" w:type="dxa"/>
              <w:bottom w:w="80" w:type="dxa"/>
              <w:end w:w="90" w:type="dxa"/>
            </w:tcMar>
            <w:vAlign w:val="top"/>
          </w:tcPr>
          <w:p>
            <w:pPr>
              <w:spacing w:after="0"/>
            </w:pPr>
            <w:r>
              <w:rPr>
                <w:rFonts w:ascii="Liberation Sans" w:hAnsi="Liberation Sans" w:eastAsia="Liberation Sans"/>
                <w:color w:val="1F2937"/>
                <w:sz w:val="16"/>
              </w:rPr>
              <w:t>E2E / Playwright</w:t>
            </w:r>
          </w:p>
        </w:tc>
        <w:tc>
          <w:tcPr>
            <w:tcW w:type="dxa" w:w="6690"/>
            <w:tcMar>
              <w:top w:w="80" w:type="dxa"/>
              <w:start w:w="90" w:type="dxa"/>
              <w:bottom w:w="80" w:type="dxa"/>
              <w:end w:w="90" w:type="dxa"/>
            </w:tcMar>
            <w:vAlign w:val="top"/>
          </w:tcPr>
          <w:p>
            <w:pPr>
              <w:spacing w:after="0"/>
            </w:pPr>
            <w:r>
              <w:rPr>
                <w:rFonts w:ascii="Liberation Sans" w:hAnsi="Liberation Sans" w:eastAsia="Liberation Sans"/>
                <w:color w:val="1F2937"/>
                <w:sz w:val="16"/>
              </w:rPr>
              <w:t>Critical user journeys from station operations through approval/posting/reporting</w:t>
            </w:r>
          </w:p>
        </w:tc>
      </w:tr>
      <w:tr>
        <w:trPr>
          <w:cantSplit/>
        </w:trPr>
        <w:tc>
          <w:tcPr>
            <w:tcW w:type="dxa" w:w="2381"/>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Accessibility</w:t>
            </w:r>
          </w:p>
        </w:tc>
        <w:tc>
          <w:tcPr>
            <w:tcW w:type="dxa" w:w="6690"/>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Keyboard/focus/labels/status semantics, axe checks, reduced-motion behavior</w:t>
            </w:r>
          </w:p>
        </w:tc>
      </w:tr>
      <w:tr>
        <w:trPr>
          <w:cantSplit/>
        </w:trPr>
        <w:tc>
          <w:tcPr>
            <w:tcW w:type="dxa" w:w="2381"/>
            <w:tcMar>
              <w:top w:w="80" w:type="dxa"/>
              <w:start w:w="90" w:type="dxa"/>
              <w:bottom w:w="80" w:type="dxa"/>
              <w:end w:w="90" w:type="dxa"/>
            </w:tcMar>
            <w:vAlign w:val="top"/>
          </w:tcPr>
          <w:p>
            <w:pPr>
              <w:spacing w:after="0"/>
            </w:pPr>
            <w:r>
              <w:rPr>
                <w:rFonts w:ascii="Liberation Sans" w:hAnsi="Liberation Sans" w:eastAsia="Liberation Sans"/>
                <w:color w:val="1F2937"/>
                <w:sz w:val="16"/>
              </w:rPr>
              <w:t>Migration/restore</w:t>
            </w:r>
          </w:p>
        </w:tc>
        <w:tc>
          <w:tcPr>
            <w:tcW w:type="dxa" w:w="6690"/>
            <w:tcMar>
              <w:top w:w="80" w:type="dxa"/>
              <w:start w:w="90" w:type="dxa"/>
              <w:bottom w:w="80" w:type="dxa"/>
              <w:end w:w="90" w:type="dxa"/>
            </w:tcMar>
            <w:vAlign w:val="top"/>
          </w:tcPr>
          <w:p>
            <w:pPr>
              <w:spacing w:after="0"/>
            </w:pPr>
            <w:r>
              <w:rPr>
                <w:rFonts w:ascii="Liberation Sans" w:hAnsi="Liberation Sans" w:eastAsia="Liberation Sans"/>
                <w:color w:val="1F2937"/>
                <w:sz w:val="16"/>
              </w:rPr>
              <w:t>Fresh schema, upgrade path, backup restore, tenant-scoped recovery procedure</w:t>
            </w:r>
          </w:p>
        </w:tc>
      </w:tr>
    </w:tbl>
    <w:p>
      <w:pPr>
        <w:spacing w:after="40"/>
      </w:pPr>
    </w:p>
    <w:p>
      <w:pPr>
        <w:pStyle w:val="Heading2"/>
        <w:keepNext/>
        <w:spacing w:before="120" w:after="80"/>
      </w:pPr>
      <w:r>
        <w:rPr>
          <w:rFonts w:ascii="Liberation Sans" w:hAnsi="Liberation Sans" w:eastAsia="Liberation Sans"/>
          <w:b/>
          <w:color w:val="17324D"/>
          <w:sz w:val="27"/>
        </w:rPr>
        <w:t>16.2 Definition of Done for a Vertical Slice</w:t>
      </w:r>
    </w:p>
    <w:p>
      <w:pPr>
        <w:pStyle w:val="ListBullet"/>
        <w:spacing w:after="30" w:line="247" w:lineRule="auto"/>
        <w:ind w:left="255" w:hanging="113"/>
      </w:pPr>
      <w:r>
        <w:rPr>
          <w:rFonts w:ascii="Liberation Sans" w:hAnsi="Liberation Sans" w:eastAsia="Liberation Sans"/>
          <w:color w:val="1F2937"/>
          <w:sz w:val="18"/>
        </w:rPr>
        <w:t>Schema migration and rollback/forward strategy considered.</w:t>
      </w:r>
    </w:p>
    <w:p>
      <w:pPr>
        <w:pStyle w:val="ListBullet"/>
        <w:spacing w:after="30" w:line="247" w:lineRule="auto"/>
        <w:ind w:left="255" w:hanging="113"/>
      </w:pPr>
      <w:r>
        <w:rPr>
          <w:rFonts w:ascii="Liberation Sans" w:hAnsi="Liberation Sans" w:eastAsia="Liberation Sans"/>
          <w:color w:val="1F2937"/>
          <w:sz w:val="18"/>
        </w:rPr>
        <w:t>Tenant isolation and authorization covered by tests.</w:t>
      </w:r>
    </w:p>
    <w:p>
      <w:pPr>
        <w:pStyle w:val="ListBullet"/>
        <w:spacing w:after="30" w:line="247" w:lineRule="auto"/>
        <w:ind w:left="255" w:hanging="113"/>
      </w:pPr>
      <w:r>
        <w:rPr>
          <w:rFonts w:ascii="Liberation Sans" w:hAnsi="Liberation Sans" w:eastAsia="Liberation Sans"/>
          <w:color w:val="1F2937"/>
          <w:sz w:val="18"/>
        </w:rPr>
        <w:t>Server-side validation and typed command DTO implemented.</w:t>
      </w:r>
    </w:p>
    <w:p>
      <w:pPr>
        <w:pStyle w:val="ListBullet"/>
        <w:spacing w:after="30" w:line="247" w:lineRule="auto"/>
        <w:ind w:left="255" w:hanging="113"/>
      </w:pPr>
      <w:r>
        <w:rPr>
          <w:rFonts w:ascii="Liberation Sans" w:hAnsi="Liberation Sans" w:eastAsia="Liberation Sans"/>
          <w:color w:val="1F2937"/>
          <w:sz w:val="18"/>
        </w:rPr>
        <w:t>Duplicate/idempotency/concurrency behavior handled.</w:t>
      </w:r>
    </w:p>
    <w:p>
      <w:pPr>
        <w:pStyle w:val="ListBullet"/>
        <w:spacing w:after="30" w:line="247" w:lineRule="auto"/>
        <w:ind w:left="255" w:hanging="113"/>
      </w:pPr>
      <w:r>
        <w:rPr>
          <w:rFonts w:ascii="Liberation Sans" w:hAnsi="Liberation Sans" w:eastAsia="Liberation Sans"/>
          <w:color w:val="1F2937"/>
          <w:sz w:val="18"/>
        </w:rPr>
        <w:t>Decimal/currency/litre calculations use canonical utilities.</w:t>
      </w:r>
    </w:p>
    <w:p>
      <w:pPr>
        <w:pStyle w:val="ListBullet"/>
        <w:spacing w:after="30" w:line="247" w:lineRule="auto"/>
        <w:ind w:left="255" w:hanging="113"/>
      </w:pPr>
      <w:r>
        <w:rPr>
          <w:rFonts w:ascii="Liberation Sans" w:hAnsi="Liberation Sans" w:eastAsia="Liberation Sans"/>
          <w:color w:val="1F2937"/>
          <w:sz w:val="18"/>
        </w:rPr>
        <w:t>Audit/outbox behavior included in the same transaction.</w:t>
      </w:r>
    </w:p>
    <w:p>
      <w:pPr>
        <w:pStyle w:val="ListBullet"/>
        <w:spacing w:after="30" w:line="247" w:lineRule="auto"/>
        <w:ind w:left="255" w:hanging="113"/>
      </w:pPr>
      <w:r>
        <w:rPr>
          <w:rFonts w:ascii="Liberation Sans" w:hAnsi="Liberation Sans" w:eastAsia="Liberation Sans"/>
          <w:color w:val="1F2937"/>
          <w:sz w:val="18"/>
        </w:rPr>
        <w:t>Loading, empty, error, conflict and weak-network states implemented.</w:t>
      </w:r>
    </w:p>
    <w:p>
      <w:pPr>
        <w:pStyle w:val="ListBullet"/>
        <w:spacing w:after="30" w:line="247" w:lineRule="auto"/>
        <w:ind w:left="255" w:hanging="113"/>
      </w:pPr>
      <w:r>
        <w:rPr>
          <w:rFonts w:ascii="Liberation Sans" w:hAnsi="Liberation Sans" w:eastAsia="Liberation Sans"/>
          <w:color w:val="1F2937"/>
          <w:sz w:val="18"/>
        </w:rPr>
        <w:t>Mobile and desktop responsive behavior reviewed.</w:t>
      </w:r>
    </w:p>
    <w:p>
      <w:pPr>
        <w:pStyle w:val="ListBullet"/>
        <w:spacing w:after="30" w:line="247" w:lineRule="auto"/>
        <w:ind w:left="255" w:hanging="113"/>
      </w:pPr>
      <w:r>
        <w:rPr>
          <w:rFonts w:ascii="Liberation Sans" w:hAnsi="Liberation Sans" w:eastAsia="Liberation Sans"/>
          <w:color w:val="1F2937"/>
          <w:sz w:val="18"/>
        </w:rPr>
        <w:t>Correction/reversal behavior specified before posting is enabled.</w:t>
      </w:r>
    </w:p>
    <w:p>
      <w:pPr>
        <w:pStyle w:val="ListBullet"/>
        <w:spacing w:after="30" w:line="247" w:lineRule="auto"/>
        <w:ind w:left="255" w:hanging="113"/>
      </w:pPr>
      <w:r>
        <w:rPr>
          <w:rFonts w:ascii="Liberation Sans" w:hAnsi="Liberation Sans" w:eastAsia="Liberation Sans"/>
          <w:color w:val="1F2937"/>
          <w:sz w:val="18"/>
        </w:rPr>
        <w:t>Observability and user-safe error codes included.</w:t>
      </w:r>
    </w:p>
    <w:p>
      <w:pPr>
        <w:pStyle w:val="ListBullet"/>
        <w:spacing w:after="30" w:line="247" w:lineRule="auto"/>
        <w:ind w:left="255" w:hanging="113"/>
      </w:pPr>
      <w:r>
        <w:rPr>
          <w:rFonts w:ascii="Liberation Sans" w:hAnsi="Liberation Sans" w:eastAsia="Liberation Sans"/>
          <w:color w:val="1F2937"/>
          <w:sz w:val="18"/>
        </w:rPr>
        <w:t>Module docs and acceptance scenarios updated.</w:t>
      </w:r>
    </w:p>
    <w:p>
      <w:pPr>
        <w:pStyle w:val="Heading2"/>
        <w:keepNext/>
        <w:spacing w:before="120" w:after="80"/>
      </w:pPr>
      <w:r>
        <w:rPr>
          <w:rFonts w:ascii="Liberation Sans" w:hAnsi="Liberation Sans" w:eastAsia="Liberation Sans"/>
          <w:b/>
          <w:color w:val="17324D"/>
          <w:sz w:val="27"/>
        </w:rPr>
        <w:t>16.3 Performance Targets</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381"/>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Target</w:t>
            </w:r>
          </w:p>
        </w:tc>
        <w:tc>
          <w:tcPr>
            <w:tcW w:type="dxa" w:w="6690"/>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Planning goal</w:t>
            </w:r>
          </w:p>
        </w:tc>
      </w:tr>
      <w:tr>
        <w:trPr>
          <w:cantSplit/>
        </w:trPr>
        <w:tc>
          <w:tcPr>
            <w:tcW w:type="dxa" w:w="2381"/>
            <w:tcMar>
              <w:top w:w="80" w:type="dxa"/>
              <w:start w:w="90" w:type="dxa"/>
              <w:bottom w:w="80" w:type="dxa"/>
              <w:end w:w="90" w:type="dxa"/>
            </w:tcMar>
            <w:vAlign w:val="top"/>
          </w:tcPr>
          <w:p>
            <w:pPr>
              <w:spacing w:after="0"/>
            </w:pPr>
            <w:r>
              <w:rPr>
                <w:rFonts w:ascii="Liberation Sans" w:hAnsi="Liberation Sans" w:eastAsia="Liberation Sans"/>
                <w:color w:val="1F2937"/>
                <w:sz w:val="16"/>
              </w:rPr>
              <w:t>Ordinary command</w:t>
            </w:r>
          </w:p>
        </w:tc>
        <w:tc>
          <w:tcPr>
            <w:tcW w:type="dxa" w:w="6690"/>
            <w:tcMar>
              <w:top w:w="80" w:type="dxa"/>
              <w:start w:w="90" w:type="dxa"/>
              <w:bottom w:w="80" w:type="dxa"/>
              <w:end w:w="90" w:type="dxa"/>
            </w:tcMar>
            <w:vAlign w:val="top"/>
          </w:tcPr>
          <w:p>
            <w:pPr>
              <w:spacing w:after="0"/>
            </w:pPr>
            <w:r>
              <w:rPr>
                <w:rFonts w:ascii="Liberation Sans" w:hAnsi="Liberation Sans" w:eastAsia="Liberation Sans"/>
                <w:color w:val="1F2937"/>
                <w:sz w:val="16"/>
              </w:rPr>
              <w:t>Usually &lt; 1 second under reasonable regional mobile conditions, excluding network latency outside our control</w:t>
            </w:r>
          </w:p>
        </w:tc>
      </w:tr>
      <w:tr>
        <w:trPr>
          <w:cantSplit/>
        </w:trPr>
        <w:tc>
          <w:tcPr>
            <w:tcW w:type="dxa" w:w="2381"/>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Useful page</w:t>
            </w:r>
          </w:p>
        </w:tc>
        <w:tc>
          <w:tcPr>
            <w:tcW w:type="dxa" w:w="6690"/>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~2 seconds or better for common screens under reasonable conditions; progressive loading allowed</w:t>
            </w:r>
          </w:p>
        </w:tc>
      </w:tr>
      <w:tr>
        <w:trPr>
          <w:cantSplit/>
        </w:trPr>
        <w:tc>
          <w:tcPr>
            <w:tcW w:type="dxa" w:w="2381"/>
            <w:tcMar>
              <w:top w:w="80" w:type="dxa"/>
              <w:start w:w="90" w:type="dxa"/>
              <w:bottom w:w="80" w:type="dxa"/>
              <w:end w:w="90" w:type="dxa"/>
            </w:tcMar>
            <w:vAlign w:val="top"/>
          </w:tcPr>
          <w:p>
            <w:pPr>
              <w:spacing w:after="0"/>
            </w:pPr>
            <w:r>
              <w:rPr>
                <w:rFonts w:ascii="Liberation Sans" w:hAnsi="Liberation Sans" w:eastAsia="Liberation Sans"/>
                <w:color w:val="1F2937"/>
                <w:sz w:val="16"/>
              </w:rPr>
              <w:t>Large reports</w:t>
            </w:r>
          </w:p>
        </w:tc>
        <w:tc>
          <w:tcPr>
            <w:tcW w:type="dxa" w:w="6690"/>
            <w:tcMar>
              <w:top w:w="80" w:type="dxa"/>
              <w:start w:w="90" w:type="dxa"/>
              <w:bottom w:w="80" w:type="dxa"/>
              <w:end w:w="90" w:type="dxa"/>
            </w:tcMar>
            <w:vAlign w:val="top"/>
          </w:tcPr>
          <w:p>
            <w:pPr>
              <w:spacing w:after="0"/>
            </w:pPr>
            <w:r>
              <w:rPr>
                <w:rFonts w:ascii="Liberation Sans" w:hAnsi="Liberation Sans" w:eastAsia="Liberation Sans"/>
                <w:color w:val="1F2937"/>
                <w:sz w:val="16"/>
              </w:rPr>
              <w:t>Background job, never block ordinary request execution</w:t>
            </w:r>
          </w:p>
        </w:tc>
      </w:tr>
      <w:tr>
        <w:trPr>
          <w:cantSplit/>
        </w:trPr>
        <w:tc>
          <w:tcPr>
            <w:tcW w:type="dxa" w:w="2381"/>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Low bandwidth</w:t>
            </w:r>
          </w:p>
        </w:tc>
        <w:tc>
          <w:tcPr>
            <w:tcW w:type="dxa" w:w="6690"/>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Compress images, avoid unnecessary data payloads, preserve drafts and provide truthful retry</w:t>
            </w:r>
          </w:p>
        </w:tc>
      </w:tr>
    </w:tbl>
    <w:p>
      <w:pPr>
        <w:spacing w:after="40"/>
      </w:pPr>
    </w:p>
    <w:p>
      <w:pPr>
        <w:pStyle w:val="Heading1"/>
        <w:keepNext/>
        <w:spacing w:before="180" w:after="80"/>
      </w:pPr>
      <w:r>
        <w:rPr>
          <w:rFonts w:ascii="Liberation Sans" w:hAnsi="Liberation Sans" w:eastAsia="Liberation Sans"/>
          <w:b/>
          <w:color w:val="17324D"/>
          <w:sz w:val="36"/>
        </w:rPr>
        <w:t>17. Delivery Plan &amp; Build Sequence</w:t>
      </w:r>
    </w:p>
    <w:p>
      <w:pPr>
        <w:pStyle w:val="Heading2"/>
        <w:keepNext/>
        <w:spacing w:before="120" w:after="80"/>
      </w:pPr>
      <w:r>
        <w:rPr>
          <w:rFonts w:ascii="Liberation Sans" w:hAnsi="Liberation Sans" w:eastAsia="Liberation Sans"/>
          <w:b/>
          <w:color w:val="17324D"/>
          <w:sz w:val="27"/>
        </w:rPr>
        <w:t>17.1 Development Strategy</w:t>
      </w:r>
    </w:p>
    <w:p>
      <w:pPr>
        <w:spacing w:after="100" w:line="259" w:lineRule="auto"/>
      </w:pPr>
      <w:r>
        <w:rPr>
          <w:rFonts w:ascii="Liberation Sans" w:hAnsi="Liberation Sans" w:eastAsia="Liberation Sans"/>
          <w:color w:val="1F2937"/>
          <w:sz w:val="18"/>
        </w:rPr>
        <w:t>Build vertical slices that create real operational value and exercise the full security/data architecture early. Avoid building every table before any complete workflow works.</w:t>
      </w:r>
    </w:p>
    <w:tbl>
      <w:tblPr>
        <w:tblStyle w:val="TableGrid"/>
        <w:tblW w:type="auto" w:w="0"/>
        <w:jc w:val="center"/>
        <w:tblLook w:firstColumn="1" w:firstRow="1" w:lastColumn="0" w:lastRow="0" w:noHBand="0" w:noVBand="1" w:val="04A0"/>
      </w:tblPr>
      <w:tblGrid>
        <w:gridCol w:w="3345"/>
        <w:gridCol w:w="3345"/>
        <w:gridCol w:w="3345"/>
      </w:tblGrid>
      <w:tr>
        <w:trPr>
          <w:tblHeader w:val="true"/>
        </w:trPr>
        <w:tc>
          <w:tcPr>
            <w:tcW w:type="dxa" w:w="2608"/>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Phase</w:t>
            </w:r>
          </w:p>
        </w:tc>
        <w:tc>
          <w:tcPr>
            <w:tcW w:type="dxa" w:w="1701"/>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Approx. planning duration</w:t>
            </w:r>
          </w:p>
        </w:tc>
        <w:tc>
          <w:tcPr>
            <w:tcW w:type="dxa" w:w="4762"/>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Primary output</w:t>
            </w:r>
          </w:p>
        </w:tc>
      </w:tr>
      <w:tr>
        <w:trPr>
          <w:cantSplit/>
        </w:trPr>
        <w:tc>
          <w:tcPr>
            <w:tcW w:type="dxa" w:w="2608"/>
            <w:tcMar>
              <w:top w:w="80" w:type="dxa"/>
              <w:start w:w="90" w:type="dxa"/>
              <w:bottom w:w="80" w:type="dxa"/>
              <w:end w:w="90" w:type="dxa"/>
            </w:tcMar>
            <w:vAlign w:val="top"/>
          </w:tcPr>
          <w:p>
            <w:pPr>
              <w:spacing w:after="0"/>
            </w:pPr>
            <w:r>
              <w:rPr>
                <w:rFonts w:ascii="Liberation Sans" w:hAnsi="Liberation Sans" w:eastAsia="Liberation Sans"/>
                <w:color w:val="1F2937"/>
                <w:sz w:val="16"/>
              </w:rPr>
              <w:t>0. Blueprint / repo / ERD / wireframes</w:t>
            </w:r>
          </w:p>
        </w:tc>
        <w:tc>
          <w:tcPr>
            <w:tcW w:type="dxa" w:w="1701"/>
            <w:tcMar>
              <w:top w:w="80" w:type="dxa"/>
              <w:start w:w="90" w:type="dxa"/>
              <w:bottom w:w="80" w:type="dxa"/>
              <w:end w:w="90" w:type="dxa"/>
            </w:tcMar>
            <w:vAlign w:val="top"/>
          </w:tcPr>
          <w:p>
            <w:pPr>
              <w:spacing w:after="0"/>
            </w:pPr>
            <w:r>
              <w:rPr>
                <w:rFonts w:ascii="Liberation Sans" w:hAnsi="Liberation Sans" w:eastAsia="Liberation Sans"/>
                <w:color w:val="1F2937"/>
                <w:sz w:val="16"/>
              </w:rPr>
              <w:t>~1 week</w:t>
            </w:r>
          </w:p>
        </w:tc>
        <w:tc>
          <w:tcPr>
            <w:tcW w:type="dxa" w:w="4762"/>
            <w:tcMar>
              <w:top w:w="80" w:type="dxa"/>
              <w:start w:w="90" w:type="dxa"/>
              <w:bottom w:w="80" w:type="dxa"/>
              <w:end w:w="90" w:type="dxa"/>
            </w:tcMar>
            <w:vAlign w:val="top"/>
          </w:tcPr>
          <w:p>
            <w:pPr>
              <w:spacing w:after="0"/>
            </w:pPr>
            <w:r>
              <w:rPr>
                <w:rFonts w:ascii="Liberation Sans" w:hAnsi="Liberation Sans" w:eastAsia="Liberation Sans"/>
                <w:color w:val="1F2937"/>
                <w:sz w:val="16"/>
              </w:rPr>
              <w:t>This specification, schema plan, design system skeleton, environments</w:t>
            </w:r>
          </w:p>
        </w:tc>
      </w:tr>
      <w:tr>
        <w:trPr>
          <w:cantSplit/>
        </w:trPr>
        <w:tc>
          <w:tcPr>
            <w:tcW w:type="dxa" w:w="2608"/>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1. Foundation</w:t>
            </w:r>
          </w:p>
        </w:tc>
        <w:tc>
          <w:tcPr>
            <w:tcW w:type="dxa" w:w="1701"/>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~2 weeks</w:t>
            </w:r>
          </w:p>
        </w:tc>
        <w:tc>
          <w:tcPr>
            <w:tcW w:type="dxa" w:w="4762"/>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Tenancy, auth, roles, stations/config, documents, audit, RLS, CI</w:t>
            </w:r>
          </w:p>
        </w:tc>
      </w:tr>
      <w:tr>
        <w:trPr>
          <w:cantSplit/>
        </w:trPr>
        <w:tc>
          <w:tcPr>
            <w:tcW w:type="dxa" w:w="2608"/>
            <w:tcMar>
              <w:top w:w="80" w:type="dxa"/>
              <w:start w:w="90" w:type="dxa"/>
              <w:bottom w:w="80" w:type="dxa"/>
              <w:end w:w="90" w:type="dxa"/>
            </w:tcMar>
            <w:vAlign w:val="top"/>
          </w:tcPr>
          <w:p>
            <w:pPr>
              <w:spacing w:after="0"/>
            </w:pPr>
            <w:r>
              <w:rPr>
                <w:rFonts w:ascii="Liberation Sans" w:hAnsi="Liberation Sans" w:eastAsia="Liberation Sans"/>
                <w:color w:val="1F2937"/>
                <w:sz w:val="16"/>
              </w:rPr>
              <w:t>2. Core station vertical slice</w:t>
            </w:r>
          </w:p>
        </w:tc>
        <w:tc>
          <w:tcPr>
            <w:tcW w:type="dxa" w:w="1701"/>
            <w:tcMar>
              <w:top w:w="80" w:type="dxa"/>
              <w:start w:w="90" w:type="dxa"/>
              <w:bottom w:w="80" w:type="dxa"/>
              <w:end w:w="90" w:type="dxa"/>
            </w:tcMar>
            <w:vAlign w:val="top"/>
          </w:tcPr>
          <w:p>
            <w:pPr>
              <w:spacing w:after="0"/>
            </w:pPr>
            <w:r>
              <w:rPr>
                <w:rFonts w:ascii="Liberation Sans" w:hAnsi="Liberation Sans" w:eastAsia="Liberation Sans"/>
                <w:color w:val="1F2937"/>
                <w:sz w:val="16"/>
              </w:rPr>
              <w:t>~3 weeks</w:t>
            </w:r>
          </w:p>
        </w:tc>
        <w:tc>
          <w:tcPr>
            <w:tcW w:type="dxa" w:w="4762"/>
            <w:tcMar>
              <w:top w:w="80" w:type="dxa"/>
              <w:start w:w="90" w:type="dxa"/>
              <w:bottom w:w="80" w:type="dxa"/>
              <w:end w:w="90" w:type="dxa"/>
            </w:tcMar>
            <w:vAlign w:val="top"/>
          </w:tcPr>
          <w:p>
            <w:pPr>
              <w:spacing w:after="0"/>
            </w:pPr>
            <w:r>
              <w:rPr>
                <w:rFonts w:ascii="Liberation Sans" w:hAnsi="Liberation Sans" w:eastAsia="Liberation Sans"/>
                <w:color w:val="1F2937"/>
                <w:sz w:val="16"/>
              </w:rPr>
              <w:t>Business day → shift → meters → declarations → reconciliation → approval/post/report</w:t>
            </w:r>
          </w:p>
        </w:tc>
      </w:tr>
      <w:tr>
        <w:trPr>
          <w:cantSplit/>
        </w:trPr>
        <w:tc>
          <w:tcPr>
            <w:tcW w:type="dxa" w:w="2608"/>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3. Inventory / delivery / costing</w:t>
            </w:r>
          </w:p>
        </w:tc>
        <w:tc>
          <w:tcPr>
            <w:tcW w:type="dxa" w:w="1701"/>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~3 weeks</w:t>
            </w:r>
          </w:p>
        </w:tc>
        <w:tc>
          <w:tcPr>
            <w:tcW w:type="dxa" w:w="4762"/>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Tanks/dips, delivery, inventory movements, WAC/revaluation</w:t>
            </w:r>
          </w:p>
        </w:tc>
      </w:tr>
      <w:tr>
        <w:trPr>
          <w:cantSplit/>
        </w:trPr>
        <w:tc>
          <w:tcPr>
            <w:tcW w:type="dxa" w:w="2608"/>
            <w:tcMar>
              <w:top w:w="80" w:type="dxa"/>
              <w:start w:w="90" w:type="dxa"/>
              <w:bottom w:w="80" w:type="dxa"/>
              <w:end w:w="90" w:type="dxa"/>
            </w:tcMar>
            <w:vAlign w:val="top"/>
          </w:tcPr>
          <w:p>
            <w:pPr>
              <w:spacing w:after="0"/>
            </w:pPr>
            <w:r>
              <w:rPr>
                <w:rFonts w:ascii="Liberation Sans" w:hAnsi="Liberation Sans" w:eastAsia="Liberation Sans"/>
                <w:color w:val="1F2937"/>
                <w:sz w:val="16"/>
              </w:rPr>
              <w:t>4. Money</w:t>
            </w:r>
          </w:p>
        </w:tc>
        <w:tc>
          <w:tcPr>
            <w:tcW w:type="dxa" w:w="1701"/>
            <w:tcMar>
              <w:top w:w="80" w:type="dxa"/>
              <w:start w:w="90" w:type="dxa"/>
              <w:bottom w:w="80" w:type="dxa"/>
              <w:end w:w="90" w:type="dxa"/>
            </w:tcMar>
            <w:vAlign w:val="top"/>
          </w:tcPr>
          <w:p>
            <w:pPr>
              <w:spacing w:after="0"/>
            </w:pPr>
            <w:r>
              <w:rPr>
                <w:rFonts w:ascii="Liberation Sans" w:hAnsi="Liberation Sans" w:eastAsia="Liberation Sans"/>
                <w:color w:val="1F2937"/>
                <w:sz w:val="16"/>
              </w:rPr>
              <w:t>~3 weeks</w:t>
            </w:r>
          </w:p>
        </w:tc>
        <w:tc>
          <w:tcPr>
            <w:tcW w:type="dxa" w:w="4762"/>
            <w:tcMar>
              <w:top w:w="80" w:type="dxa"/>
              <w:start w:w="90" w:type="dxa"/>
              <w:bottom w:w="80" w:type="dxa"/>
              <w:end w:w="90" w:type="dxa"/>
            </w:tcMar>
            <w:vAlign w:val="top"/>
          </w:tcPr>
          <w:p>
            <w:pPr>
              <w:spacing w:after="0"/>
            </w:pPr>
            <w:r>
              <w:rPr>
                <w:rFonts w:ascii="Liberation Sans" w:hAnsi="Liberation Sans" w:eastAsia="Liberation Sans"/>
                <w:color w:val="1F2937"/>
                <w:sz w:val="16"/>
              </w:rPr>
              <w:t>Cash custody, collection/deposit, bank tracking, POS/EcoCash settlement</w:t>
            </w:r>
          </w:p>
        </w:tc>
      </w:tr>
      <w:tr>
        <w:trPr>
          <w:cantSplit/>
        </w:trPr>
        <w:tc>
          <w:tcPr>
            <w:tcW w:type="dxa" w:w="2608"/>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5. Suppliers / customers / expenses</w:t>
            </w:r>
          </w:p>
        </w:tc>
        <w:tc>
          <w:tcPr>
            <w:tcW w:type="dxa" w:w="1701"/>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~3 weeks</w:t>
            </w:r>
          </w:p>
        </w:tc>
        <w:tc>
          <w:tcPr>
            <w:tcW w:type="dxa" w:w="4762"/>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Creditors, customer accounts/prepaid, payments, expenses/fixed costs</w:t>
            </w:r>
          </w:p>
        </w:tc>
      </w:tr>
      <w:tr>
        <w:trPr>
          <w:cantSplit/>
        </w:trPr>
        <w:tc>
          <w:tcPr>
            <w:tcW w:type="dxa" w:w="2608"/>
            <w:tcMar>
              <w:top w:w="80" w:type="dxa"/>
              <w:start w:w="90" w:type="dxa"/>
              <w:bottom w:w="80" w:type="dxa"/>
              <w:end w:w="90" w:type="dxa"/>
            </w:tcMar>
            <w:vAlign w:val="top"/>
          </w:tcPr>
          <w:p>
            <w:pPr>
              <w:spacing w:after="0"/>
            </w:pPr>
            <w:r>
              <w:rPr>
                <w:rFonts w:ascii="Liberation Sans" w:hAnsi="Liberation Sans" w:eastAsia="Liberation Sans"/>
                <w:color w:val="1F2937"/>
                <w:sz w:val="16"/>
              </w:rPr>
              <w:t>6. Profit / reporting</w:t>
            </w:r>
          </w:p>
        </w:tc>
        <w:tc>
          <w:tcPr>
            <w:tcW w:type="dxa" w:w="1701"/>
            <w:tcMar>
              <w:top w:w="80" w:type="dxa"/>
              <w:start w:w="90" w:type="dxa"/>
              <w:bottom w:w="80" w:type="dxa"/>
              <w:end w:w="90" w:type="dxa"/>
            </w:tcMar>
            <w:vAlign w:val="top"/>
          </w:tcPr>
          <w:p>
            <w:pPr>
              <w:spacing w:after="0"/>
            </w:pPr>
            <w:r>
              <w:rPr>
                <w:rFonts w:ascii="Liberation Sans" w:hAnsi="Liberation Sans" w:eastAsia="Liberation Sans"/>
                <w:color w:val="1F2937"/>
                <w:sz w:val="16"/>
              </w:rPr>
              <w:t>~2 weeks</w:t>
            </w:r>
          </w:p>
        </w:tc>
        <w:tc>
          <w:tcPr>
            <w:tcW w:type="dxa" w:w="4762"/>
            <w:tcMar>
              <w:top w:w="80" w:type="dxa"/>
              <w:start w:w="90" w:type="dxa"/>
              <w:bottom w:w="80" w:type="dxa"/>
              <w:end w:w="90" w:type="dxa"/>
            </w:tcMar>
            <w:vAlign w:val="top"/>
          </w:tcPr>
          <w:p>
            <w:pPr>
              <w:spacing w:after="0"/>
            </w:pPr>
            <w:r>
              <w:rPr>
                <w:rFonts w:ascii="Liberation Sans" w:hAnsi="Liberation Sans" w:eastAsia="Liberation Sans"/>
                <w:color w:val="1F2937"/>
                <w:sz w:val="16"/>
              </w:rPr>
              <w:t>Profitability, operational position, curated PDF/XLSX reports</w:t>
            </w:r>
          </w:p>
        </w:tc>
      </w:tr>
      <w:tr>
        <w:trPr>
          <w:cantSplit/>
        </w:trPr>
        <w:tc>
          <w:tcPr>
            <w:tcW w:type="dxa" w:w="2608"/>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7. Hardening</w:t>
            </w:r>
          </w:p>
        </w:tc>
        <w:tc>
          <w:tcPr>
            <w:tcW w:type="dxa" w:w="1701"/>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~2–3 weeks</w:t>
            </w:r>
          </w:p>
        </w:tc>
        <w:tc>
          <w:tcPr>
            <w:tcW w:type="dxa" w:w="4762"/>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Security, performance, accessibility, restore drills, failure/reversal scenarios</w:t>
            </w:r>
          </w:p>
        </w:tc>
      </w:tr>
      <w:tr>
        <w:trPr>
          <w:cantSplit/>
        </w:trPr>
        <w:tc>
          <w:tcPr>
            <w:tcW w:type="dxa" w:w="2608"/>
            <w:tcMar>
              <w:top w:w="80" w:type="dxa"/>
              <w:start w:w="90" w:type="dxa"/>
              <w:bottom w:w="80" w:type="dxa"/>
              <w:end w:w="90" w:type="dxa"/>
            </w:tcMar>
            <w:vAlign w:val="top"/>
          </w:tcPr>
          <w:p>
            <w:pPr>
              <w:spacing w:after="0"/>
            </w:pPr>
            <w:r>
              <w:rPr>
                <w:rFonts w:ascii="Liberation Sans" w:hAnsi="Liberation Sans" w:eastAsia="Liberation Sans"/>
                <w:color w:val="1F2937"/>
                <w:sz w:val="16"/>
              </w:rPr>
              <w:t>8. Pilot</w:t>
            </w:r>
          </w:p>
        </w:tc>
        <w:tc>
          <w:tcPr>
            <w:tcW w:type="dxa" w:w="1701"/>
            <w:tcMar>
              <w:top w:w="80" w:type="dxa"/>
              <w:start w:w="90" w:type="dxa"/>
              <w:bottom w:w="80" w:type="dxa"/>
              <w:end w:w="90" w:type="dxa"/>
            </w:tcMar>
            <w:vAlign w:val="top"/>
          </w:tcPr>
          <w:p>
            <w:pPr>
              <w:spacing w:after="0"/>
            </w:pPr>
            <w:r>
              <w:rPr>
                <w:rFonts w:ascii="Liberation Sans" w:hAnsi="Liberation Sans" w:eastAsia="Liberation Sans"/>
                <w:color w:val="1F2937"/>
                <w:sz w:val="16"/>
              </w:rPr>
              <w:t>~1–2 weeks</w:t>
            </w:r>
          </w:p>
        </w:tc>
        <w:tc>
          <w:tcPr>
            <w:tcW w:type="dxa" w:w="4762"/>
            <w:tcMar>
              <w:top w:w="80" w:type="dxa"/>
              <w:start w:w="90" w:type="dxa"/>
              <w:bottom w:w="80" w:type="dxa"/>
              <w:end w:w="90" w:type="dxa"/>
            </w:tcMar>
            <w:vAlign w:val="top"/>
          </w:tcPr>
          <w:p>
            <w:pPr>
              <w:spacing w:after="0"/>
            </w:pPr>
            <w:r>
              <w:rPr>
                <w:rFonts w:ascii="Liberation Sans" w:hAnsi="Liberation Sans" w:eastAsia="Liberation Sans"/>
                <w:color w:val="1F2937"/>
                <w:sz w:val="16"/>
              </w:rPr>
              <w:t>One real station shadow operation, discrepancy resolution and sign-off</w:t>
            </w:r>
          </w:p>
        </w:tc>
      </w:tr>
    </w:tbl>
    <w:p>
      <w:pPr>
        <w:spacing w:after="40"/>
      </w:pPr>
    </w:p>
    <w:p>
      <w:pPr>
        <w:spacing w:after="100" w:line="259" w:lineRule="auto"/>
      </w:pPr>
      <w:r>
        <w:rPr>
          <w:rFonts w:ascii="Liberation Sans" w:hAnsi="Liberation Sans" w:eastAsia="Liberation Sans"/>
          <w:color w:val="1F2937"/>
          <w:sz w:val="18"/>
        </w:rPr>
        <w:t>Planning estimate: roughly 18–22 weeks / 700–950 development hours for a strong full-time single developer; part-time/junior delivery will take longer. These are planning ranges, not contractual promises.</w:t>
      </w:r>
    </w:p>
    <w:p>
      <w:pPr>
        <w:pStyle w:val="Heading2"/>
        <w:keepNext/>
        <w:spacing w:before="120" w:after="80"/>
      </w:pPr>
      <w:r>
        <w:rPr>
          <w:rFonts w:ascii="Liberation Sans" w:hAnsi="Liberation Sans" w:eastAsia="Liberation Sans"/>
          <w:b/>
          <w:color w:val="17324D"/>
          <w:sz w:val="27"/>
        </w:rPr>
        <w:t>17.2 First Six-Week Objective</w:t>
      </w:r>
    </w:p>
    <w:tbl>
      <w:tblPr>
        <w:tblW w:type="auto" w:w="0"/>
        <w:jc w:val="center"/>
        <w:tblLayout w:type="autofit"/>
        <w:tblLook w:firstColumn="1" w:firstRow="1" w:lastColumn="0" w:lastRow="0" w:noHBand="0" w:noVBand="1" w:val="04A0"/>
      </w:tblPr>
      <w:tblGrid>
        <w:gridCol w:w="10036"/>
      </w:tblGrid>
      <w:tr>
        <w:tc>
          <w:tcPr>
            <w:tcW w:type="dxa" w:w="10036"/>
            <w:shd w:fill="EAF5F3"/>
            <w:tcMar>
              <w:top w:w="110" w:type="dxa"/>
              <w:start w:w="150" w:type="dxa"/>
              <w:bottom w:w="110" w:type="dxa"/>
              <w:end w:w="150" w:type="dxa"/>
            </w:tcMar>
          </w:tcPr>
          <w:p>
            <w:pPr>
              <w:spacing w:after="40"/>
            </w:pPr>
            <w:r>
              <w:rPr>
                <w:rFonts w:ascii="Liberation Sans" w:hAnsi="Liberation Sans" w:eastAsia="Liberation Sans"/>
                <w:b/>
                <w:color w:val="0F766E"/>
                <w:sz w:val="19"/>
              </w:rPr>
              <w:t>MILESTONE</w:t>
            </w:r>
          </w:p>
          <w:p>
            <w:pPr>
              <w:spacing w:after="0"/>
            </w:pPr>
            <w:r>
              <w:rPr>
                <w:rFonts w:ascii="Liberation Sans" w:hAnsi="Liberation Sans" w:eastAsia="Liberation Sans"/>
                <w:color w:val="1F2937"/>
                <w:sz w:val="18"/>
              </w:rPr>
              <w:t>One real station can complete a full shift, capture meters/declarations, reconcile the day, submit/approve/post it, and produce traceable operational reporting with tenant isolation and audit intact.</w:t>
            </w:r>
          </w:p>
        </w:tc>
      </w:tr>
    </w:tbl>
    <w:p>
      <w:pPr>
        <w:spacing w:after="20"/>
      </w:pPr>
    </w:p>
    <w:p>
      <w:pPr>
        <w:pStyle w:val="Heading2"/>
        <w:keepNext/>
        <w:spacing w:before="120" w:after="80"/>
      </w:pPr>
      <w:r>
        <w:rPr>
          <w:rFonts w:ascii="Liberation Sans" w:hAnsi="Liberation Sans" w:eastAsia="Liberation Sans"/>
          <w:b/>
          <w:color w:val="17324D"/>
          <w:sz w:val="27"/>
        </w:rPr>
        <w:t>17.3 Build Order by Dependency</w:t>
      </w:r>
    </w:p>
    <w:p>
      <w:pPr>
        <w:pStyle w:val="ListNumber"/>
        <w:spacing w:after="40" w:line="247" w:lineRule="auto"/>
      </w:pPr>
      <w:r>
        <w:rPr>
          <w:rFonts w:ascii="Liberation Sans" w:hAnsi="Liberation Sans" w:eastAsia="Liberation Sans"/>
          <w:color w:val="1F2937"/>
          <w:sz w:val="18"/>
        </w:rPr>
        <w:t>Foundation tenancy/auth/RLS/roles/stations/configuration/documents/audit/idempotency/outbox.</w:t>
      </w:r>
    </w:p>
    <w:p>
      <w:pPr>
        <w:pStyle w:val="ListNumber"/>
        <w:spacing w:after="40" w:line="247" w:lineRule="auto"/>
      </w:pPr>
      <w:r>
        <w:rPr>
          <w:rFonts w:ascii="Liberation Sans" w:hAnsi="Liberation Sans" w:eastAsia="Liberation Sans"/>
          <w:color w:val="1F2937"/>
          <w:sz w:val="18"/>
        </w:rPr>
        <w:t>Station business day, shifts, meter installation/boundaries/segments, pricing and declarations.</w:t>
      </w:r>
    </w:p>
    <w:p>
      <w:pPr>
        <w:pStyle w:val="ListNumber"/>
        <w:spacing w:after="40" w:line="247" w:lineRule="auto"/>
      </w:pPr>
      <w:r>
        <w:rPr>
          <w:rFonts w:ascii="Liberation Sans" w:hAnsi="Liberation Sans" w:eastAsia="Liberation Sans"/>
          <w:color w:val="1F2937"/>
          <w:sz w:val="18"/>
        </w:rPr>
        <w:t>Reconciliation revision/approval/sale recognition and basic daily report.</w:t>
      </w:r>
    </w:p>
    <w:p>
      <w:pPr>
        <w:pStyle w:val="ListNumber"/>
        <w:spacing w:after="40" w:line="247" w:lineRule="auto"/>
      </w:pPr>
      <w:r>
        <w:rPr>
          <w:rFonts w:ascii="Liberation Sans" w:hAnsi="Liberation Sans" w:eastAsia="Liberation Sans"/>
          <w:color w:val="1F2937"/>
          <w:sz w:val="18"/>
        </w:rPr>
        <w:t>Cash custody, handovers, collections, deposits and bank confirmation.</w:t>
      </w:r>
    </w:p>
    <w:p>
      <w:pPr>
        <w:pStyle w:val="ListNumber"/>
        <w:spacing w:after="40" w:line="247" w:lineRule="auto"/>
      </w:pPr>
      <w:r>
        <w:rPr>
          <w:rFonts w:ascii="Liberation Sans" w:hAnsi="Liberation Sans" w:eastAsia="Liberation Sans"/>
          <w:color w:val="1F2937"/>
          <w:sz w:val="18"/>
        </w:rPr>
        <w:t>Tanks/dips, deliveries, inventory movement/WAC/revaluation.</w:t>
      </w:r>
    </w:p>
    <w:p>
      <w:pPr>
        <w:pStyle w:val="ListNumber"/>
        <w:spacing w:after="40" w:line="247" w:lineRule="auto"/>
      </w:pPr>
      <w:r>
        <w:rPr>
          <w:rFonts w:ascii="Liberation Sans" w:hAnsi="Liberation Sans" w:eastAsia="Liberation Sans"/>
          <w:color w:val="1F2937"/>
          <w:sz w:val="18"/>
        </w:rPr>
        <w:t>Supplier invoices/payments/credit exposure.</w:t>
      </w:r>
    </w:p>
    <w:p>
      <w:pPr>
        <w:pStyle w:val="ListNumber"/>
        <w:spacing w:after="40" w:line="247" w:lineRule="auto"/>
      </w:pPr>
      <w:r>
        <w:rPr>
          <w:rFonts w:ascii="Liberation Sans" w:hAnsi="Liberation Sans" w:eastAsia="Liberation Sans"/>
          <w:color w:val="1F2937"/>
          <w:sz w:val="18"/>
        </w:rPr>
        <w:t>Customer authorization/credit/prepaid/payments.</w:t>
      </w:r>
    </w:p>
    <w:p>
      <w:pPr>
        <w:pStyle w:val="ListNumber"/>
        <w:spacing w:after="40" w:line="247" w:lineRule="auto"/>
      </w:pPr>
      <w:r>
        <w:rPr>
          <w:rFonts w:ascii="Liberation Sans" w:hAnsi="Liberation Sans" w:eastAsia="Liberation Sans"/>
          <w:color w:val="1F2937"/>
          <w:sz w:val="18"/>
        </w:rPr>
        <w:t>Expenses/recurring costs and profitability.</w:t>
      </w:r>
    </w:p>
    <w:p>
      <w:pPr>
        <w:pStyle w:val="ListNumber"/>
        <w:spacing w:after="40" w:line="247" w:lineRule="auto"/>
      </w:pPr>
      <w:r>
        <w:rPr>
          <w:rFonts w:ascii="Liberation Sans" w:hAnsi="Liberation Sans" w:eastAsia="Liberation Sans"/>
          <w:color w:val="1F2937"/>
          <w:sz w:val="18"/>
        </w:rPr>
        <w:t>Full report catalogue, exports, alerts, hardening and pilot readiness.</w:t>
      </w:r>
    </w:p>
    <w:p>
      <w:pPr>
        <w:pStyle w:val="Heading1"/>
        <w:keepNext/>
        <w:spacing w:before="180" w:after="80"/>
      </w:pPr>
      <w:r>
        <w:rPr>
          <w:rFonts w:ascii="Liberation Sans" w:hAnsi="Liberation Sans" w:eastAsia="Liberation Sans"/>
          <w:b/>
          <w:color w:val="17324D"/>
          <w:sz w:val="36"/>
        </w:rPr>
        <w:t>18. Pilot, Rollout &amp; Production Readiness</w:t>
      </w:r>
    </w:p>
    <w:p>
      <w:pPr>
        <w:pStyle w:val="Heading2"/>
        <w:keepNext/>
        <w:spacing w:before="120" w:after="80"/>
      </w:pPr>
      <w:r>
        <w:rPr>
          <w:rFonts w:ascii="Liberation Sans" w:hAnsi="Liberation Sans" w:eastAsia="Liberation Sans"/>
          <w:b/>
          <w:color w:val="17324D"/>
          <w:sz w:val="27"/>
        </w:rPr>
        <w:t>18.1 Pilot Preparation</w:t>
      </w:r>
    </w:p>
    <w:p>
      <w:pPr>
        <w:pStyle w:val="ListBullet"/>
        <w:spacing w:after="30" w:line="247" w:lineRule="auto"/>
        <w:ind w:left="255" w:hanging="113"/>
      </w:pPr>
      <w:r>
        <w:rPr>
          <w:rFonts w:ascii="Liberation Sans" w:hAnsi="Liberation Sans" w:eastAsia="Liberation Sans"/>
          <w:color w:val="1F2937"/>
          <w:sz w:val="18"/>
        </w:rPr>
        <w:t>Select one representative TEI operating location; exact site can be chosen while development is underway.</w:t>
      </w:r>
    </w:p>
    <w:p>
      <w:pPr>
        <w:pStyle w:val="ListBullet"/>
        <w:spacing w:after="30" w:line="247" w:lineRule="auto"/>
        <w:ind w:left="255" w:hanging="113"/>
      </w:pPr>
      <w:r>
        <w:rPr>
          <w:rFonts w:ascii="Liberation Sans" w:hAnsi="Liberation Sans" w:eastAsia="Liberation Sans"/>
          <w:color w:val="1F2937"/>
          <w:sz w:val="18"/>
        </w:rPr>
        <w:t>Populate real station master data: users, products, pumps/nozzles/meters, tanks/calibration, payment channels, prices, bank/cash policy.</w:t>
      </w:r>
    </w:p>
    <w:p>
      <w:pPr>
        <w:pStyle w:val="ListBullet"/>
        <w:spacing w:after="30" w:line="247" w:lineRule="auto"/>
        <w:ind w:left="255" w:hanging="113"/>
      </w:pPr>
      <w:r>
        <w:rPr>
          <w:rFonts w:ascii="Liberation Sans" w:hAnsi="Liberation Sans" w:eastAsia="Liberation Sans"/>
          <w:color w:val="1F2937"/>
          <w:sz w:val="18"/>
        </w:rPr>
        <w:t>Prepare and approve opening positions.</w:t>
      </w:r>
    </w:p>
    <w:p>
      <w:pPr>
        <w:pStyle w:val="ListBullet"/>
        <w:spacing w:after="30" w:line="247" w:lineRule="auto"/>
        <w:ind w:left="255" w:hanging="113"/>
      </w:pPr>
      <w:r>
        <w:rPr>
          <w:rFonts w:ascii="Liberation Sans" w:hAnsi="Liberation Sans" w:eastAsia="Liberation Sans"/>
          <w:color w:val="1F2937"/>
          <w:sz w:val="18"/>
        </w:rPr>
        <w:t>Train role-specific users in staging using realistic synthetic/pilot data.</w:t>
      </w:r>
    </w:p>
    <w:p>
      <w:pPr>
        <w:pStyle w:val="ListBullet"/>
        <w:spacing w:after="30" w:line="247" w:lineRule="auto"/>
        <w:ind w:left="255" w:hanging="113"/>
      </w:pPr>
      <w:r>
        <w:rPr>
          <w:rFonts w:ascii="Liberation Sans" w:hAnsi="Liberation Sans" w:eastAsia="Liberation Sans"/>
          <w:color w:val="1F2937"/>
          <w:sz w:val="18"/>
        </w:rPr>
        <w:t>Run Shanda Fuel alongside the existing process for approximately 7–14 operating days.</w:t>
      </w:r>
    </w:p>
    <w:p>
      <w:pPr>
        <w:pStyle w:val="Heading2"/>
        <w:keepNext/>
        <w:spacing w:before="120" w:after="80"/>
      </w:pPr>
      <w:r>
        <w:rPr>
          <w:rFonts w:ascii="Liberation Sans" w:hAnsi="Liberation Sans" w:eastAsia="Liberation Sans"/>
          <w:b/>
          <w:color w:val="17324D"/>
          <w:sz w:val="27"/>
        </w:rPr>
        <w:t>18.2 Daily Pilot Discrepancy Classification</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324"/>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Class</w:t>
            </w:r>
          </w:p>
        </w:tc>
        <w:tc>
          <w:tcPr>
            <w:tcW w:type="dxa" w:w="6746"/>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Meaning</w:t>
            </w:r>
          </w:p>
        </w:tc>
      </w:tr>
      <w:tr>
        <w:trPr>
          <w:cantSplit/>
        </w:trPr>
        <w:tc>
          <w:tcPr>
            <w:tcW w:type="dxa" w:w="2324"/>
            <w:tcMar>
              <w:top w:w="80" w:type="dxa"/>
              <w:start w:w="90" w:type="dxa"/>
              <w:bottom w:w="80" w:type="dxa"/>
              <w:end w:w="90" w:type="dxa"/>
            </w:tcMar>
            <w:vAlign w:val="top"/>
          </w:tcPr>
          <w:p>
            <w:pPr>
              <w:spacing w:after="0"/>
            </w:pPr>
            <w:r>
              <w:rPr>
                <w:rFonts w:ascii="Liberation Sans" w:hAnsi="Liberation Sans" w:eastAsia="Liberation Sans"/>
                <w:color w:val="1F2937"/>
                <w:sz w:val="16"/>
              </w:rPr>
              <w:t>Software defect</w:t>
            </w:r>
          </w:p>
        </w:tc>
        <w:tc>
          <w:tcPr>
            <w:tcW w:type="dxa" w:w="6746"/>
            <w:tcMar>
              <w:top w:w="80" w:type="dxa"/>
              <w:start w:w="90" w:type="dxa"/>
              <w:bottom w:w="80" w:type="dxa"/>
              <w:end w:w="90" w:type="dxa"/>
            </w:tcMar>
            <w:vAlign w:val="top"/>
          </w:tcPr>
          <w:p>
            <w:pPr>
              <w:spacing w:after="0"/>
            </w:pPr>
            <w:r>
              <w:rPr>
                <w:rFonts w:ascii="Liberation Sans" w:hAnsi="Liberation Sans" w:eastAsia="Liberation Sans"/>
                <w:color w:val="1F2937"/>
                <w:sz w:val="16"/>
              </w:rPr>
              <w:t>Shanda calculated/behaved incorrectly</w:t>
            </w:r>
          </w:p>
        </w:tc>
      </w:tr>
      <w:tr>
        <w:trPr>
          <w:cantSplit/>
        </w:trPr>
        <w:tc>
          <w:tcPr>
            <w:tcW w:type="dxa" w:w="2324"/>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Old-process problem</w:t>
            </w:r>
          </w:p>
        </w:tc>
        <w:tc>
          <w:tcPr>
            <w:tcW w:type="dxa" w:w="6746"/>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Paper/Excel process itself produced inconsistent or unsupported result</w:t>
            </w:r>
          </w:p>
        </w:tc>
      </w:tr>
      <w:tr>
        <w:trPr>
          <w:cantSplit/>
        </w:trPr>
        <w:tc>
          <w:tcPr>
            <w:tcW w:type="dxa" w:w="2324"/>
            <w:tcMar>
              <w:top w:w="80" w:type="dxa"/>
              <w:start w:w="90" w:type="dxa"/>
              <w:bottom w:w="80" w:type="dxa"/>
              <w:end w:w="90" w:type="dxa"/>
            </w:tcMar>
            <w:vAlign w:val="top"/>
          </w:tcPr>
          <w:p>
            <w:pPr>
              <w:spacing w:after="0"/>
            </w:pPr>
            <w:r>
              <w:rPr>
                <w:rFonts w:ascii="Liberation Sans" w:hAnsi="Liberation Sans" w:eastAsia="Liberation Sans"/>
                <w:color w:val="1F2937"/>
                <w:sz w:val="16"/>
              </w:rPr>
              <w:t>Source-data issue</w:t>
            </w:r>
          </w:p>
        </w:tc>
        <w:tc>
          <w:tcPr>
            <w:tcW w:type="dxa" w:w="6746"/>
            <w:tcMar>
              <w:top w:w="80" w:type="dxa"/>
              <w:start w:w="90" w:type="dxa"/>
              <w:bottom w:w="80" w:type="dxa"/>
              <w:end w:w="90" w:type="dxa"/>
            </w:tcMar>
            <w:vAlign w:val="top"/>
          </w:tcPr>
          <w:p>
            <w:pPr>
              <w:spacing w:after="0"/>
            </w:pPr>
            <w:r>
              <w:rPr>
                <w:rFonts w:ascii="Liberation Sans" w:hAnsi="Liberation Sans" w:eastAsia="Liberation Sans"/>
                <w:color w:val="1F2937"/>
                <w:sz w:val="16"/>
              </w:rPr>
              <w:t>Wrong/late/missing master or operational data</w:t>
            </w:r>
          </w:p>
        </w:tc>
      </w:tr>
      <w:tr>
        <w:trPr>
          <w:cantSplit/>
        </w:trPr>
        <w:tc>
          <w:tcPr>
            <w:tcW w:type="dxa" w:w="2324"/>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Formula/policy clarification</w:t>
            </w:r>
          </w:p>
        </w:tc>
        <w:tc>
          <w:tcPr>
            <w:tcW w:type="dxa" w:w="6746"/>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Business rule needs explicit client/accountant decision</w:t>
            </w:r>
          </w:p>
        </w:tc>
      </w:tr>
      <w:tr>
        <w:trPr>
          <w:cantSplit/>
        </w:trPr>
        <w:tc>
          <w:tcPr>
            <w:tcW w:type="dxa" w:w="2324"/>
            <w:tcMar>
              <w:top w:w="80" w:type="dxa"/>
              <w:start w:w="90" w:type="dxa"/>
              <w:bottom w:w="80" w:type="dxa"/>
              <w:end w:w="90" w:type="dxa"/>
            </w:tcMar>
            <w:vAlign w:val="top"/>
          </w:tcPr>
          <w:p>
            <w:pPr>
              <w:spacing w:after="0"/>
            </w:pPr>
            <w:r>
              <w:rPr>
                <w:rFonts w:ascii="Liberation Sans" w:hAnsi="Liberation Sans" w:eastAsia="Liberation Sans"/>
                <w:color w:val="1F2937"/>
                <w:sz w:val="16"/>
              </w:rPr>
              <w:t>Training/usability</w:t>
            </w:r>
          </w:p>
        </w:tc>
        <w:tc>
          <w:tcPr>
            <w:tcW w:type="dxa" w:w="6746"/>
            <w:tcMar>
              <w:top w:w="80" w:type="dxa"/>
              <w:start w:w="90" w:type="dxa"/>
              <w:bottom w:w="80" w:type="dxa"/>
              <w:end w:w="90" w:type="dxa"/>
            </w:tcMar>
            <w:vAlign w:val="top"/>
          </w:tcPr>
          <w:p>
            <w:pPr>
              <w:spacing w:after="0"/>
            </w:pPr>
            <w:r>
              <w:rPr>
                <w:rFonts w:ascii="Liberation Sans" w:hAnsi="Liberation Sans" w:eastAsia="Liberation Sans"/>
                <w:color w:val="1F2937"/>
                <w:sz w:val="16"/>
              </w:rPr>
              <w:t>System is correct but user interaction is confusing/slow</w:t>
            </w:r>
          </w:p>
        </w:tc>
      </w:tr>
    </w:tbl>
    <w:p>
      <w:pPr>
        <w:spacing w:after="40"/>
      </w:pPr>
    </w:p>
    <w:p>
      <w:pPr>
        <w:pStyle w:val="Heading2"/>
        <w:keepNext/>
        <w:spacing w:before="120" w:after="80"/>
      </w:pPr>
      <w:r>
        <w:rPr>
          <w:rFonts w:ascii="Liberation Sans" w:hAnsi="Liberation Sans" w:eastAsia="Liberation Sans"/>
          <w:b/>
          <w:color w:val="17324D"/>
          <w:sz w:val="27"/>
        </w:rPr>
        <w:t>18.3 Pilot Exit Gates</w:t>
      </w:r>
    </w:p>
    <w:p>
      <w:pPr>
        <w:pStyle w:val="ListBullet"/>
        <w:spacing w:after="30" w:line="247" w:lineRule="auto"/>
        <w:ind w:left="255" w:hanging="113"/>
      </w:pPr>
      <w:r>
        <w:rPr>
          <w:rFonts w:ascii="Liberation Sans" w:hAnsi="Liberation Sans" w:eastAsia="Liberation Sans"/>
          <w:color w:val="1F2937"/>
          <w:sz w:val="18"/>
        </w:rPr>
        <w:t>Approximately seven clean operating days with no critical unresolved issue.</w:t>
      </w:r>
    </w:p>
    <w:p>
      <w:pPr>
        <w:pStyle w:val="ListBullet"/>
        <w:spacing w:after="30" w:line="247" w:lineRule="auto"/>
        <w:ind w:left="255" w:hanging="113"/>
      </w:pPr>
      <w:r>
        <w:rPr>
          <w:rFonts w:ascii="Liberation Sans" w:hAnsi="Liberation Sans" w:eastAsia="Liberation Sans"/>
          <w:color w:val="1F2937"/>
          <w:sz w:val="18"/>
        </w:rPr>
        <w:t>Meter/reconciliation, cash, delivery/stock and profitability formulas signed off by appropriate business owners.</w:t>
      </w:r>
    </w:p>
    <w:p>
      <w:pPr>
        <w:pStyle w:val="ListBullet"/>
        <w:spacing w:after="30" w:line="247" w:lineRule="auto"/>
        <w:ind w:left="255" w:hanging="113"/>
      </w:pPr>
      <w:r>
        <w:rPr>
          <w:rFonts w:ascii="Liberation Sans" w:hAnsi="Liberation Sans" w:eastAsia="Liberation Sans"/>
          <w:color w:val="1F2937"/>
          <w:sz w:val="18"/>
        </w:rPr>
        <w:t>Users can perform their normal role without developer intervention.</w:t>
      </w:r>
    </w:p>
    <w:p>
      <w:pPr>
        <w:pStyle w:val="ListBullet"/>
        <w:spacing w:after="30" w:line="247" w:lineRule="auto"/>
        <w:ind w:left="255" w:hanging="113"/>
      </w:pPr>
      <w:r>
        <w:rPr>
          <w:rFonts w:ascii="Liberation Sans" w:hAnsi="Liberation Sans" w:eastAsia="Liberation Sans"/>
          <w:color w:val="1F2937"/>
          <w:sz w:val="18"/>
        </w:rPr>
        <w:t>Backup/restore drill completed; key security controls verified.</w:t>
      </w:r>
    </w:p>
    <w:p>
      <w:pPr>
        <w:pStyle w:val="ListBullet"/>
        <w:spacing w:after="30" w:line="247" w:lineRule="auto"/>
        <w:ind w:left="255" w:hanging="113"/>
      </w:pPr>
      <w:r>
        <w:rPr>
          <w:rFonts w:ascii="Liberation Sans" w:hAnsi="Liberation Sans" w:eastAsia="Liberation Sans"/>
          <w:color w:val="1F2937"/>
          <w:sz w:val="18"/>
        </w:rPr>
        <w:t>Opening positions and major customer/supplier balances reconcile.</w:t>
      </w:r>
    </w:p>
    <w:p>
      <w:pPr>
        <w:pStyle w:val="Heading2"/>
        <w:keepNext/>
        <w:spacing w:before="120" w:after="80"/>
      </w:pPr>
      <w:r>
        <w:rPr>
          <w:rFonts w:ascii="Liberation Sans" w:hAnsi="Liberation Sans" w:eastAsia="Liberation Sans"/>
          <w:b/>
          <w:color w:val="17324D"/>
          <w:sz w:val="27"/>
        </w:rPr>
        <w:t>18.4 Rollout Sequence</w:t>
      </w:r>
    </w:p>
    <w:tbl>
      <w:tblPr>
        <w:tblW w:type="auto" w:w="0"/>
        <w:jc w:val="center"/>
        <w:tblLook w:firstColumn="1" w:firstRow="1" w:lastColumn="0" w:lastRow="0" w:noHBand="0" w:noVBand="1" w:val="04A0"/>
      </w:tblPr>
      <w:tblGrid>
        <w:gridCol w:w="10036"/>
      </w:tblGrid>
      <w:tr>
        <w:tc>
          <w:tcPr>
            <w:tcW w:type="dxa" w:w="10036"/>
            <w:shd w:fill="F2F4F7"/>
            <w:tcMar>
              <w:top w:w="90" w:type="dxa"/>
              <w:start w:w="130" w:type="dxa"/>
              <w:bottom w:w="90" w:type="dxa"/>
              <w:end w:w="130" w:type="dxa"/>
            </w:tcMar>
          </w:tcPr>
          <w:p>
            <w:pPr>
              <w:spacing w:after="0"/>
            </w:pPr>
            <w:r>
              <w:rPr>
                <w:rFonts w:ascii="Liberation Mono" w:hAnsi="Liberation Mono" w:eastAsia="Liberation Mono"/>
                <w:color w:val="1F2937"/>
                <w:sz w:val="15"/>
              </w:rPr>
              <w:t>Staging / UAT</w:t>
            </w:r>
            <w:r>
              <w:br/>
            </w:r>
            <w:r>
              <w:rPr>
                <w:rFonts w:ascii="Liberation Mono" w:hAnsi="Liberation Mono" w:eastAsia="Liberation Mono"/>
                <w:color w:val="1F2937"/>
                <w:sz w:val="15"/>
              </w:rPr>
              <w:t xml:space="preserve">  → 1 TEI pilot location</w:t>
            </w:r>
            <w:r>
              <w:br/>
            </w:r>
            <w:r>
              <w:rPr>
                <w:rFonts w:ascii="Liberation Mono" w:hAnsi="Liberation Mono" w:eastAsia="Liberation Mono"/>
                <w:color w:val="1F2937"/>
                <w:sz w:val="15"/>
              </w:rPr>
              <w:t xml:space="preserve">     → 2–3 TEI locations</w:t>
            </w:r>
            <w:r>
              <w:br/>
            </w:r>
            <w:r>
              <w:rPr>
                <w:rFonts w:ascii="Liberation Mono" w:hAnsi="Liberation Mono" w:eastAsia="Liberation Mono"/>
                <w:color w:val="1F2937"/>
                <w:sz w:val="15"/>
              </w:rPr>
              <w:t xml:space="preserve">        → all TEI locations</w:t>
            </w:r>
            <w:r>
              <w:br/>
            </w:r>
            <w:r>
              <w:rPr>
                <w:rFonts w:ascii="Liberation Mono" w:hAnsi="Liberation Mono" w:eastAsia="Liberation Mono"/>
                <w:color w:val="1F2937"/>
                <w:sz w:val="15"/>
              </w:rPr>
              <w:t xml:space="preserve">           → stabilization</w:t>
            </w:r>
            <w:r>
              <w:br/>
            </w:r>
            <w:r>
              <w:rPr>
                <w:rFonts w:ascii="Liberation Mono" w:hAnsi="Liberation Mono" w:eastAsia="Liberation Mono"/>
                <w:color w:val="1F2937"/>
                <w:sz w:val="15"/>
              </w:rPr>
              <w:t xml:space="preserve">              → second independent tenant</w:t>
            </w:r>
            <w:r>
              <w:br/>
            </w:r>
            <w:r>
              <w:rPr>
                <w:rFonts w:ascii="Liberation Mono" w:hAnsi="Liberation Mono" w:eastAsia="Liberation Mono"/>
                <w:color w:val="1F2937"/>
                <w:sz w:val="15"/>
              </w:rPr>
              <w:t xml:space="preserve">                 → broader commercial rollout</w:t>
            </w:r>
          </w:p>
        </w:tc>
      </w:tr>
    </w:tbl>
    <w:p>
      <w:pPr>
        <w:spacing w:after="20"/>
      </w:pPr>
    </w:p>
    <w:p>
      <w:pPr>
        <w:spacing w:after="100" w:line="259" w:lineRule="auto"/>
      </w:pPr>
      <w:r>
        <w:rPr>
          <w:rFonts w:ascii="Liberation Sans" w:hAnsi="Liberation Sans" w:eastAsia="Liberation Sans"/>
          <w:color w:val="1F2937"/>
          <w:sz w:val="18"/>
        </w:rPr>
        <w:t>Do not treat a single-company deployment as proof of commercial SaaS readiness. Customer #2 should be onboarded without manual database edits, and an independent penetration test should precede broad commercial rollout.</w:t>
      </w:r>
    </w:p>
    <w:p>
      <w:pPr>
        <w:pStyle w:val="Heading1"/>
        <w:keepNext/>
        <w:spacing w:before="180" w:after="80"/>
      </w:pPr>
      <w:r>
        <w:rPr>
          <w:rFonts w:ascii="Liberation Sans" w:hAnsi="Liberation Sans" w:eastAsia="Liberation Sans"/>
          <w:b/>
          <w:color w:val="17324D"/>
          <w:sz w:val="36"/>
        </w:rPr>
        <w:t>19. Hosting, Operations, Backup &amp; Recovery</w:t>
      </w:r>
    </w:p>
    <w:p>
      <w:pPr>
        <w:pStyle w:val="Heading2"/>
        <w:keepNext/>
        <w:spacing w:before="120" w:after="80"/>
      </w:pPr>
      <w:r>
        <w:rPr>
          <w:rFonts w:ascii="Liberation Sans" w:hAnsi="Liberation Sans" w:eastAsia="Liberation Sans"/>
          <w:b/>
          <w:color w:val="17324D"/>
          <w:sz w:val="27"/>
        </w:rPr>
        <w:t>19.1 Environment Separation</w:t>
      </w:r>
    </w:p>
    <w:p>
      <w:pPr>
        <w:jc w:val="center"/>
      </w:pPr>
      <w:r>
        <w:drawing>
          <wp:inline xmlns:a="http://schemas.openxmlformats.org/drawingml/2006/main" xmlns:pic="http://schemas.openxmlformats.org/drawingml/2006/picture">
            <wp:extent cx="5669280" cy="3335261"/>
            <wp:docPr id="8" name="Picture 8" descr="Deployment diagram with Vercel edge, Next.js Node runtime, Neon PostgreSQL, Cloudflare R2 and email/future adapters." title="Figure 8. Production deployment and infrastructure boundary."/>
            <wp:cNvGraphicFramePr>
              <a:graphicFrameLocks noChangeAspect="1"/>
            </wp:cNvGraphicFramePr>
            <a:graphic>
              <a:graphicData uri="http://schemas.openxmlformats.org/drawingml/2006/picture">
                <pic:pic>
                  <pic:nvPicPr>
                    <pic:cNvPr id="0" name="08_deployment.png"/>
                    <pic:cNvPicPr/>
                  </pic:nvPicPr>
                  <pic:blipFill>
                    <a:blip r:embed="rId18"/>
                    <a:stretch>
                      <a:fillRect/>
                    </a:stretch>
                  </pic:blipFill>
                  <pic:spPr>
                    <a:xfrm>
                      <a:off x="0" y="0"/>
                      <a:ext cx="5669280" cy="3335261"/>
                    </a:xfrm>
                    <a:prstGeom prst="rect"/>
                  </pic:spPr>
                </pic:pic>
              </a:graphicData>
            </a:graphic>
          </wp:inline>
        </w:drawing>
      </w:r>
    </w:p>
    <w:p>
      <w:pPr>
        <w:pStyle w:val="Caption"/>
        <w:jc w:val="center"/>
      </w:pPr>
      <w:r>
        <w:rPr>
          <w:i/>
          <w:color w:val="667085"/>
          <w:sz w:val="18"/>
        </w:rPr>
        <w:t>Figure 8. Production deployment and infrastructure boundary.</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1701"/>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Environment</w:t>
            </w:r>
          </w:p>
        </w:tc>
        <w:tc>
          <w:tcPr>
            <w:tcW w:type="dxa" w:w="7370"/>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Rule</w:t>
            </w:r>
          </w:p>
        </w:tc>
      </w:tr>
      <w:tr>
        <w:trPr>
          <w:cantSplit/>
        </w:trPr>
        <w:tc>
          <w:tcPr>
            <w:tcW w:type="dxa" w:w="1701"/>
            <w:tcMar>
              <w:top w:w="80" w:type="dxa"/>
              <w:start w:w="90" w:type="dxa"/>
              <w:bottom w:w="80" w:type="dxa"/>
              <w:end w:w="90" w:type="dxa"/>
            </w:tcMar>
            <w:vAlign w:val="top"/>
          </w:tcPr>
          <w:p>
            <w:pPr>
              <w:spacing w:after="0"/>
            </w:pPr>
            <w:r>
              <w:rPr>
                <w:rFonts w:ascii="Liberation Sans" w:hAnsi="Liberation Sans" w:eastAsia="Liberation Sans"/>
                <w:color w:val="1F2937"/>
                <w:sz w:val="16"/>
              </w:rPr>
              <w:t>Local</w:t>
            </w:r>
          </w:p>
        </w:tc>
        <w:tc>
          <w:tcPr>
            <w:tcW w:type="dxa" w:w="7370"/>
            <w:tcMar>
              <w:top w:w="80" w:type="dxa"/>
              <w:start w:w="90" w:type="dxa"/>
              <w:bottom w:w="80" w:type="dxa"/>
              <w:end w:w="90" w:type="dxa"/>
            </w:tcMar>
            <w:vAlign w:val="top"/>
          </w:tcPr>
          <w:p>
            <w:pPr>
              <w:spacing w:after="0"/>
            </w:pPr>
            <w:r>
              <w:rPr>
                <w:rFonts w:ascii="Liberation Sans" w:hAnsi="Liberation Sans" w:eastAsia="Liberation Sans"/>
                <w:color w:val="1F2937"/>
                <w:sz w:val="16"/>
              </w:rPr>
              <w:t>Developer data only; no production credentials</w:t>
            </w:r>
          </w:p>
        </w:tc>
      </w:tr>
      <w:tr>
        <w:trPr>
          <w:cantSplit/>
        </w:trPr>
        <w:tc>
          <w:tcPr>
            <w:tcW w:type="dxa" w:w="1701"/>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Staging</w:t>
            </w:r>
          </w:p>
        </w:tc>
        <w:tc>
          <w:tcPr>
            <w:tcW w:type="dxa" w:w="7370"/>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Separate Neon/R2/auth secrets with synthetic/anonymized data</w:t>
            </w:r>
          </w:p>
        </w:tc>
      </w:tr>
      <w:tr>
        <w:trPr>
          <w:cantSplit/>
        </w:trPr>
        <w:tc>
          <w:tcPr>
            <w:tcW w:type="dxa" w:w="1701"/>
            <w:tcMar>
              <w:top w:w="80" w:type="dxa"/>
              <w:start w:w="90" w:type="dxa"/>
              <w:bottom w:w="80" w:type="dxa"/>
              <w:end w:w="90" w:type="dxa"/>
            </w:tcMar>
            <w:vAlign w:val="top"/>
          </w:tcPr>
          <w:p>
            <w:pPr>
              <w:spacing w:after="0"/>
            </w:pPr>
            <w:r>
              <w:rPr>
                <w:rFonts w:ascii="Liberation Sans" w:hAnsi="Liberation Sans" w:eastAsia="Liberation Sans"/>
                <w:color w:val="1F2937"/>
                <w:sz w:val="16"/>
              </w:rPr>
              <w:t>Production</w:t>
            </w:r>
          </w:p>
        </w:tc>
        <w:tc>
          <w:tcPr>
            <w:tcW w:type="dxa" w:w="7370"/>
            <w:tcMar>
              <w:top w:w="80" w:type="dxa"/>
              <w:start w:w="90" w:type="dxa"/>
              <w:bottom w:w="80" w:type="dxa"/>
              <w:end w:w="90" w:type="dxa"/>
            </w:tcMar>
            <w:vAlign w:val="top"/>
          </w:tcPr>
          <w:p>
            <w:pPr>
              <w:spacing w:after="0"/>
            </w:pPr>
            <w:r>
              <w:rPr>
                <w:rFonts w:ascii="Liberation Sans" w:hAnsi="Liberation Sans" w:eastAsia="Liberation Sans"/>
                <w:color w:val="1F2937"/>
                <w:sz w:val="16"/>
              </w:rPr>
              <w:t>Separate production Vercel/Neon/R2/secrets/keys; developer DB access by controlled break-glass only</w:t>
            </w:r>
          </w:p>
        </w:tc>
      </w:tr>
    </w:tbl>
    <w:p>
      <w:pPr>
        <w:spacing w:after="40"/>
      </w:pPr>
    </w:p>
    <w:p>
      <w:pPr>
        <w:pStyle w:val="Heading2"/>
        <w:keepNext/>
        <w:spacing w:before="120" w:after="80"/>
      </w:pPr>
      <w:r>
        <w:rPr>
          <w:rFonts w:ascii="Liberation Sans" w:hAnsi="Liberation Sans" w:eastAsia="Liberation Sans"/>
          <w:b/>
          <w:color w:val="17324D"/>
          <w:sz w:val="27"/>
        </w:rPr>
        <w:t>19.2 Backup &amp; Recovery</w:t>
      </w:r>
    </w:p>
    <w:p>
      <w:pPr>
        <w:pStyle w:val="ListBullet"/>
        <w:spacing w:after="30" w:line="247" w:lineRule="auto"/>
        <w:ind w:left="255" w:hanging="113"/>
      </w:pPr>
      <w:r>
        <w:rPr>
          <w:rFonts w:ascii="Liberation Sans" w:hAnsi="Liberation Sans" w:eastAsia="Liberation Sans"/>
          <w:color w:val="1F2937"/>
          <w:sz w:val="18"/>
        </w:rPr>
        <w:t>Neon point-in-time recovery plus independent logical backups stored separately from normal runtime blast radius.</w:t>
      </w:r>
    </w:p>
    <w:p>
      <w:pPr>
        <w:pStyle w:val="ListBullet"/>
        <w:spacing w:after="30" w:line="247" w:lineRule="auto"/>
        <w:ind w:left="255" w:hanging="113"/>
      </w:pPr>
      <w:r>
        <w:rPr>
          <w:rFonts w:ascii="Liberation Sans" w:hAnsi="Liberation Sans" w:eastAsia="Liberation Sans"/>
          <w:color w:val="1F2937"/>
          <w:sz w:val="18"/>
        </w:rPr>
        <w:t>Private documents, report artifacts, audit checkpoints and backups use appropriate distinct storage/lifecycle policy boundaries.</w:t>
      </w:r>
    </w:p>
    <w:p>
      <w:pPr>
        <w:pStyle w:val="ListBullet"/>
        <w:spacing w:after="30" w:line="247" w:lineRule="auto"/>
        <w:ind w:left="255" w:hanging="113"/>
      </w:pPr>
      <w:r>
        <w:rPr>
          <w:rFonts w:ascii="Liberation Sans" w:hAnsi="Liberation Sans" w:eastAsia="Liberation Sans"/>
          <w:color w:val="1F2937"/>
          <w:sz w:val="18"/>
        </w:rPr>
        <w:t>Restore drills before launch/major DB changes and at least quarterly thereafter.</w:t>
      </w:r>
    </w:p>
    <w:p>
      <w:pPr>
        <w:pStyle w:val="ListBullet"/>
        <w:spacing w:after="30" w:line="247" w:lineRule="auto"/>
        <w:ind w:left="255" w:hanging="113"/>
      </w:pPr>
      <w:r>
        <w:rPr>
          <w:rFonts w:ascii="Liberation Sans" w:hAnsi="Liberation Sans" w:eastAsia="Liberation Sans"/>
          <w:color w:val="1F2937"/>
          <w:sz w:val="18"/>
        </w:rPr>
        <w:t>Planning targets: RPO &lt;= 15 minutes and RTO &lt;= 4 hours for architecture/testing purposes; not presented as contractual SLA until operations are proven.</w:t>
      </w:r>
    </w:p>
    <w:p>
      <w:pPr>
        <w:pStyle w:val="ListBullet"/>
        <w:spacing w:after="30" w:line="247" w:lineRule="auto"/>
        <w:ind w:left="255" w:hanging="113"/>
      </w:pPr>
      <w:r>
        <w:rPr>
          <w:rFonts w:ascii="Liberation Sans" w:hAnsi="Liberation Sans" w:eastAsia="Liberation Sans"/>
          <w:color w:val="1F2937"/>
          <w:sz w:val="18"/>
        </w:rPr>
        <w:t>Tenant-scoped logical corruption is repaired through isolated restore/extract/repair rather than rolling back all other tenants.</w:t>
      </w:r>
    </w:p>
    <w:p>
      <w:pPr>
        <w:pStyle w:val="Heading2"/>
        <w:keepNext/>
        <w:spacing w:before="120" w:after="80"/>
      </w:pPr>
      <w:r>
        <w:rPr>
          <w:rFonts w:ascii="Liberation Sans" w:hAnsi="Liberation Sans" w:eastAsia="Liberation Sans"/>
          <w:b/>
          <w:color w:val="17324D"/>
          <w:sz w:val="27"/>
        </w:rPr>
        <w:t>19.3 Observability &amp; Incidents</w:t>
      </w:r>
    </w:p>
    <w:p>
      <w:pPr>
        <w:pStyle w:val="ListBullet"/>
        <w:spacing w:after="30" w:line="247" w:lineRule="auto"/>
        <w:ind w:left="255" w:hanging="113"/>
      </w:pPr>
      <w:r>
        <w:rPr>
          <w:rFonts w:ascii="Liberation Sans" w:hAnsi="Liberation Sans" w:eastAsia="Liberation Sans"/>
          <w:color w:val="1F2937"/>
          <w:sz w:val="18"/>
        </w:rPr>
        <w:t>Structured logs with correlation/request IDs and sensitive-data redaction.</w:t>
      </w:r>
    </w:p>
    <w:p>
      <w:pPr>
        <w:pStyle w:val="ListBullet"/>
        <w:spacing w:after="30" w:line="247" w:lineRule="auto"/>
        <w:ind w:left="255" w:hanging="113"/>
      </w:pPr>
      <w:r>
        <w:rPr>
          <w:rFonts w:ascii="Liberation Sans" w:hAnsi="Liberation Sans" w:eastAsia="Liberation Sans"/>
          <w:color w:val="1F2937"/>
          <w:sz w:val="18"/>
        </w:rPr>
        <w:t>Health checks include application/database, jobs, storage, audit checkpointing and backup status.</w:t>
      </w:r>
    </w:p>
    <w:p>
      <w:pPr>
        <w:pStyle w:val="ListBullet"/>
        <w:spacing w:after="30" w:line="247" w:lineRule="auto"/>
        <w:ind w:left="255" w:hanging="113"/>
      </w:pPr>
      <w:r>
        <w:rPr>
          <w:rFonts w:ascii="Liberation Sans" w:hAnsi="Liberation Sans" w:eastAsia="Liberation Sans"/>
          <w:color w:val="1F2937"/>
          <w:sz w:val="18"/>
        </w:rPr>
        <w:t>P0–P3 incident classification with security, restore and data-repair runbooks.</w:t>
      </w:r>
    </w:p>
    <w:p>
      <w:pPr>
        <w:pStyle w:val="ListBullet"/>
        <w:spacing w:after="30" w:line="247" w:lineRule="auto"/>
        <w:ind w:left="255" w:hanging="113"/>
      </w:pPr>
      <w:r>
        <w:rPr>
          <w:rFonts w:ascii="Liberation Sans" w:hAnsi="Liberation Sans" w:eastAsia="Liberation Sans"/>
          <w:color w:val="1F2937"/>
          <w:sz w:val="18"/>
        </w:rPr>
        <w:t>No false promise of 24/7 human support unless the commercial support model actually funds it.</w:t>
      </w:r>
    </w:p>
    <w:p>
      <w:pPr>
        <w:pStyle w:val="Heading2"/>
        <w:keepNext/>
        <w:spacing w:before="120" w:after="80"/>
      </w:pPr>
      <w:r>
        <w:rPr>
          <w:rFonts w:ascii="Liberation Sans" w:hAnsi="Liberation Sans" w:eastAsia="Liberation Sans"/>
          <w:b/>
          <w:color w:val="17324D"/>
          <w:sz w:val="27"/>
        </w:rPr>
        <w:t>19.4 Early Operating Cost</w:t>
      </w:r>
    </w:p>
    <w:p>
      <w:pPr>
        <w:spacing w:after="100" w:line="259" w:lineRule="auto"/>
      </w:pPr>
      <w:r>
        <w:rPr>
          <w:rFonts w:ascii="Liberation Sans" w:hAnsi="Liberation Sans" w:eastAsia="Liberation Sans"/>
          <w:color w:val="1F2937"/>
          <w:sz w:val="18"/>
        </w:rPr>
        <w:t>For planning, early production infrastructure should remain in the tens of USD per month rather than hundreds if usage is modest. Keep a rough planning reserve of USD 60–100/month for the core stack, but recheck current vendor pricing at launch rather than treating this as a quote.</w:t>
      </w:r>
    </w:p>
    <w:p>
      <w:pPr>
        <w:pStyle w:val="Heading1"/>
        <w:keepNext/>
        <w:spacing w:before="180" w:after="80"/>
      </w:pPr>
      <w:r>
        <w:rPr>
          <w:rFonts w:ascii="Liberation Sans" w:hAnsi="Liberation Sans" w:eastAsia="Liberation Sans"/>
          <w:b/>
          <w:color w:val="17324D"/>
          <w:sz w:val="36"/>
        </w:rPr>
        <w:t>20. Remaining Confirmation Register</w:t>
      </w:r>
    </w:p>
    <w:p>
      <w:pPr>
        <w:spacing w:after="100" w:line="259" w:lineRule="auto"/>
      </w:pPr>
      <w:r>
        <w:rPr>
          <w:rFonts w:ascii="Liberation Sans" w:hAnsi="Liberation Sans" w:eastAsia="Liberation Sans"/>
          <w:color w:val="1F2937"/>
          <w:sz w:val="18"/>
        </w:rPr>
        <w:t>These items do not stop normal development. They become onboarding, pilot or accountant/legal gates at the appropriate stage.</w:t>
      </w:r>
    </w:p>
    <w:tbl>
      <w:tblPr>
        <w:tblStyle w:val="TableGrid"/>
        <w:tblW w:type="auto" w:w="0"/>
        <w:jc w:val="center"/>
        <w:tblLook w:firstColumn="1" w:firstRow="1" w:lastColumn="0" w:lastRow="0" w:noHBand="0" w:noVBand="1" w:val="04A0"/>
      </w:tblPr>
      <w:tblGrid>
        <w:gridCol w:w="3345"/>
        <w:gridCol w:w="3345"/>
        <w:gridCol w:w="3345"/>
      </w:tblGrid>
      <w:tr>
        <w:trPr>
          <w:tblHeader w:val="true"/>
        </w:trPr>
        <w:tc>
          <w:tcPr>
            <w:tcW w:type="dxa" w:w="3969"/>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Item</w:t>
            </w:r>
          </w:p>
        </w:tc>
        <w:tc>
          <w:tcPr>
            <w:tcW w:type="dxa" w:w="1928"/>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When needed</w:t>
            </w:r>
          </w:p>
        </w:tc>
        <w:tc>
          <w:tcPr>
            <w:tcW w:type="dxa" w:w="3175"/>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Default / action if not yet supplied</w:t>
            </w:r>
          </w:p>
        </w:tc>
      </w:tr>
      <w:tr>
        <w:trPr>
          <w:cantSplit/>
        </w:trPr>
        <w:tc>
          <w:tcPr>
            <w:tcW w:type="dxa" w:w="3969"/>
            <w:tcMar>
              <w:top w:w="80" w:type="dxa"/>
              <w:start w:w="90" w:type="dxa"/>
              <w:bottom w:w="80" w:type="dxa"/>
              <w:end w:w="90" w:type="dxa"/>
            </w:tcMar>
            <w:vAlign w:val="top"/>
          </w:tcPr>
          <w:p>
            <w:pPr>
              <w:spacing w:after="0"/>
            </w:pPr>
            <w:r>
              <w:rPr>
                <w:rFonts w:ascii="Liberation Sans" w:hAnsi="Liberation Sans" w:eastAsia="Liberation Sans"/>
                <w:color w:val="1F2937"/>
                <w:sz w:val="16"/>
              </w:rPr>
              <w:t>Final active TEI location/station classification and pilot site</w:t>
            </w:r>
          </w:p>
        </w:tc>
        <w:tc>
          <w:tcPr>
            <w:tcW w:type="dxa" w:w="1928"/>
            <w:tcMar>
              <w:top w:w="80" w:type="dxa"/>
              <w:start w:w="90" w:type="dxa"/>
              <w:bottom w:w="80" w:type="dxa"/>
              <w:end w:w="90" w:type="dxa"/>
            </w:tcMar>
            <w:vAlign w:val="top"/>
          </w:tcPr>
          <w:p>
            <w:pPr>
              <w:spacing w:after="0"/>
            </w:pPr>
            <w:r>
              <w:rPr>
                <w:rFonts w:ascii="Liberation Sans" w:hAnsi="Liberation Sans" w:eastAsia="Liberation Sans"/>
                <w:color w:val="1F2937"/>
                <w:sz w:val="16"/>
              </w:rPr>
              <w:t>Before pilot setup</w:t>
            </w:r>
          </w:p>
        </w:tc>
        <w:tc>
          <w:tcPr>
            <w:tcW w:type="dxa" w:w="3175"/>
            <w:tcMar>
              <w:top w:w="80" w:type="dxa"/>
              <w:start w:w="90" w:type="dxa"/>
              <w:bottom w:w="80" w:type="dxa"/>
              <w:end w:w="90" w:type="dxa"/>
            </w:tcMar>
            <w:vAlign w:val="top"/>
          </w:tcPr>
          <w:p>
            <w:pPr>
              <w:spacing w:after="0"/>
            </w:pPr>
            <w:r>
              <w:rPr>
                <w:rFonts w:ascii="Liberation Sans" w:hAnsi="Liberation Sans" w:eastAsia="Liberation Sans"/>
                <w:color w:val="1F2937"/>
                <w:sz w:val="16"/>
              </w:rPr>
              <w:t>Use client-provided 11-location seed; do not block code</w:t>
            </w:r>
          </w:p>
        </w:tc>
      </w:tr>
      <w:tr>
        <w:trPr>
          <w:cantSplit/>
        </w:trPr>
        <w:tc>
          <w:tcPr>
            <w:tcW w:type="dxa" w:w="3969"/>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Actual shift clock times per station</w:t>
            </w:r>
          </w:p>
        </w:tc>
        <w:tc>
          <w:tcPr>
            <w:tcW w:type="dxa" w:w="1928"/>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Before station activation</w:t>
            </w:r>
          </w:p>
        </w:tc>
        <w:tc>
          <w:tcPr>
            <w:tcW w:type="dxa" w:w="3175"/>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Use configurable 8-hour starter templates</w:t>
            </w:r>
          </w:p>
        </w:tc>
      </w:tr>
      <w:tr>
        <w:trPr>
          <w:cantSplit/>
        </w:trPr>
        <w:tc>
          <w:tcPr>
            <w:tcW w:type="dxa" w:w="3969"/>
            <w:tcMar>
              <w:top w:w="80" w:type="dxa"/>
              <w:start w:w="90" w:type="dxa"/>
              <w:bottom w:w="80" w:type="dxa"/>
              <w:end w:w="90" w:type="dxa"/>
            </w:tcMar>
            <w:vAlign w:val="top"/>
          </w:tcPr>
          <w:p>
            <w:pPr>
              <w:spacing w:after="0"/>
            </w:pPr>
            <w:r>
              <w:rPr>
                <w:rFonts w:ascii="Liberation Sans" w:hAnsi="Liberation Sans" w:eastAsia="Liberation Sans"/>
                <w:color w:val="1F2937"/>
                <w:sz w:val="16"/>
              </w:rPr>
              <w:t>Banks and POS/EcoCash providers/merchant IDs</w:t>
            </w:r>
          </w:p>
        </w:tc>
        <w:tc>
          <w:tcPr>
            <w:tcW w:type="dxa" w:w="1928"/>
            <w:tcMar>
              <w:top w:w="80" w:type="dxa"/>
              <w:start w:w="90" w:type="dxa"/>
              <w:bottom w:w="80" w:type="dxa"/>
              <w:end w:w="90" w:type="dxa"/>
            </w:tcMar>
            <w:vAlign w:val="top"/>
          </w:tcPr>
          <w:p>
            <w:pPr>
              <w:spacing w:after="0"/>
            </w:pPr>
            <w:r>
              <w:rPr>
                <w:rFonts w:ascii="Liberation Sans" w:hAnsi="Liberation Sans" w:eastAsia="Liberation Sans"/>
                <w:color w:val="1F2937"/>
                <w:sz w:val="16"/>
              </w:rPr>
              <w:t>Before money workflow go-live</w:t>
            </w:r>
          </w:p>
        </w:tc>
        <w:tc>
          <w:tcPr>
            <w:tcW w:type="dxa" w:w="3175"/>
            <w:tcMar>
              <w:top w:w="80" w:type="dxa"/>
              <w:start w:w="90" w:type="dxa"/>
              <w:bottom w:w="80" w:type="dxa"/>
              <w:end w:w="90" w:type="dxa"/>
            </w:tcMar>
            <w:vAlign w:val="top"/>
          </w:tcPr>
          <w:p>
            <w:pPr>
              <w:spacing w:after="0"/>
            </w:pPr>
            <w:r>
              <w:rPr>
                <w:rFonts w:ascii="Liberation Sans" w:hAnsi="Liberation Sans" w:eastAsia="Liberation Sans"/>
                <w:color w:val="1F2937"/>
                <w:sz w:val="16"/>
              </w:rPr>
              <w:t>Provider/bank-neutral structures already built</w:t>
            </w:r>
          </w:p>
        </w:tc>
      </w:tr>
      <w:tr>
        <w:trPr>
          <w:cantSplit/>
        </w:trPr>
        <w:tc>
          <w:tcPr>
            <w:tcW w:type="dxa" w:w="3969"/>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Tank capacities, calibration charts, pumps/nozzles/meters</w:t>
            </w:r>
          </w:p>
        </w:tc>
        <w:tc>
          <w:tcPr>
            <w:tcW w:type="dxa" w:w="1928"/>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Before station operations go-live</w:t>
            </w:r>
          </w:p>
        </w:tc>
        <w:tc>
          <w:tcPr>
            <w:tcW w:type="dxa" w:w="3175"/>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Capture via setup workbook/onboarding</w:t>
            </w:r>
          </w:p>
        </w:tc>
      </w:tr>
      <w:tr>
        <w:trPr>
          <w:cantSplit/>
        </w:trPr>
        <w:tc>
          <w:tcPr>
            <w:tcW w:type="dxa" w:w="3969"/>
            <w:tcMar>
              <w:top w:w="80" w:type="dxa"/>
              <w:start w:w="90" w:type="dxa"/>
              <w:bottom w:w="80" w:type="dxa"/>
              <w:end w:w="90" w:type="dxa"/>
            </w:tcMar>
            <w:vAlign w:val="top"/>
          </w:tcPr>
          <w:p>
            <w:pPr>
              <w:spacing w:after="0"/>
            </w:pPr>
            <w:r>
              <w:rPr>
                <w:rFonts w:ascii="Liberation Sans" w:hAnsi="Liberation Sans" w:eastAsia="Liberation Sans"/>
                <w:color w:val="1F2937"/>
                <w:sz w:val="16"/>
              </w:rPr>
              <w:t>Supplier/customer masters and current terms</w:t>
            </w:r>
          </w:p>
        </w:tc>
        <w:tc>
          <w:tcPr>
            <w:tcW w:type="dxa" w:w="1928"/>
            <w:tcMar>
              <w:top w:w="80" w:type="dxa"/>
              <w:start w:w="90" w:type="dxa"/>
              <w:bottom w:w="80" w:type="dxa"/>
              <w:end w:w="90" w:type="dxa"/>
            </w:tcMar>
            <w:vAlign w:val="top"/>
          </w:tcPr>
          <w:p>
            <w:pPr>
              <w:spacing w:after="0"/>
            </w:pPr>
            <w:r>
              <w:rPr>
                <w:rFonts w:ascii="Liberation Sans" w:hAnsi="Liberation Sans" w:eastAsia="Liberation Sans"/>
                <w:color w:val="1F2937"/>
                <w:sz w:val="16"/>
              </w:rPr>
              <w:t>Before commercial module pilot</w:t>
            </w:r>
          </w:p>
        </w:tc>
        <w:tc>
          <w:tcPr>
            <w:tcW w:type="dxa" w:w="3175"/>
            <w:tcMar>
              <w:top w:w="80" w:type="dxa"/>
              <w:start w:w="90" w:type="dxa"/>
              <w:bottom w:w="80" w:type="dxa"/>
              <w:end w:w="90" w:type="dxa"/>
            </w:tcMar>
            <w:vAlign w:val="top"/>
          </w:tcPr>
          <w:p>
            <w:pPr>
              <w:spacing w:after="0"/>
            </w:pPr>
            <w:r>
              <w:rPr>
                <w:rFonts w:ascii="Liberation Sans" w:hAnsi="Liberation Sans" w:eastAsia="Liberation Sans"/>
                <w:color w:val="1F2937"/>
                <w:sz w:val="16"/>
              </w:rPr>
              <w:t>Capture via setup workbook/import</w:t>
            </w:r>
          </w:p>
        </w:tc>
      </w:tr>
      <w:tr>
        <w:trPr>
          <w:cantSplit/>
        </w:trPr>
        <w:tc>
          <w:tcPr>
            <w:tcW w:type="dxa" w:w="3969"/>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Cash floats / reorder levels / station-specific thresholds</w:t>
            </w:r>
          </w:p>
        </w:tc>
        <w:tc>
          <w:tcPr>
            <w:tcW w:type="dxa" w:w="1928"/>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Before station activation or tune during pilot</w:t>
            </w:r>
          </w:p>
        </w:tc>
        <w:tc>
          <w:tcPr>
            <w:tcW w:type="dxa" w:w="3175"/>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Use recommended provisional defaults where safe</w:t>
            </w:r>
          </w:p>
        </w:tc>
      </w:tr>
      <w:tr>
        <w:trPr>
          <w:cantSplit/>
        </w:trPr>
        <w:tc>
          <w:tcPr>
            <w:tcW w:type="dxa" w:w="3969"/>
            <w:tcMar>
              <w:top w:w="80" w:type="dxa"/>
              <w:start w:w="90" w:type="dxa"/>
              <w:bottom w:w="80" w:type="dxa"/>
              <w:end w:w="90" w:type="dxa"/>
            </w:tcMar>
            <w:vAlign w:val="top"/>
          </w:tcPr>
          <w:p>
            <w:pPr>
              <w:spacing w:after="0"/>
            </w:pPr>
            <w:r>
              <w:rPr>
                <w:rFonts w:ascii="Liberation Sans" w:hAnsi="Liberation Sans" w:eastAsia="Liberation Sans"/>
                <w:color w:val="1F2937"/>
                <w:sz w:val="16"/>
              </w:rPr>
              <w:t>Opening balances</w:t>
            </w:r>
          </w:p>
        </w:tc>
        <w:tc>
          <w:tcPr>
            <w:tcW w:type="dxa" w:w="1928"/>
            <w:tcMar>
              <w:top w:w="80" w:type="dxa"/>
              <w:start w:w="90" w:type="dxa"/>
              <w:bottom w:w="80" w:type="dxa"/>
              <w:end w:w="90" w:type="dxa"/>
            </w:tcMar>
            <w:vAlign w:val="top"/>
          </w:tcPr>
          <w:p>
            <w:pPr>
              <w:spacing w:after="0"/>
            </w:pPr>
            <w:r>
              <w:rPr>
                <w:rFonts w:ascii="Liberation Sans" w:hAnsi="Liberation Sans" w:eastAsia="Liberation Sans"/>
                <w:color w:val="1F2937"/>
                <w:sz w:val="16"/>
              </w:rPr>
              <w:t>Immediately before cutover</w:t>
            </w:r>
          </w:p>
        </w:tc>
        <w:tc>
          <w:tcPr>
            <w:tcW w:type="dxa" w:w="3175"/>
            <w:tcMar>
              <w:top w:w="80" w:type="dxa"/>
              <w:start w:w="90" w:type="dxa"/>
              <w:bottom w:w="80" w:type="dxa"/>
              <w:end w:w="90" w:type="dxa"/>
            </w:tcMar>
            <w:vAlign w:val="top"/>
          </w:tcPr>
          <w:p>
            <w:pPr>
              <w:spacing w:after="0"/>
            </w:pPr>
            <w:r>
              <w:rPr>
                <w:rFonts w:ascii="Liberation Sans" w:hAnsi="Liberation Sans" w:eastAsia="Liberation Sans"/>
                <w:color w:val="1F2937"/>
                <w:sz w:val="16"/>
              </w:rPr>
              <w:t>Finance prepares; authorized management approves opening-position batch</w:t>
            </w:r>
          </w:p>
        </w:tc>
      </w:tr>
      <w:tr>
        <w:trPr>
          <w:cantSplit/>
        </w:trPr>
        <w:tc>
          <w:tcPr>
            <w:tcW w:type="dxa" w:w="3969"/>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Tax/VAT/statutory invoice treatment</w:t>
            </w:r>
          </w:p>
        </w:tc>
        <w:tc>
          <w:tcPr>
            <w:tcW w:type="dxa" w:w="1928"/>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Before tax-specific automation or formal statutory outputs</w:t>
            </w:r>
          </w:p>
        </w:tc>
        <w:tc>
          <w:tcPr>
            <w:tcW w:type="dxa" w:w="3175"/>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Remain tax-ready; do not invent treatment</w:t>
            </w:r>
          </w:p>
        </w:tc>
      </w:tr>
      <w:tr>
        <w:trPr>
          <w:cantSplit/>
        </w:trPr>
        <w:tc>
          <w:tcPr>
            <w:tcW w:type="dxa" w:w="3969"/>
            <w:tcMar>
              <w:top w:w="80" w:type="dxa"/>
              <w:start w:w="90" w:type="dxa"/>
              <w:bottom w:w="80" w:type="dxa"/>
              <w:end w:w="90" w:type="dxa"/>
            </w:tcMar>
            <w:vAlign w:val="top"/>
          </w:tcPr>
          <w:p>
            <w:pPr>
              <w:spacing w:after="0"/>
            </w:pPr>
            <w:r>
              <w:rPr>
                <w:rFonts w:ascii="Liberation Sans" w:hAnsi="Liberation Sans" w:eastAsia="Liberation Sans"/>
                <w:color w:val="1F2937"/>
                <w:sz w:val="16"/>
              </w:rPr>
              <w:t>Retention periods</w:t>
            </w:r>
          </w:p>
        </w:tc>
        <w:tc>
          <w:tcPr>
            <w:tcW w:type="dxa" w:w="1928"/>
            <w:tcMar>
              <w:top w:w="80" w:type="dxa"/>
              <w:start w:w="90" w:type="dxa"/>
              <w:bottom w:w="80" w:type="dxa"/>
              <w:end w:w="90" w:type="dxa"/>
            </w:tcMar>
            <w:vAlign w:val="top"/>
          </w:tcPr>
          <w:p>
            <w:pPr>
              <w:spacing w:after="0"/>
            </w:pPr>
            <w:r>
              <w:rPr>
                <w:rFonts w:ascii="Liberation Sans" w:hAnsi="Liberation Sans" w:eastAsia="Liberation Sans"/>
                <w:color w:val="1F2937"/>
                <w:sz w:val="16"/>
              </w:rPr>
              <w:t>Before automated deletion/lifecycle policies</w:t>
            </w:r>
          </w:p>
        </w:tc>
        <w:tc>
          <w:tcPr>
            <w:tcW w:type="dxa" w:w="3175"/>
            <w:tcMar>
              <w:top w:w="80" w:type="dxa"/>
              <w:start w:w="90" w:type="dxa"/>
              <w:bottom w:w="80" w:type="dxa"/>
              <w:end w:w="90" w:type="dxa"/>
            </w:tcMar>
            <w:vAlign w:val="top"/>
          </w:tcPr>
          <w:p>
            <w:pPr>
              <w:spacing w:after="0"/>
            </w:pPr>
            <w:r>
              <w:rPr>
                <w:rFonts w:ascii="Liberation Sans" w:hAnsi="Liberation Sans" w:eastAsia="Liberation Sans"/>
                <w:color w:val="1F2937"/>
                <w:sz w:val="16"/>
              </w:rPr>
              <w:t>Retain conservatively until accountant/legal confirmation</w:t>
            </w:r>
          </w:p>
        </w:tc>
      </w:tr>
      <w:tr>
        <w:trPr>
          <w:cantSplit/>
        </w:trPr>
        <w:tc>
          <w:tcPr>
            <w:tcW w:type="dxa" w:w="3969"/>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Exact ShandaHR integration fields</w:t>
            </w:r>
          </w:p>
        </w:tc>
        <w:tc>
          <w:tcPr>
            <w:tcW w:type="dxa" w:w="1928"/>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Before integration phase</w:t>
            </w:r>
          </w:p>
        </w:tc>
        <w:tc>
          <w:tcPr>
            <w:tcW w:type="dxa" w:w="3175"/>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Keep explicit API boundary and manual recurring cost fallback</w:t>
            </w:r>
          </w:p>
        </w:tc>
      </w:tr>
    </w:tbl>
    <w:p>
      <w:pPr>
        <w:spacing w:after="40"/>
      </w:pPr>
    </w:p>
    <w:p>
      <w:pPr>
        <w:pStyle w:val="Heading2"/>
        <w:keepNext/>
        <w:spacing w:before="120" w:after="80"/>
      </w:pPr>
      <w:r>
        <w:rPr>
          <w:rFonts w:ascii="Liberation Sans" w:hAnsi="Liberation Sans" w:eastAsia="Liberation Sans"/>
          <w:b/>
          <w:color w:val="17324D"/>
          <w:sz w:val="27"/>
        </w:rPr>
        <w:t>20.1 What Is Not a Client Question Anymore</w:t>
      </w:r>
    </w:p>
    <w:p>
      <w:pPr>
        <w:pStyle w:val="ListBullet"/>
        <w:spacing w:after="30" w:line="247" w:lineRule="auto"/>
        <w:ind w:left="255" w:hanging="113"/>
      </w:pPr>
      <w:r>
        <w:rPr>
          <w:rFonts w:ascii="Liberation Sans" w:hAnsi="Liberation Sans" w:eastAsia="Liberation Sans"/>
          <w:color w:val="1F2937"/>
          <w:sz w:val="18"/>
        </w:rPr>
        <w:t>Database/hosting architecture, ORM, framework and module boundaries.</w:t>
      </w:r>
    </w:p>
    <w:p>
      <w:pPr>
        <w:pStyle w:val="ListBullet"/>
        <w:spacing w:after="30" w:line="247" w:lineRule="auto"/>
        <w:ind w:left="255" w:hanging="113"/>
      </w:pPr>
      <w:r>
        <w:rPr>
          <w:rFonts w:ascii="Liberation Sans" w:hAnsi="Liberation Sans" w:eastAsia="Liberation Sans"/>
          <w:color w:val="1F2937"/>
          <w:sz w:val="18"/>
        </w:rPr>
        <w:t>How audit immutability works.</w:t>
      </w:r>
    </w:p>
    <w:p>
      <w:pPr>
        <w:pStyle w:val="ListBullet"/>
        <w:spacing w:after="30" w:line="247" w:lineRule="auto"/>
        <w:ind w:left="255" w:hanging="113"/>
      </w:pPr>
      <w:r>
        <w:rPr>
          <w:rFonts w:ascii="Liberation Sans" w:hAnsi="Liberation Sans" w:eastAsia="Liberation Sans"/>
          <w:color w:val="1F2937"/>
          <w:sz w:val="18"/>
        </w:rPr>
        <w:t>How tenant isolation/RLS works.</w:t>
      </w:r>
    </w:p>
    <w:p>
      <w:pPr>
        <w:pStyle w:val="ListBullet"/>
        <w:spacing w:after="30" w:line="247" w:lineRule="auto"/>
        <w:ind w:left="255" w:hanging="113"/>
      </w:pPr>
      <w:r>
        <w:rPr>
          <w:rFonts w:ascii="Liberation Sans" w:hAnsi="Liberation Sans" w:eastAsia="Liberation Sans"/>
          <w:color w:val="1F2937"/>
          <w:sz w:val="18"/>
        </w:rPr>
        <w:t>Whether cash collected equals banked (it does not).</w:t>
      </w:r>
    </w:p>
    <w:p>
      <w:pPr>
        <w:pStyle w:val="ListBullet"/>
        <w:spacing w:after="30" w:line="247" w:lineRule="auto"/>
        <w:ind w:left="255" w:hanging="113"/>
      </w:pPr>
      <w:r>
        <w:rPr>
          <w:rFonts w:ascii="Liberation Sans" w:hAnsi="Liberation Sans" w:eastAsia="Liberation Sans"/>
          <w:color w:val="1F2937"/>
          <w:sz w:val="18"/>
        </w:rPr>
        <w:t>Whether supplier invoice rewrites delivery quantity (it does not).</w:t>
      </w:r>
    </w:p>
    <w:p>
      <w:pPr>
        <w:pStyle w:val="ListBullet"/>
        <w:spacing w:after="30" w:line="247" w:lineRule="auto"/>
        <w:ind w:left="255" w:hanging="113"/>
      </w:pPr>
      <w:r>
        <w:rPr>
          <w:rFonts w:ascii="Liberation Sans" w:hAnsi="Liberation Sans" w:eastAsia="Liberation Sans"/>
          <w:color w:val="1F2937"/>
          <w:sz w:val="18"/>
        </w:rPr>
        <w:t>How corrections to posted facts work (reversal/compensation/adjustment).</w:t>
      </w:r>
    </w:p>
    <w:p>
      <w:pPr>
        <w:pStyle w:val="ListBullet"/>
        <w:spacing w:after="30" w:line="247" w:lineRule="auto"/>
        <w:ind w:left="255" w:hanging="113"/>
      </w:pPr>
      <w:r>
        <w:rPr>
          <w:rFonts w:ascii="Liberation Sans" w:hAnsi="Liberation Sans" w:eastAsia="Liberation Sans"/>
          <w:color w:val="1F2937"/>
          <w:sz w:val="18"/>
        </w:rPr>
        <w:t>How customer credit/prepaid fuel reconciles to meters without duplicate litres.</w:t>
      </w:r>
    </w:p>
    <w:p>
      <w:pPr>
        <w:pStyle w:val="ListBullet"/>
        <w:spacing w:after="30" w:line="247" w:lineRule="auto"/>
        <w:ind w:left="255" w:hanging="113"/>
      </w:pPr>
      <w:r>
        <w:rPr>
          <w:rFonts w:ascii="Liberation Sans" w:hAnsi="Liberation Sans" w:eastAsia="Liberation Sans"/>
          <w:color w:val="1F2937"/>
          <w:sz w:val="18"/>
        </w:rPr>
        <w:t>How weighted-average inventory cost is preserved across later purchases.</w:t>
      </w:r>
    </w:p>
    <w:p>
      <w:pPr>
        <w:pStyle w:val="Heading1"/>
        <w:keepNext/>
        <w:spacing w:before="180" w:after="80"/>
      </w:pPr>
      <w:r>
        <w:rPr>
          <w:rFonts w:ascii="Liberation Sans" w:hAnsi="Liberation Sans" w:eastAsia="Liberation Sans"/>
          <w:b/>
          <w:color w:val="17324D"/>
          <w:sz w:val="36"/>
        </w:rPr>
        <w:t>21. Implementation Readiness Statement</w:t>
      </w:r>
    </w:p>
    <w:tbl>
      <w:tblPr>
        <w:tblW w:type="auto" w:w="0"/>
        <w:jc w:val="center"/>
        <w:tblLayout w:type="autofit"/>
        <w:tblLook w:firstColumn="1" w:firstRow="1" w:lastColumn="0" w:lastRow="0" w:noHBand="0" w:noVBand="1" w:val="04A0"/>
      </w:tblPr>
      <w:tblGrid>
        <w:gridCol w:w="10036"/>
      </w:tblGrid>
      <w:tr>
        <w:tc>
          <w:tcPr>
            <w:tcW w:type="dxa" w:w="10036"/>
            <w:shd w:fill="EAF5F3"/>
            <w:tcMar>
              <w:top w:w="110" w:type="dxa"/>
              <w:start w:w="150" w:type="dxa"/>
              <w:bottom w:w="110" w:type="dxa"/>
              <w:end w:w="150" w:type="dxa"/>
            </w:tcMar>
          </w:tcPr>
          <w:p>
            <w:pPr>
              <w:spacing w:after="40"/>
            </w:pPr>
            <w:r>
              <w:rPr>
                <w:rFonts w:ascii="Liberation Sans" w:hAnsi="Liberation Sans" w:eastAsia="Liberation Sans"/>
                <w:b/>
                <w:color w:val="0F766E"/>
                <w:sz w:val="19"/>
              </w:rPr>
              <w:t>READY FOR BUILD</w:t>
            </w:r>
          </w:p>
          <w:p>
            <w:pPr>
              <w:spacing w:after="0"/>
            </w:pPr>
            <w:r>
              <w:rPr>
                <w:rFonts w:ascii="Liberation Sans" w:hAnsi="Liberation Sans" w:eastAsia="Liberation Sans"/>
                <w:color w:val="1F2937"/>
                <w:sz w:val="18"/>
              </w:rPr>
              <w:t>The logical product architecture is sufficiently specified for implementation to begin without recurring client interruption. Remaining unknowns are predominantly tenant setup/onboarding values and legal/accounting confirmations, not software architecture decisions.</w:t>
            </w:r>
          </w:p>
        </w:tc>
      </w:tr>
    </w:tbl>
    <w:p>
      <w:pPr>
        <w:spacing w:after="20"/>
      </w:pPr>
    </w:p>
    <w:p>
      <w:pPr>
        <w:pStyle w:val="Heading2"/>
        <w:keepNext/>
        <w:spacing w:before="120" w:after="80"/>
      </w:pPr>
      <w:r>
        <w:rPr>
          <w:rFonts w:ascii="Liberation Sans" w:hAnsi="Liberation Sans" w:eastAsia="Liberation Sans"/>
          <w:b/>
          <w:color w:val="17324D"/>
          <w:sz w:val="27"/>
        </w:rPr>
        <w:t>21.1 Frozen Logical Layers</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4535"/>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Layer</w:t>
            </w:r>
          </w:p>
        </w:tc>
        <w:tc>
          <w:tcPr>
            <w:tcW w:type="dxa" w:w="4535"/>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Status</w:t>
            </w:r>
          </w:p>
        </w:tc>
      </w:tr>
      <w:tr>
        <w:trPr>
          <w:cantSplit/>
        </w:trPr>
        <w:tc>
          <w:tcPr>
            <w:tcW w:type="dxa" w:w="4535"/>
            <w:tcMar>
              <w:top w:w="80" w:type="dxa"/>
              <w:start w:w="90" w:type="dxa"/>
              <w:bottom w:w="80" w:type="dxa"/>
              <w:end w:w="90" w:type="dxa"/>
            </w:tcMar>
            <w:vAlign w:val="top"/>
          </w:tcPr>
          <w:p>
            <w:pPr>
              <w:spacing w:after="0"/>
            </w:pPr>
            <w:r>
              <w:rPr>
                <w:rFonts w:ascii="Liberation Sans" w:hAnsi="Liberation Sans" w:eastAsia="Liberation Sans"/>
                <w:color w:val="1F2937"/>
                <w:sz w:val="16"/>
              </w:rPr>
              <w:t>Requirements coverage</w:t>
            </w:r>
          </w:p>
        </w:tc>
        <w:tc>
          <w:tcPr>
            <w:tcW w:type="dxa" w:w="4535"/>
            <w:tcMar>
              <w:top w:w="80" w:type="dxa"/>
              <w:start w:w="90" w:type="dxa"/>
              <w:bottom w:w="80" w:type="dxa"/>
              <w:end w:w="90" w:type="dxa"/>
            </w:tcMar>
            <w:vAlign w:val="top"/>
          </w:tcPr>
          <w:p>
            <w:pPr>
              <w:spacing w:after="0"/>
            </w:pPr>
            <w:r>
              <w:rPr>
                <w:rFonts w:ascii="Liberation Sans" w:hAnsi="Liberation Sans" w:eastAsia="Liberation Sans"/>
                <w:color w:val="1F2937"/>
                <w:sz w:val="16"/>
              </w:rPr>
              <w:t>Complete for the supplied V1 brief</w:t>
            </w:r>
          </w:p>
        </w:tc>
      </w:tr>
      <w:tr>
        <w:trPr>
          <w:cantSplit/>
        </w:trPr>
        <w:tc>
          <w:tcPr>
            <w:tcW w:type="dxa" w:w="4535"/>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Operating/domain model</w:t>
            </w:r>
          </w:p>
        </w:tc>
        <w:tc>
          <w:tcPr>
            <w:tcW w:type="dxa" w:w="4535"/>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Locked</w:t>
            </w:r>
          </w:p>
        </w:tc>
      </w:tr>
      <w:tr>
        <w:trPr>
          <w:cantSplit/>
        </w:trPr>
        <w:tc>
          <w:tcPr>
            <w:tcW w:type="dxa" w:w="4535"/>
            <w:tcMar>
              <w:top w:w="80" w:type="dxa"/>
              <w:start w:w="90" w:type="dxa"/>
              <w:bottom w:w="80" w:type="dxa"/>
              <w:end w:w="90" w:type="dxa"/>
            </w:tcMar>
            <w:vAlign w:val="top"/>
          </w:tcPr>
          <w:p>
            <w:pPr>
              <w:spacing w:after="0"/>
            </w:pPr>
            <w:r>
              <w:rPr>
                <w:rFonts w:ascii="Liberation Sans" w:hAnsi="Liberation Sans" w:eastAsia="Liberation Sans"/>
                <w:color w:val="1F2937"/>
                <w:sz w:val="16"/>
              </w:rPr>
              <w:t>ERD / aggregate boundaries / ledgers</w:t>
            </w:r>
          </w:p>
        </w:tc>
        <w:tc>
          <w:tcPr>
            <w:tcW w:type="dxa" w:w="4535"/>
            <w:tcMar>
              <w:top w:w="80" w:type="dxa"/>
              <w:start w:w="90" w:type="dxa"/>
              <w:bottom w:w="80" w:type="dxa"/>
              <w:end w:w="90" w:type="dxa"/>
            </w:tcMar>
            <w:vAlign w:val="top"/>
          </w:tcPr>
          <w:p>
            <w:pPr>
              <w:spacing w:after="0"/>
            </w:pPr>
            <w:r>
              <w:rPr>
                <w:rFonts w:ascii="Liberation Sans" w:hAnsi="Liberation Sans" w:eastAsia="Liberation Sans"/>
                <w:color w:val="1F2937"/>
                <w:sz w:val="16"/>
              </w:rPr>
              <w:t>Locked at logical level</w:t>
            </w:r>
          </w:p>
        </w:tc>
      </w:tr>
      <w:tr>
        <w:trPr>
          <w:cantSplit/>
        </w:trPr>
        <w:tc>
          <w:tcPr>
            <w:tcW w:type="dxa" w:w="4535"/>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State machines / named commands</w:t>
            </w:r>
          </w:p>
        </w:tc>
        <w:tc>
          <w:tcPr>
            <w:tcW w:type="dxa" w:w="4535"/>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Locked</w:t>
            </w:r>
          </w:p>
        </w:tc>
      </w:tr>
      <w:tr>
        <w:trPr>
          <w:cantSplit/>
        </w:trPr>
        <w:tc>
          <w:tcPr>
            <w:tcW w:type="dxa" w:w="4535"/>
            <w:tcMar>
              <w:top w:w="80" w:type="dxa"/>
              <w:start w:w="90" w:type="dxa"/>
              <w:bottom w:w="80" w:type="dxa"/>
              <w:end w:w="90" w:type="dxa"/>
            </w:tcMar>
            <w:vAlign w:val="top"/>
          </w:tcPr>
          <w:p>
            <w:pPr>
              <w:spacing w:after="0"/>
            </w:pPr>
            <w:r>
              <w:rPr>
                <w:rFonts w:ascii="Liberation Sans" w:hAnsi="Liberation Sans" w:eastAsia="Liberation Sans"/>
                <w:color w:val="1F2937"/>
                <w:sz w:val="16"/>
              </w:rPr>
              <w:t>Roles / permissions / approval philosophy</w:t>
            </w:r>
          </w:p>
        </w:tc>
        <w:tc>
          <w:tcPr>
            <w:tcW w:type="dxa" w:w="4535"/>
            <w:tcMar>
              <w:top w:w="80" w:type="dxa"/>
              <w:start w:w="90" w:type="dxa"/>
              <w:bottom w:w="80" w:type="dxa"/>
              <w:end w:w="90" w:type="dxa"/>
            </w:tcMar>
            <w:vAlign w:val="top"/>
          </w:tcPr>
          <w:p>
            <w:pPr>
              <w:spacing w:after="0"/>
            </w:pPr>
            <w:r>
              <w:rPr>
                <w:rFonts w:ascii="Liberation Sans" w:hAnsi="Liberation Sans" w:eastAsia="Liberation Sans"/>
                <w:color w:val="1F2937"/>
                <w:sz w:val="16"/>
              </w:rPr>
              <w:t>Locked; business thresholds configurable</w:t>
            </w:r>
          </w:p>
        </w:tc>
      </w:tr>
      <w:tr>
        <w:trPr>
          <w:cantSplit/>
        </w:trPr>
        <w:tc>
          <w:tcPr>
            <w:tcW w:type="dxa" w:w="4535"/>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UX architecture / core screen families</w:t>
            </w:r>
          </w:p>
        </w:tc>
        <w:tc>
          <w:tcPr>
            <w:tcW w:type="dxa" w:w="4535"/>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Locked</w:t>
            </w:r>
          </w:p>
        </w:tc>
      </w:tr>
      <w:tr>
        <w:trPr>
          <w:cantSplit/>
        </w:trPr>
        <w:tc>
          <w:tcPr>
            <w:tcW w:type="dxa" w:w="4535"/>
            <w:tcMar>
              <w:top w:w="80" w:type="dxa"/>
              <w:start w:w="90" w:type="dxa"/>
              <w:bottom w:w="80" w:type="dxa"/>
              <w:end w:w="90" w:type="dxa"/>
            </w:tcMar>
            <w:vAlign w:val="top"/>
          </w:tcPr>
          <w:p>
            <w:pPr>
              <w:spacing w:after="0"/>
            </w:pPr>
            <w:r>
              <w:rPr>
                <w:rFonts w:ascii="Liberation Sans" w:hAnsi="Liberation Sans" w:eastAsia="Liberation Sans"/>
                <w:color w:val="1F2937"/>
                <w:sz w:val="16"/>
              </w:rPr>
              <w:t>Security / tenant isolation / audit</w:t>
            </w:r>
          </w:p>
        </w:tc>
        <w:tc>
          <w:tcPr>
            <w:tcW w:type="dxa" w:w="4535"/>
            <w:tcMar>
              <w:top w:w="80" w:type="dxa"/>
              <w:start w:w="90" w:type="dxa"/>
              <w:bottom w:w="80" w:type="dxa"/>
              <w:end w:w="90" w:type="dxa"/>
            </w:tcMar>
            <w:vAlign w:val="top"/>
          </w:tcPr>
          <w:p>
            <w:pPr>
              <w:spacing w:after="0"/>
            </w:pPr>
            <w:r>
              <w:rPr>
                <w:rFonts w:ascii="Liberation Sans" w:hAnsi="Liberation Sans" w:eastAsia="Liberation Sans"/>
                <w:color w:val="1F2937"/>
                <w:sz w:val="16"/>
              </w:rPr>
              <w:t>Locked</w:t>
            </w:r>
          </w:p>
        </w:tc>
      </w:tr>
      <w:tr>
        <w:trPr>
          <w:cantSplit/>
        </w:trPr>
        <w:tc>
          <w:tcPr>
            <w:tcW w:type="dxa" w:w="4535"/>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Engineering architecture / stack</w:t>
            </w:r>
          </w:p>
        </w:tc>
        <w:tc>
          <w:tcPr>
            <w:tcW w:type="dxa" w:w="4535"/>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Locked for implementation planning</w:t>
            </w:r>
          </w:p>
        </w:tc>
      </w:tr>
      <w:tr>
        <w:trPr>
          <w:cantSplit/>
        </w:trPr>
        <w:tc>
          <w:tcPr>
            <w:tcW w:type="dxa" w:w="4535"/>
            <w:tcMar>
              <w:top w:w="80" w:type="dxa"/>
              <w:start w:w="90" w:type="dxa"/>
              <w:bottom w:w="80" w:type="dxa"/>
              <w:end w:w="90" w:type="dxa"/>
            </w:tcMar>
            <w:vAlign w:val="top"/>
          </w:tcPr>
          <w:p>
            <w:pPr>
              <w:spacing w:after="0"/>
            </w:pPr>
            <w:r>
              <w:rPr>
                <w:rFonts w:ascii="Liberation Sans" w:hAnsi="Liberation Sans" w:eastAsia="Liberation Sans"/>
                <w:color w:val="1F2937"/>
                <w:sz w:val="16"/>
              </w:rPr>
              <w:t>Onboarding forms / opening-position model</w:t>
            </w:r>
          </w:p>
        </w:tc>
        <w:tc>
          <w:tcPr>
            <w:tcW w:type="dxa" w:w="4535"/>
            <w:tcMar>
              <w:top w:w="80" w:type="dxa"/>
              <w:start w:w="90" w:type="dxa"/>
              <w:bottom w:w="80" w:type="dxa"/>
              <w:end w:w="90" w:type="dxa"/>
            </w:tcMar>
            <w:vAlign w:val="top"/>
          </w:tcPr>
          <w:p>
            <w:pPr>
              <w:spacing w:after="0"/>
            </w:pPr>
            <w:r>
              <w:rPr>
                <w:rFonts w:ascii="Liberation Sans" w:hAnsi="Liberation Sans" w:eastAsia="Liberation Sans"/>
                <w:color w:val="1F2937"/>
                <w:sz w:val="16"/>
              </w:rPr>
              <w:t>Defined</w:t>
            </w:r>
          </w:p>
        </w:tc>
      </w:tr>
      <w:tr>
        <w:trPr>
          <w:cantSplit/>
        </w:trPr>
        <w:tc>
          <w:tcPr>
            <w:tcW w:type="dxa" w:w="4535"/>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Pilot / rollout plan</w:t>
            </w:r>
          </w:p>
        </w:tc>
        <w:tc>
          <w:tcPr>
            <w:tcW w:type="dxa" w:w="4535"/>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Defined</w:t>
            </w:r>
          </w:p>
        </w:tc>
      </w:tr>
    </w:tbl>
    <w:p>
      <w:pPr>
        <w:spacing w:after="40"/>
      </w:pPr>
    </w:p>
    <w:p>
      <w:pPr>
        <w:pStyle w:val="Heading2"/>
        <w:keepNext/>
        <w:spacing w:before="120" w:after="80"/>
      </w:pPr>
      <w:r>
        <w:rPr>
          <w:rFonts w:ascii="Liberation Sans" w:hAnsi="Liberation Sans" w:eastAsia="Liberation Sans"/>
          <w:b/>
          <w:color w:val="17324D"/>
          <w:sz w:val="27"/>
        </w:rPr>
        <w:t>21.2 Implementation Guardrails</w:t>
      </w:r>
    </w:p>
    <w:p>
      <w:pPr>
        <w:pStyle w:val="ListBullet"/>
        <w:spacing w:after="30" w:line="247" w:lineRule="auto"/>
        <w:ind w:left="255" w:hanging="113"/>
      </w:pPr>
      <w:r>
        <w:rPr>
          <w:rFonts w:ascii="Liberation Sans" w:hAnsi="Liberation Sans" w:eastAsia="Liberation Sans"/>
          <w:color w:val="1F2937"/>
          <w:sz w:val="18"/>
        </w:rPr>
        <w:t>A developer may change a physical index name, component implementation or internal code organization detail when reasonable, but may not silently reinterpret the business model.</w:t>
      </w:r>
    </w:p>
    <w:p>
      <w:pPr>
        <w:pStyle w:val="ListBullet"/>
        <w:spacing w:after="30" w:line="247" w:lineRule="auto"/>
        <w:ind w:left="255" w:hanging="113"/>
      </w:pPr>
      <w:r>
        <w:rPr>
          <w:rFonts w:ascii="Liberation Sans" w:hAnsi="Liberation Sans" w:eastAsia="Liberation Sans"/>
          <w:color w:val="1F2937"/>
          <w:sz w:val="18"/>
        </w:rPr>
        <w:t>Any proposed change that weakens tenant isolation, immutable posting, cash/fuel conservation, approval versioning or source-of-truth boundaries requires explicit architecture review.</w:t>
      </w:r>
    </w:p>
    <w:p>
      <w:pPr>
        <w:pStyle w:val="ListBullet"/>
        <w:spacing w:after="30" w:line="247" w:lineRule="auto"/>
        <w:ind w:left="255" w:hanging="113"/>
      </w:pPr>
      <w:r>
        <w:rPr>
          <w:rFonts w:ascii="Liberation Sans" w:hAnsi="Liberation Sans" w:eastAsia="Liberation Sans"/>
          <w:color w:val="1F2937"/>
          <w:sz w:val="18"/>
        </w:rPr>
        <w:t>When a real-world onboarding fact is missing, add/configure the data later; do not hard-code guesses into the domain model.</w:t>
      </w:r>
    </w:p>
    <w:p>
      <w:pPr>
        <w:pStyle w:val="Heading2"/>
        <w:keepNext/>
        <w:spacing w:before="120" w:after="80"/>
      </w:pPr>
      <w:r>
        <w:rPr>
          <w:rFonts w:ascii="Liberation Sans" w:hAnsi="Liberation Sans" w:eastAsia="Liberation Sans"/>
          <w:b/>
          <w:color w:val="17324D"/>
          <w:sz w:val="27"/>
        </w:rPr>
        <w:t>21.3 Immediate Next Engineering Artifact</w:t>
      </w:r>
    </w:p>
    <w:p>
      <w:pPr>
        <w:spacing w:after="100" w:line="259" w:lineRule="auto"/>
      </w:pPr>
      <w:r>
        <w:rPr>
          <w:rFonts w:ascii="Liberation Sans" w:hAnsi="Liberation Sans" w:eastAsia="Liberation Sans"/>
          <w:color w:val="1F2937"/>
          <w:sz w:val="18"/>
        </w:rPr>
        <w:t>After this blueprint, perform the Developer Readiness Review and convert the locked design into exact repository/module conventions, permission-code catalogue, route map, command/query contracts, Drizzle schema/migration sequence, RLS test matrix, seed data, environment-variable register, CI gates and an implementation backlog/ticket dependency graph.</w:t>
      </w:r>
    </w:p>
    <w:p>
      <w:pPr>
        <w:pStyle w:val="Heading1"/>
        <w:keepNext/>
        <w:spacing w:before="180" w:after="80"/>
      </w:pPr>
      <w:r>
        <w:rPr>
          <w:rFonts w:ascii="Liberation Sans" w:hAnsi="Liberation Sans" w:eastAsia="Liberation Sans"/>
          <w:b/>
          <w:color w:val="17324D"/>
          <w:sz w:val="36"/>
        </w:rPr>
        <w:t>Appendix A. Core Aggregate Roots</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154"/>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Domain</w:t>
            </w:r>
          </w:p>
        </w:tc>
        <w:tc>
          <w:tcPr>
            <w:tcW w:type="dxa" w:w="6917"/>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Aggregate roots / major entities</w:t>
            </w:r>
          </w:p>
        </w:tc>
      </w:tr>
      <w:tr>
        <w:trPr>
          <w:cantSplit/>
        </w:trPr>
        <w:tc>
          <w:tcPr>
            <w:tcW w:type="dxa" w:w="2154"/>
            <w:tcMar>
              <w:top w:w="80" w:type="dxa"/>
              <w:start w:w="90" w:type="dxa"/>
              <w:bottom w:w="80" w:type="dxa"/>
              <w:end w:w="90" w:type="dxa"/>
            </w:tcMar>
            <w:vAlign w:val="top"/>
          </w:tcPr>
          <w:p>
            <w:pPr>
              <w:spacing w:after="0"/>
            </w:pPr>
            <w:r>
              <w:rPr>
                <w:rFonts w:ascii="Liberation Sans" w:hAnsi="Liberation Sans" w:eastAsia="Liberation Sans"/>
                <w:color w:val="1F2937"/>
                <w:sz w:val="16"/>
              </w:rPr>
              <w:t>Tenancy &amp; access</w:t>
            </w:r>
          </w:p>
        </w:tc>
        <w:tc>
          <w:tcPr>
            <w:tcW w:type="dxa" w:w="6917"/>
            <w:tcMar>
              <w:top w:w="80" w:type="dxa"/>
              <w:start w:w="90" w:type="dxa"/>
              <w:bottom w:w="80" w:type="dxa"/>
              <w:end w:w="90" w:type="dxa"/>
            </w:tcMar>
            <w:vAlign w:val="top"/>
          </w:tcPr>
          <w:p>
            <w:pPr>
              <w:spacing w:after="0"/>
            </w:pPr>
            <w:r>
              <w:rPr>
                <w:rFonts w:ascii="Liberation Sans" w:hAnsi="Liberation Sans" w:eastAsia="Liberation Sans"/>
                <w:color w:val="1F2937"/>
                <w:sz w:val="16"/>
              </w:rPr>
              <w:t>Tenant, Legal Entity, Tenant Membership, Role Assignment</w:t>
            </w:r>
          </w:p>
        </w:tc>
      </w:tr>
      <w:tr>
        <w:trPr>
          <w:cantSplit/>
        </w:trPr>
        <w:tc>
          <w:tcPr>
            <w:tcW w:type="dxa" w:w="2154"/>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Station operations</w:t>
            </w:r>
          </w:p>
        </w:tc>
        <w:tc>
          <w:tcPr>
            <w:tcW w:type="dxa" w:w="6917"/>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Station, Station Business Day, Shift, Meter Installation, Meter Segment, Selling Price Change</w:t>
            </w:r>
          </w:p>
        </w:tc>
      </w:tr>
      <w:tr>
        <w:trPr>
          <w:cantSplit/>
        </w:trPr>
        <w:tc>
          <w:tcPr>
            <w:tcW w:type="dxa" w:w="2154"/>
            <w:tcMar>
              <w:top w:w="80" w:type="dxa"/>
              <w:start w:w="90" w:type="dxa"/>
              <w:bottom w:w="80" w:type="dxa"/>
              <w:end w:w="90" w:type="dxa"/>
            </w:tcMar>
            <w:vAlign w:val="top"/>
          </w:tcPr>
          <w:p>
            <w:pPr>
              <w:spacing w:after="0"/>
            </w:pPr>
            <w:r>
              <w:rPr>
                <w:rFonts w:ascii="Liberation Sans" w:hAnsi="Liberation Sans" w:eastAsia="Liberation Sans"/>
                <w:color w:val="1F2937"/>
                <w:sz w:val="16"/>
              </w:rPr>
              <w:t>Inventory</w:t>
            </w:r>
          </w:p>
        </w:tc>
        <w:tc>
          <w:tcPr>
            <w:tcW w:type="dxa" w:w="6917"/>
            <w:tcMar>
              <w:top w:w="80" w:type="dxa"/>
              <w:start w:w="90" w:type="dxa"/>
              <w:bottom w:w="80" w:type="dxa"/>
              <w:end w:w="90" w:type="dxa"/>
            </w:tcMar>
            <w:vAlign w:val="top"/>
          </w:tcPr>
          <w:p>
            <w:pPr>
              <w:spacing w:after="0"/>
            </w:pPr>
            <w:r>
              <w:rPr>
                <w:rFonts w:ascii="Liberation Sans" w:hAnsi="Liberation Sans" w:eastAsia="Liberation Sans"/>
                <w:color w:val="1F2937"/>
                <w:sz w:val="16"/>
              </w:rPr>
              <w:t>Inventory Pool, Tank, Delivery, Inventory Adjustment, Inventory Transfer, Cost Adjustment/Revaluation</w:t>
            </w:r>
          </w:p>
        </w:tc>
      </w:tr>
      <w:tr>
        <w:trPr>
          <w:cantSplit/>
        </w:trPr>
        <w:tc>
          <w:tcPr>
            <w:tcW w:type="dxa" w:w="2154"/>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Money</w:t>
            </w:r>
          </w:p>
        </w:tc>
        <w:tc>
          <w:tcPr>
            <w:tcW w:type="dxa" w:w="6917"/>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Cash Handover, Cash Collection, Bank Deposit, Bank Account, Payment Channel, Provider Batch/Settlement</w:t>
            </w:r>
          </w:p>
        </w:tc>
      </w:tr>
      <w:tr>
        <w:trPr>
          <w:cantSplit/>
        </w:trPr>
        <w:tc>
          <w:tcPr>
            <w:tcW w:type="dxa" w:w="2154"/>
            <w:tcMar>
              <w:top w:w="80" w:type="dxa"/>
              <w:start w:w="90" w:type="dxa"/>
              <w:bottom w:w="80" w:type="dxa"/>
              <w:end w:w="90" w:type="dxa"/>
            </w:tcMar>
            <w:vAlign w:val="top"/>
          </w:tcPr>
          <w:p>
            <w:pPr>
              <w:spacing w:after="0"/>
            </w:pPr>
            <w:r>
              <w:rPr>
                <w:rFonts w:ascii="Liberation Sans" w:hAnsi="Liberation Sans" w:eastAsia="Liberation Sans"/>
                <w:color w:val="1F2937"/>
                <w:sz w:val="16"/>
              </w:rPr>
              <w:t>Suppliers</w:t>
            </w:r>
          </w:p>
        </w:tc>
        <w:tc>
          <w:tcPr>
            <w:tcW w:type="dxa" w:w="6917"/>
            <w:tcMar>
              <w:top w:w="80" w:type="dxa"/>
              <w:start w:w="90" w:type="dxa"/>
              <w:bottom w:w="80" w:type="dxa"/>
              <w:end w:w="90" w:type="dxa"/>
            </w:tcMar>
            <w:vAlign w:val="top"/>
          </w:tcPr>
          <w:p>
            <w:pPr>
              <w:spacing w:after="0"/>
            </w:pPr>
            <w:r>
              <w:rPr>
                <w:rFonts w:ascii="Liberation Sans" w:hAnsi="Liberation Sans" w:eastAsia="Liberation Sans"/>
                <w:color w:val="1F2937"/>
                <w:sz w:val="16"/>
              </w:rPr>
              <w:t>Supplier, Supplier Invoice, Supplier Payment, Supplier Credit Note</w:t>
            </w:r>
          </w:p>
        </w:tc>
      </w:tr>
      <w:tr>
        <w:trPr>
          <w:cantSplit/>
        </w:trPr>
        <w:tc>
          <w:tcPr>
            <w:tcW w:type="dxa" w:w="2154"/>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Customers</w:t>
            </w:r>
          </w:p>
        </w:tc>
        <w:tc>
          <w:tcPr>
            <w:tcW w:type="dxa" w:w="6917"/>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Customer, Customer Account, Fuel Authorization/Transaction, Customer Payment, Customer Invoice/Credit Note</w:t>
            </w:r>
          </w:p>
        </w:tc>
      </w:tr>
      <w:tr>
        <w:trPr>
          <w:cantSplit/>
        </w:trPr>
        <w:tc>
          <w:tcPr>
            <w:tcW w:type="dxa" w:w="2154"/>
            <w:tcMar>
              <w:top w:w="80" w:type="dxa"/>
              <w:start w:w="90" w:type="dxa"/>
              <w:bottom w:w="80" w:type="dxa"/>
              <w:end w:w="90" w:type="dxa"/>
            </w:tcMar>
            <w:vAlign w:val="top"/>
          </w:tcPr>
          <w:p>
            <w:pPr>
              <w:spacing w:after="0"/>
            </w:pPr>
            <w:r>
              <w:rPr>
                <w:rFonts w:ascii="Liberation Sans" w:hAnsi="Liberation Sans" w:eastAsia="Liberation Sans"/>
                <w:color w:val="1F2937"/>
                <w:sz w:val="16"/>
              </w:rPr>
              <w:t>Expenses</w:t>
            </w:r>
          </w:p>
        </w:tc>
        <w:tc>
          <w:tcPr>
            <w:tcW w:type="dxa" w:w="6917"/>
            <w:tcMar>
              <w:top w:w="80" w:type="dxa"/>
              <w:start w:w="90" w:type="dxa"/>
              <w:bottom w:w="80" w:type="dxa"/>
              <w:end w:w="90" w:type="dxa"/>
            </w:tcMar>
            <w:vAlign w:val="top"/>
          </w:tcPr>
          <w:p>
            <w:pPr>
              <w:spacing w:after="0"/>
            </w:pPr>
            <w:r>
              <w:rPr>
                <w:rFonts w:ascii="Liberation Sans" w:hAnsi="Liberation Sans" w:eastAsia="Liberation Sans"/>
                <w:color w:val="1F2937"/>
                <w:sz w:val="16"/>
              </w:rPr>
              <w:t>Expense, Recurring Cost Template/Period</w:t>
            </w:r>
          </w:p>
        </w:tc>
      </w:tr>
      <w:tr>
        <w:trPr>
          <w:cantSplit/>
        </w:trPr>
        <w:tc>
          <w:tcPr>
            <w:tcW w:type="dxa" w:w="2154"/>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Cross-cutting</w:t>
            </w:r>
          </w:p>
        </w:tc>
        <w:tc>
          <w:tcPr>
            <w:tcW w:type="dxa" w:w="6917"/>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Approval Request, Document, Business Exception, Report Run, Opening Position Batch</w:t>
            </w:r>
          </w:p>
        </w:tc>
      </w:tr>
    </w:tbl>
    <w:p>
      <w:pPr>
        <w:spacing w:after="40"/>
      </w:pPr>
    </w:p>
    <w:p>
      <w:pPr>
        <w:pStyle w:val="Heading1"/>
        <w:keepNext/>
        <w:spacing w:before="180" w:after="80"/>
      </w:pPr>
      <w:r>
        <w:rPr>
          <w:rFonts w:ascii="Liberation Sans" w:hAnsi="Liberation Sans" w:eastAsia="Liberation Sans"/>
          <w:b/>
          <w:color w:val="17324D"/>
          <w:sz w:val="36"/>
        </w:rPr>
        <w:t>Appendix B. Core Named Commands</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098"/>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5"/>
              </w:rPr>
              <w:t>Domain</w:t>
            </w:r>
          </w:p>
        </w:tc>
        <w:tc>
          <w:tcPr>
            <w:tcW w:type="dxa" w:w="6973"/>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5"/>
              </w:rPr>
              <w:t>Representative commands</w:t>
            </w:r>
          </w:p>
        </w:tc>
      </w:tr>
      <w:tr>
        <w:trPr>
          <w:cantSplit/>
        </w:trPr>
        <w:tc>
          <w:tcPr>
            <w:tcW w:type="dxa" w:w="2098"/>
            <w:tcMar>
              <w:top w:w="80" w:type="dxa"/>
              <w:start w:w="90" w:type="dxa"/>
              <w:bottom w:w="80" w:type="dxa"/>
              <w:end w:w="90" w:type="dxa"/>
            </w:tcMar>
            <w:vAlign w:val="top"/>
          </w:tcPr>
          <w:p>
            <w:pPr>
              <w:spacing w:after="0"/>
            </w:pPr>
            <w:r>
              <w:rPr>
                <w:rFonts w:ascii="Liberation Sans" w:hAnsi="Liberation Sans" w:eastAsia="Liberation Sans"/>
                <w:color w:val="1F2937"/>
                <w:sz w:val="15"/>
              </w:rPr>
              <w:t>Business day / shift</w:t>
            </w:r>
          </w:p>
        </w:tc>
        <w:tc>
          <w:tcPr>
            <w:tcW w:type="dxa" w:w="6973"/>
            <w:tcMar>
              <w:top w:w="80" w:type="dxa"/>
              <w:start w:w="90" w:type="dxa"/>
              <w:bottom w:w="80" w:type="dxa"/>
              <w:end w:w="90" w:type="dxa"/>
            </w:tcMar>
            <w:vAlign w:val="top"/>
          </w:tcPr>
          <w:p>
            <w:pPr>
              <w:spacing w:after="0"/>
            </w:pPr>
            <w:r>
              <w:rPr>
                <w:rFonts w:ascii="Liberation Sans" w:hAnsi="Liberation Sans" w:eastAsia="Liberation Sans"/>
                <w:color w:val="1F2937"/>
                <w:sz w:val="15"/>
              </w:rPr>
              <w:t>OpenBusinessDay, StartShift, CloseMeters, CompleteShift, MarkNotOperated, ExceptionalClose</w:t>
            </w:r>
          </w:p>
        </w:tc>
      </w:tr>
      <w:tr>
        <w:trPr>
          <w:cantSplit/>
        </w:trPr>
        <w:tc>
          <w:tcPr>
            <w:tcW w:type="dxa" w:w="2098"/>
            <w:tcMar>
              <w:top w:w="80" w:type="dxa"/>
              <w:start w:w="90" w:type="dxa"/>
              <w:bottom w:w="80" w:type="dxa"/>
              <w:end w:w="90" w:type="dxa"/>
            </w:tcMar>
            <w:vAlign w:val="top"/>
            <w:shd w:fill="F8FAFB"/>
          </w:tcPr>
          <w:p>
            <w:pPr>
              <w:spacing w:after="0"/>
            </w:pPr>
            <w:r>
              <w:rPr>
                <w:rFonts w:ascii="Liberation Sans" w:hAnsi="Liberation Sans" w:eastAsia="Liberation Sans"/>
                <w:color w:val="1F2937"/>
                <w:sz w:val="15"/>
              </w:rPr>
              <w:t>Meter / price</w:t>
            </w:r>
          </w:p>
        </w:tc>
        <w:tc>
          <w:tcPr>
            <w:tcW w:type="dxa" w:w="6973"/>
            <w:tcMar>
              <w:top w:w="80" w:type="dxa"/>
              <w:start w:w="90" w:type="dxa"/>
              <w:bottom w:w="80" w:type="dxa"/>
              <w:end w:w="90" w:type="dxa"/>
            </w:tcMar>
            <w:vAlign w:val="top"/>
            <w:shd w:fill="F8FAFB"/>
          </w:tcPr>
          <w:p>
            <w:pPr>
              <w:spacing w:after="0"/>
            </w:pPr>
            <w:r>
              <w:rPr>
                <w:rFonts w:ascii="Liberation Sans" w:hAnsi="Liberation Sans" w:eastAsia="Liberation Sans"/>
                <w:color w:val="1F2937"/>
                <w:sz w:val="15"/>
              </w:rPr>
              <w:t>ConfirmBoundary, SealSegment, RequestPriceChange, ActivatePriceChange, ReplaceMeter</w:t>
            </w:r>
          </w:p>
        </w:tc>
      </w:tr>
      <w:tr>
        <w:trPr>
          <w:cantSplit/>
        </w:trPr>
        <w:tc>
          <w:tcPr>
            <w:tcW w:type="dxa" w:w="2098"/>
            <w:tcMar>
              <w:top w:w="80" w:type="dxa"/>
              <w:start w:w="90" w:type="dxa"/>
              <w:bottom w:w="80" w:type="dxa"/>
              <w:end w:w="90" w:type="dxa"/>
            </w:tcMar>
            <w:vAlign w:val="top"/>
          </w:tcPr>
          <w:p>
            <w:pPr>
              <w:spacing w:after="0"/>
            </w:pPr>
            <w:r>
              <w:rPr>
                <w:rFonts w:ascii="Liberation Sans" w:hAnsi="Liberation Sans" w:eastAsia="Liberation Sans"/>
                <w:color w:val="1F2937"/>
                <w:sz w:val="15"/>
              </w:rPr>
              <w:t>Delivery / inventory</w:t>
            </w:r>
          </w:p>
        </w:tc>
        <w:tc>
          <w:tcPr>
            <w:tcW w:type="dxa" w:w="6973"/>
            <w:tcMar>
              <w:top w:w="80" w:type="dxa"/>
              <w:start w:w="90" w:type="dxa"/>
              <w:bottom w:w="80" w:type="dxa"/>
              <w:end w:w="90" w:type="dxa"/>
            </w:tcMar>
            <w:vAlign w:val="top"/>
          </w:tcPr>
          <w:p>
            <w:pPr>
              <w:spacing w:after="0"/>
            </w:pPr>
            <w:r>
              <w:rPr>
                <w:rFonts w:ascii="Liberation Sans" w:hAnsi="Liberation Sans" w:eastAsia="Liberation Sans"/>
                <w:color w:val="1F2937"/>
                <w:sz w:val="15"/>
              </w:rPr>
              <w:t>RecordArrival, BeginOffloading, ConfirmReceipt, PostDelivery, SubmitAdjustment, PostAdjustment, DispatchTransfer, ReceiveTransfer</w:t>
            </w:r>
          </w:p>
        </w:tc>
      </w:tr>
      <w:tr>
        <w:trPr>
          <w:cantSplit/>
        </w:trPr>
        <w:tc>
          <w:tcPr>
            <w:tcW w:type="dxa" w:w="2098"/>
            <w:tcMar>
              <w:top w:w="80" w:type="dxa"/>
              <w:start w:w="90" w:type="dxa"/>
              <w:bottom w:w="80" w:type="dxa"/>
              <w:end w:w="90" w:type="dxa"/>
            </w:tcMar>
            <w:vAlign w:val="top"/>
            <w:shd w:fill="F8FAFB"/>
          </w:tcPr>
          <w:p>
            <w:pPr>
              <w:spacing w:after="0"/>
            </w:pPr>
            <w:r>
              <w:rPr>
                <w:rFonts w:ascii="Liberation Sans" w:hAnsi="Liberation Sans" w:eastAsia="Liberation Sans"/>
                <w:color w:val="1F2937"/>
                <w:sz w:val="15"/>
              </w:rPr>
              <w:t>Reconciliation</w:t>
            </w:r>
          </w:p>
        </w:tc>
        <w:tc>
          <w:tcPr>
            <w:tcW w:type="dxa" w:w="6973"/>
            <w:tcMar>
              <w:top w:w="80" w:type="dxa"/>
              <w:start w:w="90" w:type="dxa"/>
              <w:bottom w:w="80" w:type="dxa"/>
              <w:end w:w="90" w:type="dxa"/>
            </w:tcMar>
            <w:vAlign w:val="top"/>
            <w:shd w:fill="F8FAFB"/>
          </w:tcPr>
          <w:p>
            <w:pPr>
              <w:spacing w:after="0"/>
            </w:pPr>
            <w:r>
              <w:rPr>
                <w:rFonts w:ascii="Liberation Sans" w:hAnsi="Liberation Sans" w:eastAsia="Liberation Sans"/>
                <w:color w:val="1F2937"/>
                <w:sz w:val="15"/>
              </w:rPr>
              <w:t>CalculateReconciliation, SubmitReconciliation, ReturnReconciliation, ApproveAndPostReconciliation, LockReconciliation</w:t>
            </w:r>
          </w:p>
        </w:tc>
      </w:tr>
      <w:tr>
        <w:trPr>
          <w:cantSplit/>
        </w:trPr>
        <w:tc>
          <w:tcPr>
            <w:tcW w:type="dxa" w:w="2098"/>
            <w:tcMar>
              <w:top w:w="80" w:type="dxa"/>
              <w:start w:w="90" w:type="dxa"/>
              <w:bottom w:w="80" w:type="dxa"/>
              <w:end w:w="90" w:type="dxa"/>
            </w:tcMar>
            <w:vAlign w:val="top"/>
          </w:tcPr>
          <w:p>
            <w:pPr>
              <w:spacing w:after="0"/>
            </w:pPr>
            <w:r>
              <w:rPr>
                <w:rFonts w:ascii="Liberation Sans" w:hAnsi="Liberation Sans" w:eastAsia="Liberation Sans"/>
                <w:color w:val="1F2937"/>
                <w:sz w:val="15"/>
              </w:rPr>
              <w:t>Cash / bank</w:t>
            </w:r>
          </w:p>
        </w:tc>
        <w:tc>
          <w:tcPr>
            <w:tcW w:type="dxa" w:w="6973"/>
            <w:tcMar>
              <w:top w:w="80" w:type="dxa"/>
              <w:start w:w="90" w:type="dxa"/>
              <w:bottom w:w="80" w:type="dxa"/>
              <w:end w:w="90" w:type="dxa"/>
            </w:tcMar>
            <w:vAlign w:val="top"/>
          </w:tcPr>
          <w:p>
            <w:pPr>
              <w:spacing w:after="0"/>
            </w:pPr>
            <w:r>
              <w:rPr>
                <w:rFonts w:ascii="Liberation Sans" w:hAnsi="Liberation Sans" w:eastAsia="Liberation Sans"/>
                <w:color w:val="1F2937"/>
                <w:sz w:val="15"/>
              </w:rPr>
              <w:t>CountCash, PrepareHandover, SenderConfirmHandover, ReceiverConfirmHandover, ResolveHandoverDispute, RecordDeposit, ConfirmBankReceipt</w:t>
            </w:r>
          </w:p>
        </w:tc>
      </w:tr>
      <w:tr>
        <w:trPr>
          <w:cantSplit/>
        </w:trPr>
        <w:tc>
          <w:tcPr>
            <w:tcW w:type="dxa" w:w="2098"/>
            <w:tcMar>
              <w:top w:w="80" w:type="dxa"/>
              <w:start w:w="90" w:type="dxa"/>
              <w:bottom w:w="80" w:type="dxa"/>
              <w:end w:w="90" w:type="dxa"/>
            </w:tcMar>
            <w:vAlign w:val="top"/>
            <w:shd w:fill="F8FAFB"/>
          </w:tcPr>
          <w:p>
            <w:pPr>
              <w:spacing w:after="0"/>
            </w:pPr>
            <w:r>
              <w:rPr>
                <w:rFonts w:ascii="Liberation Sans" w:hAnsi="Liberation Sans" w:eastAsia="Liberation Sans"/>
                <w:color w:val="1F2937"/>
                <w:sz w:val="15"/>
              </w:rPr>
              <w:t>Provider</w:t>
            </w:r>
          </w:p>
        </w:tc>
        <w:tc>
          <w:tcPr>
            <w:tcW w:type="dxa" w:w="6973"/>
            <w:tcMar>
              <w:top w:w="80" w:type="dxa"/>
              <w:start w:w="90" w:type="dxa"/>
              <w:bottom w:w="80" w:type="dxa"/>
              <w:end w:w="90" w:type="dxa"/>
            </w:tcMar>
            <w:vAlign w:val="top"/>
            <w:shd w:fill="F8FAFB"/>
          </w:tcPr>
          <w:p>
            <w:pPr>
              <w:spacing w:after="0"/>
            </w:pPr>
            <w:r>
              <w:rPr>
                <w:rFonts w:ascii="Liberation Sans" w:hAnsi="Liberation Sans" w:eastAsia="Liberation Sans"/>
                <w:color w:val="1F2937"/>
                <w:sz w:val="15"/>
              </w:rPr>
              <w:t>RecordProviderBatch, MatchProviderBatch, RecordProviderSettlement, ResolveSettlementDifference</w:t>
            </w:r>
          </w:p>
        </w:tc>
      </w:tr>
      <w:tr>
        <w:trPr>
          <w:cantSplit/>
        </w:trPr>
        <w:tc>
          <w:tcPr>
            <w:tcW w:type="dxa" w:w="2098"/>
            <w:tcMar>
              <w:top w:w="80" w:type="dxa"/>
              <w:start w:w="90" w:type="dxa"/>
              <w:bottom w:w="80" w:type="dxa"/>
              <w:end w:w="90" w:type="dxa"/>
            </w:tcMar>
            <w:vAlign w:val="top"/>
          </w:tcPr>
          <w:p>
            <w:pPr>
              <w:spacing w:after="0"/>
            </w:pPr>
            <w:r>
              <w:rPr>
                <w:rFonts w:ascii="Liberation Sans" w:hAnsi="Liberation Sans" w:eastAsia="Liberation Sans"/>
                <w:color w:val="1F2937"/>
                <w:sz w:val="15"/>
              </w:rPr>
              <w:t>Supplier</w:t>
            </w:r>
          </w:p>
        </w:tc>
        <w:tc>
          <w:tcPr>
            <w:tcW w:type="dxa" w:w="6973"/>
            <w:tcMar>
              <w:top w:w="80" w:type="dxa"/>
              <w:start w:w="90" w:type="dxa"/>
              <w:bottom w:w="80" w:type="dxa"/>
              <w:end w:w="90" w:type="dxa"/>
            </w:tcMar>
            <w:vAlign w:val="top"/>
          </w:tcPr>
          <w:p>
            <w:pPr>
              <w:spacing w:after="0"/>
            </w:pPr>
            <w:r>
              <w:rPr>
                <w:rFonts w:ascii="Liberation Sans" w:hAnsi="Liberation Sans" w:eastAsia="Liberation Sans"/>
                <w:color w:val="1F2937"/>
                <w:sz w:val="15"/>
              </w:rPr>
              <w:t>SubmitSupplierInvoice, PostSupplierInvoice, SubmitSupplierPayment, PostSupplierPayment, ReverseSupplierPayment</w:t>
            </w:r>
          </w:p>
        </w:tc>
      </w:tr>
      <w:tr>
        <w:trPr>
          <w:cantSplit/>
        </w:trPr>
        <w:tc>
          <w:tcPr>
            <w:tcW w:type="dxa" w:w="2098"/>
            <w:tcMar>
              <w:top w:w="80" w:type="dxa"/>
              <w:start w:w="90" w:type="dxa"/>
              <w:bottom w:w="80" w:type="dxa"/>
              <w:end w:w="90" w:type="dxa"/>
            </w:tcMar>
            <w:vAlign w:val="top"/>
            <w:shd w:fill="F8FAFB"/>
          </w:tcPr>
          <w:p>
            <w:pPr>
              <w:spacing w:after="0"/>
            </w:pPr>
            <w:r>
              <w:rPr>
                <w:rFonts w:ascii="Liberation Sans" w:hAnsi="Liberation Sans" w:eastAsia="Liberation Sans"/>
                <w:color w:val="1F2937"/>
                <w:sz w:val="15"/>
              </w:rPr>
              <w:t>Customer</w:t>
            </w:r>
          </w:p>
        </w:tc>
        <w:tc>
          <w:tcPr>
            <w:tcW w:type="dxa" w:w="6973"/>
            <w:tcMar>
              <w:top w:w="80" w:type="dxa"/>
              <w:start w:w="90" w:type="dxa"/>
              <w:bottom w:w="80" w:type="dxa"/>
              <w:end w:w="90" w:type="dxa"/>
            </w:tcMar>
            <w:vAlign w:val="top"/>
            <w:shd w:fill="F8FAFB"/>
          </w:tcPr>
          <w:p>
            <w:pPr>
              <w:spacing w:after="0"/>
            </w:pPr>
            <w:r>
              <w:rPr>
                <w:rFonts w:ascii="Liberation Sans" w:hAnsi="Liberation Sans" w:eastAsia="Liberation Sans"/>
                <w:color w:val="1F2937"/>
                <w:sz w:val="15"/>
              </w:rPr>
              <w:t>AuthorizeCustomerFuel, CompleteCustomerFuel, RecordCustomerPayment, PostCustomerPayment, GenerateCustomerInvoice</w:t>
            </w:r>
          </w:p>
        </w:tc>
      </w:tr>
      <w:tr>
        <w:trPr>
          <w:cantSplit/>
        </w:trPr>
        <w:tc>
          <w:tcPr>
            <w:tcW w:type="dxa" w:w="2098"/>
            <w:tcMar>
              <w:top w:w="80" w:type="dxa"/>
              <w:start w:w="90" w:type="dxa"/>
              <w:bottom w:w="80" w:type="dxa"/>
              <w:end w:w="90" w:type="dxa"/>
            </w:tcMar>
            <w:vAlign w:val="top"/>
          </w:tcPr>
          <w:p>
            <w:pPr>
              <w:spacing w:after="0"/>
            </w:pPr>
            <w:r>
              <w:rPr>
                <w:rFonts w:ascii="Liberation Sans" w:hAnsi="Liberation Sans" w:eastAsia="Liberation Sans"/>
                <w:color w:val="1F2937"/>
                <w:sz w:val="15"/>
              </w:rPr>
              <w:t>Expense</w:t>
            </w:r>
          </w:p>
        </w:tc>
        <w:tc>
          <w:tcPr>
            <w:tcW w:type="dxa" w:w="6973"/>
            <w:tcMar>
              <w:top w:w="80" w:type="dxa"/>
              <w:start w:w="90" w:type="dxa"/>
              <w:bottom w:w="80" w:type="dxa"/>
              <w:end w:w="90" w:type="dxa"/>
            </w:tcMar>
            <w:vAlign w:val="top"/>
          </w:tcPr>
          <w:p>
            <w:pPr>
              <w:spacing w:after="0"/>
            </w:pPr>
            <w:r>
              <w:rPr>
                <w:rFonts w:ascii="Liberation Sans" w:hAnsi="Liberation Sans" w:eastAsia="Liberation Sans"/>
                <w:color w:val="1F2937"/>
                <w:sz w:val="15"/>
              </w:rPr>
              <w:t>SubmitExpense, ApproveExpense, PostExpense, GenerateRecurringCostPeriod, RecognizeRecurringCost</w:t>
            </w:r>
          </w:p>
        </w:tc>
      </w:tr>
      <w:tr>
        <w:trPr>
          <w:cantSplit/>
        </w:trPr>
        <w:tc>
          <w:tcPr>
            <w:tcW w:type="dxa" w:w="2098"/>
            <w:tcMar>
              <w:top w:w="80" w:type="dxa"/>
              <w:start w:w="90" w:type="dxa"/>
              <w:bottom w:w="80" w:type="dxa"/>
              <w:end w:w="90" w:type="dxa"/>
            </w:tcMar>
            <w:vAlign w:val="top"/>
            <w:shd w:fill="F8FAFB"/>
          </w:tcPr>
          <w:p>
            <w:pPr>
              <w:spacing w:after="0"/>
            </w:pPr>
            <w:r>
              <w:rPr>
                <w:rFonts w:ascii="Liberation Sans" w:hAnsi="Liberation Sans" w:eastAsia="Liberation Sans"/>
                <w:color w:val="1F2937"/>
                <w:sz w:val="15"/>
              </w:rPr>
              <w:t>Cross-cutting</w:t>
            </w:r>
          </w:p>
        </w:tc>
        <w:tc>
          <w:tcPr>
            <w:tcW w:type="dxa" w:w="6973"/>
            <w:tcMar>
              <w:top w:w="80" w:type="dxa"/>
              <w:start w:w="90" w:type="dxa"/>
              <w:bottom w:w="80" w:type="dxa"/>
              <w:end w:w="90" w:type="dxa"/>
            </w:tcMar>
            <w:vAlign w:val="top"/>
            <w:shd w:fill="F8FAFB"/>
          </w:tcPr>
          <w:p>
            <w:pPr>
              <w:spacing w:after="0"/>
            </w:pPr>
            <w:r>
              <w:rPr>
                <w:rFonts w:ascii="Liberation Sans" w:hAnsi="Liberation Sans" w:eastAsia="Liberation Sans"/>
                <w:color w:val="1F2937"/>
                <w:sz w:val="15"/>
              </w:rPr>
              <w:t>CreateApprovalRequest, ApproveStep, ReturnForCorrection, ExecuteReversal, VerifyDocument, GenerateReport, PostOpeningPositionBatch</w:t>
            </w:r>
          </w:p>
        </w:tc>
      </w:tr>
    </w:tbl>
    <w:p>
      <w:pPr>
        <w:spacing w:after="40"/>
      </w:pPr>
    </w:p>
    <w:p>
      <w:pPr>
        <w:pStyle w:val="Heading1"/>
        <w:keepNext/>
        <w:spacing w:before="180" w:after="80"/>
      </w:pPr>
      <w:r>
        <w:rPr>
          <w:rFonts w:ascii="Liberation Sans" w:hAnsi="Liberation Sans" w:eastAsia="Liberation Sans"/>
          <w:b/>
          <w:color w:val="17324D"/>
          <w:sz w:val="36"/>
        </w:rPr>
        <w:t>Appendix C. Core Route / Screen Families</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154"/>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Area</w:t>
            </w:r>
          </w:p>
        </w:tc>
        <w:tc>
          <w:tcPr>
            <w:tcW w:type="dxa" w:w="6917"/>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Representative screens/routes</w:t>
            </w:r>
          </w:p>
        </w:tc>
      </w:tr>
      <w:tr>
        <w:trPr>
          <w:cantSplit/>
        </w:trPr>
        <w:tc>
          <w:tcPr>
            <w:tcW w:type="dxa" w:w="2154"/>
            <w:tcMar>
              <w:top w:w="80" w:type="dxa"/>
              <w:start w:w="90" w:type="dxa"/>
              <w:bottom w:w="80" w:type="dxa"/>
              <w:end w:w="90" w:type="dxa"/>
            </w:tcMar>
            <w:vAlign w:val="top"/>
          </w:tcPr>
          <w:p>
            <w:pPr>
              <w:spacing w:after="0"/>
            </w:pPr>
            <w:r>
              <w:rPr>
                <w:rFonts w:ascii="Liberation Sans" w:hAnsi="Liberation Sans" w:eastAsia="Liberation Sans"/>
                <w:color w:val="1F2937"/>
                <w:sz w:val="16"/>
              </w:rPr>
              <w:t>Home / actions</w:t>
            </w:r>
          </w:p>
        </w:tc>
        <w:tc>
          <w:tcPr>
            <w:tcW w:type="dxa" w:w="6917"/>
            <w:tcMar>
              <w:top w:w="80" w:type="dxa"/>
              <w:start w:w="90" w:type="dxa"/>
              <w:bottom w:w="80" w:type="dxa"/>
              <w:end w:w="90" w:type="dxa"/>
            </w:tcMar>
            <w:vAlign w:val="top"/>
          </w:tcPr>
          <w:p>
            <w:pPr>
              <w:spacing w:after="0"/>
            </w:pPr>
            <w:r>
              <w:rPr>
                <w:rFonts w:ascii="Liberation Sans" w:hAnsi="Liberation Sans" w:eastAsia="Liberation Sans"/>
                <w:color w:val="1F2937"/>
                <w:sz w:val="16"/>
              </w:rPr>
              <w:t>/app/home, /app/actions</w:t>
            </w:r>
          </w:p>
        </w:tc>
      </w:tr>
      <w:tr>
        <w:trPr>
          <w:cantSplit/>
        </w:trPr>
        <w:tc>
          <w:tcPr>
            <w:tcW w:type="dxa" w:w="2154"/>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Operations</w:t>
            </w:r>
          </w:p>
        </w:tc>
        <w:tc>
          <w:tcPr>
            <w:tcW w:type="dxa" w:w="6917"/>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/operations/today, business-days, shifts, deliveries, dips</w:t>
            </w:r>
          </w:p>
        </w:tc>
      </w:tr>
      <w:tr>
        <w:trPr>
          <w:cantSplit/>
        </w:trPr>
        <w:tc>
          <w:tcPr>
            <w:tcW w:type="dxa" w:w="2154"/>
            <w:tcMar>
              <w:top w:w="80" w:type="dxa"/>
              <w:start w:w="90" w:type="dxa"/>
              <w:bottom w:w="80" w:type="dxa"/>
              <w:end w:w="90" w:type="dxa"/>
            </w:tcMar>
            <w:vAlign w:val="top"/>
          </w:tcPr>
          <w:p>
            <w:pPr>
              <w:spacing w:after="0"/>
            </w:pPr>
            <w:r>
              <w:rPr>
                <w:rFonts w:ascii="Liberation Sans" w:hAnsi="Liberation Sans" w:eastAsia="Liberation Sans"/>
                <w:color w:val="1F2937"/>
                <w:sz w:val="16"/>
              </w:rPr>
              <w:t>Money</w:t>
            </w:r>
          </w:p>
        </w:tc>
        <w:tc>
          <w:tcPr>
            <w:tcW w:type="dxa" w:w="6917"/>
            <w:tcMar>
              <w:top w:w="80" w:type="dxa"/>
              <w:start w:w="90" w:type="dxa"/>
              <w:bottom w:w="80" w:type="dxa"/>
              <w:end w:w="90" w:type="dxa"/>
            </w:tcMar>
            <w:vAlign w:val="top"/>
          </w:tcPr>
          <w:p>
            <w:pPr>
              <w:spacing w:after="0"/>
            </w:pPr>
            <w:r>
              <w:rPr>
                <w:rFonts w:ascii="Liberation Sans" w:hAnsi="Liberation Sans" w:eastAsia="Liberation Sans"/>
                <w:color w:val="1F2937"/>
                <w:sz w:val="16"/>
              </w:rPr>
              <w:t>/money/cash, collections, deposits, settlements, bank</w:t>
            </w:r>
          </w:p>
        </w:tc>
      </w:tr>
      <w:tr>
        <w:trPr>
          <w:cantSplit/>
        </w:trPr>
        <w:tc>
          <w:tcPr>
            <w:tcW w:type="dxa" w:w="2154"/>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Inventory</w:t>
            </w:r>
          </w:p>
        </w:tc>
        <w:tc>
          <w:tcPr>
            <w:tcW w:type="dxa" w:w="6917"/>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/inventory/position, tanks, movements, transfers</w:t>
            </w:r>
          </w:p>
        </w:tc>
      </w:tr>
      <w:tr>
        <w:trPr>
          <w:cantSplit/>
        </w:trPr>
        <w:tc>
          <w:tcPr>
            <w:tcW w:type="dxa" w:w="2154"/>
            <w:tcMar>
              <w:top w:w="80" w:type="dxa"/>
              <w:start w:w="90" w:type="dxa"/>
              <w:bottom w:w="80" w:type="dxa"/>
              <w:end w:w="90" w:type="dxa"/>
            </w:tcMar>
            <w:vAlign w:val="top"/>
          </w:tcPr>
          <w:p>
            <w:pPr>
              <w:spacing w:after="0"/>
            </w:pPr>
            <w:r>
              <w:rPr>
                <w:rFonts w:ascii="Liberation Sans" w:hAnsi="Liberation Sans" w:eastAsia="Liberation Sans"/>
                <w:color w:val="1F2937"/>
                <w:sz w:val="16"/>
              </w:rPr>
              <w:t>Suppliers</w:t>
            </w:r>
          </w:p>
        </w:tc>
        <w:tc>
          <w:tcPr>
            <w:tcW w:type="dxa" w:w="6917"/>
            <w:tcMar>
              <w:top w:w="80" w:type="dxa"/>
              <w:start w:w="90" w:type="dxa"/>
              <w:bottom w:w="80" w:type="dxa"/>
              <w:end w:w="90" w:type="dxa"/>
            </w:tcMar>
            <w:vAlign w:val="top"/>
          </w:tcPr>
          <w:p>
            <w:pPr>
              <w:spacing w:after="0"/>
            </w:pPr>
            <w:r>
              <w:rPr>
                <w:rFonts w:ascii="Liberation Sans" w:hAnsi="Liberation Sans" w:eastAsia="Liberation Sans"/>
                <w:color w:val="1F2937"/>
                <w:sz w:val="16"/>
              </w:rPr>
              <w:t>/suppliers, invoices, payments</w:t>
            </w:r>
          </w:p>
        </w:tc>
      </w:tr>
      <w:tr>
        <w:trPr>
          <w:cantSplit/>
        </w:trPr>
        <w:tc>
          <w:tcPr>
            <w:tcW w:type="dxa" w:w="2154"/>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Customers</w:t>
            </w:r>
          </w:p>
        </w:tc>
        <w:tc>
          <w:tcPr>
            <w:tcW w:type="dxa" w:w="6917"/>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/customers, accounts, payments</w:t>
            </w:r>
          </w:p>
        </w:tc>
      </w:tr>
      <w:tr>
        <w:trPr>
          <w:cantSplit/>
        </w:trPr>
        <w:tc>
          <w:tcPr>
            <w:tcW w:type="dxa" w:w="2154"/>
            <w:tcMar>
              <w:top w:w="80" w:type="dxa"/>
              <w:start w:w="90" w:type="dxa"/>
              <w:bottom w:w="80" w:type="dxa"/>
              <w:end w:w="90" w:type="dxa"/>
            </w:tcMar>
            <w:vAlign w:val="top"/>
          </w:tcPr>
          <w:p>
            <w:pPr>
              <w:spacing w:after="0"/>
            </w:pPr>
            <w:r>
              <w:rPr>
                <w:rFonts w:ascii="Liberation Sans" w:hAnsi="Liberation Sans" w:eastAsia="Liberation Sans"/>
                <w:color w:val="1F2937"/>
                <w:sz w:val="16"/>
              </w:rPr>
              <w:t>Expenses</w:t>
            </w:r>
          </w:p>
        </w:tc>
        <w:tc>
          <w:tcPr>
            <w:tcW w:type="dxa" w:w="6917"/>
            <w:tcMar>
              <w:top w:w="80" w:type="dxa"/>
              <w:start w:w="90" w:type="dxa"/>
              <w:bottom w:w="80" w:type="dxa"/>
              <w:end w:w="90" w:type="dxa"/>
            </w:tcMar>
            <w:vAlign w:val="top"/>
          </w:tcPr>
          <w:p>
            <w:pPr>
              <w:spacing w:after="0"/>
            </w:pPr>
            <w:r>
              <w:rPr>
                <w:rFonts w:ascii="Liberation Sans" w:hAnsi="Liberation Sans" w:eastAsia="Liberation Sans"/>
                <w:color w:val="1F2937"/>
                <w:sz w:val="16"/>
              </w:rPr>
              <w:t>/expenses</w:t>
            </w:r>
          </w:p>
        </w:tc>
      </w:tr>
      <w:tr>
        <w:trPr>
          <w:cantSplit/>
        </w:trPr>
        <w:tc>
          <w:tcPr>
            <w:tcW w:type="dxa" w:w="2154"/>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Reports / audit</w:t>
            </w:r>
          </w:p>
        </w:tc>
        <w:tc>
          <w:tcPr>
            <w:tcW w:type="dxa" w:w="6917"/>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/reports, /audit</w:t>
            </w:r>
          </w:p>
        </w:tc>
      </w:tr>
      <w:tr>
        <w:trPr>
          <w:cantSplit/>
        </w:trPr>
        <w:tc>
          <w:tcPr>
            <w:tcW w:type="dxa" w:w="2154"/>
            <w:tcMar>
              <w:top w:w="80" w:type="dxa"/>
              <w:start w:w="90" w:type="dxa"/>
              <w:bottom w:w="80" w:type="dxa"/>
              <w:end w:w="90" w:type="dxa"/>
            </w:tcMar>
            <w:vAlign w:val="top"/>
          </w:tcPr>
          <w:p>
            <w:pPr>
              <w:spacing w:after="0"/>
            </w:pPr>
            <w:r>
              <w:rPr>
                <w:rFonts w:ascii="Liberation Sans" w:hAnsi="Liberation Sans" w:eastAsia="Liberation Sans"/>
                <w:color w:val="1F2937"/>
                <w:sz w:val="16"/>
              </w:rPr>
              <w:t>Settings</w:t>
            </w:r>
          </w:p>
        </w:tc>
        <w:tc>
          <w:tcPr>
            <w:tcW w:type="dxa" w:w="6917"/>
            <w:tcMar>
              <w:top w:w="80" w:type="dxa"/>
              <w:start w:w="90" w:type="dxa"/>
              <w:bottom w:w="80" w:type="dxa"/>
              <w:end w:w="90" w:type="dxa"/>
            </w:tcMar>
            <w:vAlign w:val="top"/>
          </w:tcPr>
          <w:p>
            <w:pPr>
              <w:spacing w:after="0"/>
            </w:pPr>
            <w:r>
              <w:rPr>
                <w:rFonts w:ascii="Liberation Sans" w:hAnsi="Liberation Sans" w:eastAsia="Liberation Sans"/>
                <w:color w:val="1F2937"/>
                <w:sz w:val="16"/>
              </w:rPr>
              <w:t>organisation, stations, shifts, products, pumps/nozzles, tanks, prices, banks, payment channels, users/roles, alerts</w:t>
            </w:r>
          </w:p>
        </w:tc>
      </w:tr>
    </w:tbl>
    <w:p>
      <w:pPr>
        <w:spacing w:after="40"/>
      </w:pPr>
    </w:p>
    <w:p>
      <w:pPr>
        <w:pStyle w:val="Heading1"/>
        <w:keepNext/>
        <w:spacing w:before="180" w:after="80"/>
      </w:pPr>
      <w:r>
        <w:rPr>
          <w:rFonts w:ascii="Liberation Sans" w:hAnsi="Liberation Sans" w:eastAsia="Liberation Sans"/>
          <w:b/>
          <w:color w:val="17324D"/>
          <w:sz w:val="36"/>
        </w:rPr>
        <w:t>Appendix D. Minimum Acceptance Scenarios</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551"/>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Scenario</w:t>
            </w:r>
          </w:p>
        </w:tc>
        <w:tc>
          <w:tcPr>
            <w:tcW w:type="dxa" w:w="6520"/>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Pass condition</w:t>
            </w:r>
          </w:p>
        </w:tc>
      </w:tr>
      <w:tr>
        <w:trPr>
          <w:cantSplit/>
        </w:trPr>
        <w:tc>
          <w:tcPr>
            <w:tcW w:type="dxa" w:w="2551"/>
            <w:tcMar>
              <w:top w:w="80" w:type="dxa"/>
              <w:start w:w="90" w:type="dxa"/>
              <w:bottom w:w="80" w:type="dxa"/>
              <w:end w:w="90" w:type="dxa"/>
            </w:tcMar>
            <w:vAlign w:val="top"/>
          </w:tcPr>
          <w:p>
            <w:pPr>
              <w:spacing w:after="0"/>
            </w:pPr>
            <w:r>
              <w:rPr>
                <w:rFonts w:ascii="Liberation Sans" w:hAnsi="Liberation Sans" w:eastAsia="Liberation Sans"/>
                <w:color w:val="1F2937"/>
                <w:sz w:val="16"/>
              </w:rPr>
              <w:t>Normal day</w:t>
            </w:r>
          </w:p>
        </w:tc>
        <w:tc>
          <w:tcPr>
            <w:tcW w:type="dxa" w:w="6520"/>
            <w:tcMar>
              <w:top w:w="80" w:type="dxa"/>
              <w:start w:w="90" w:type="dxa"/>
              <w:bottom w:w="80" w:type="dxa"/>
              <w:end w:w="90" w:type="dxa"/>
            </w:tcMar>
            <w:vAlign w:val="top"/>
          </w:tcPr>
          <w:p>
            <w:pPr>
              <w:spacing w:after="0"/>
            </w:pPr>
            <w:r>
              <w:rPr>
                <w:rFonts w:ascii="Liberation Sans" w:hAnsi="Liberation Sans" w:eastAsia="Liberation Sans"/>
                <w:color w:val="1F2937"/>
                <w:sz w:val="16"/>
              </w:rPr>
              <w:t>Shift meters → declarations → reconciliation → approval/post → stock/revenue/profit/cash classifications reconcile</w:t>
            </w:r>
          </w:p>
        </w:tc>
      </w:tr>
      <w:tr>
        <w:trPr>
          <w:cantSplit/>
        </w:trPr>
        <w:tc>
          <w:tcPr>
            <w:tcW w:type="dxa" w:w="2551"/>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Attendant handover</w:t>
            </w:r>
          </w:p>
        </w:tc>
        <w:tc>
          <w:tcPr>
            <w:tcW w:type="dxa" w:w="6520"/>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One shared boundary closes first responsibility and opens next with no duplicated/missing litres</w:t>
            </w:r>
          </w:p>
        </w:tc>
      </w:tr>
      <w:tr>
        <w:trPr>
          <w:cantSplit/>
        </w:trPr>
        <w:tc>
          <w:tcPr>
            <w:tcW w:type="dxa" w:w="2551"/>
            <w:tcMar>
              <w:top w:w="80" w:type="dxa"/>
              <w:start w:w="90" w:type="dxa"/>
              <w:bottom w:w="80" w:type="dxa"/>
              <w:end w:w="90" w:type="dxa"/>
            </w:tcMar>
            <w:vAlign w:val="top"/>
          </w:tcPr>
          <w:p>
            <w:pPr>
              <w:spacing w:after="0"/>
            </w:pPr>
            <w:r>
              <w:rPr>
                <w:rFonts w:ascii="Liberation Sans" w:hAnsi="Liberation Sans" w:eastAsia="Liberation Sans"/>
                <w:color w:val="1F2937"/>
                <w:sz w:val="16"/>
              </w:rPr>
              <w:t>Mid-shift price change</w:t>
            </w:r>
          </w:p>
        </w:tc>
        <w:tc>
          <w:tcPr>
            <w:tcW w:type="dxa" w:w="6520"/>
            <w:tcMar>
              <w:top w:w="80" w:type="dxa"/>
              <w:start w:w="90" w:type="dxa"/>
              <w:bottom w:w="80" w:type="dxa"/>
              <w:end w:w="90" w:type="dxa"/>
            </w:tcMar>
            <w:vAlign w:val="top"/>
          </w:tcPr>
          <w:p>
            <w:pPr>
              <w:spacing w:after="0"/>
            </w:pPr>
            <w:r>
              <w:rPr>
                <w:rFonts w:ascii="Liberation Sans" w:hAnsi="Liberation Sans" w:eastAsia="Liberation Sans"/>
                <w:color w:val="1F2937"/>
                <w:sz w:val="16"/>
              </w:rPr>
              <w:t>Old price remains until boundaries complete; segment values use correct prices</w:t>
            </w:r>
          </w:p>
        </w:tc>
      </w:tr>
      <w:tr>
        <w:trPr>
          <w:cantSplit/>
        </w:trPr>
        <w:tc>
          <w:tcPr>
            <w:tcW w:type="dxa" w:w="2551"/>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Delivery shortage</w:t>
            </w:r>
          </w:p>
        </w:tc>
        <w:tc>
          <w:tcPr>
            <w:tcW w:type="dxa" w:w="6520"/>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Delivery-note quantity differs from accepted quantity; stock uses accepted litres, supplier claim remains separate</w:t>
            </w:r>
          </w:p>
        </w:tc>
      </w:tr>
      <w:tr>
        <w:trPr>
          <w:cantSplit/>
        </w:trPr>
        <w:tc>
          <w:tcPr>
            <w:tcW w:type="dxa" w:w="2551"/>
            <w:tcMar>
              <w:top w:w="80" w:type="dxa"/>
              <w:start w:w="90" w:type="dxa"/>
              <w:bottom w:w="80" w:type="dxa"/>
              <w:end w:w="90" w:type="dxa"/>
            </w:tcMar>
            <w:vAlign w:val="top"/>
          </w:tcPr>
          <w:p>
            <w:pPr>
              <w:spacing w:after="0"/>
            </w:pPr>
            <w:r>
              <w:rPr>
                <w:rFonts w:ascii="Liberation Sans" w:hAnsi="Liberation Sans" w:eastAsia="Liberation Sans"/>
                <w:color w:val="1F2937"/>
                <w:sz w:val="16"/>
              </w:rPr>
              <w:t>Late transport cost</w:t>
            </w:r>
          </w:p>
        </w:tc>
        <w:tc>
          <w:tcPr>
            <w:tcW w:type="dxa" w:w="6520"/>
            <w:tcMar>
              <w:top w:w="80" w:type="dxa"/>
              <w:start w:w="90" w:type="dxa"/>
              <w:bottom w:w="80" w:type="dxa"/>
              <w:end w:w="90" w:type="dxa"/>
            </w:tcMar>
            <w:vAlign w:val="top"/>
          </w:tcPr>
          <w:p>
            <w:pPr>
              <w:spacing w:after="0"/>
            </w:pPr>
            <w:r>
              <w:rPr>
                <w:rFonts w:ascii="Liberation Sans" w:hAnsi="Liberation Sans" w:eastAsia="Liberation Sans"/>
                <w:color w:val="1F2937"/>
                <w:sz w:val="16"/>
              </w:rPr>
              <w:t>No original movement rewritten; remaining inventory and historical COGS revaluation split correctly</w:t>
            </w:r>
          </w:p>
        </w:tc>
      </w:tr>
      <w:tr>
        <w:trPr>
          <w:cantSplit/>
        </w:trPr>
        <w:tc>
          <w:tcPr>
            <w:tcW w:type="dxa" w:w="2551"/>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Cash dispute</w:t>
            </w:r>
          </w:p>
        </w:tc>
        <w:tc>
          <w:tcPr>
            <w:tcW w:type="dxa" w:w="6520"/>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Sender/receiver disagreement represented once across custody + dispute</w:t>
            </w:r>
          </w:p>
        </w:tc>
      </w:tr>
      <w:tr>
        <w:trPr>
          <w:cantSplit/>
        </w:trPr>
        <w:tc>
          <w:tcPr>
            <w:tcW w:type="dxa" w:w="2551"/>
            <w:tcMar>
              <w:top w:w="80" w:type="dxa"/>
              <w:start w:w="90" w:type="dxa"/>
              <w:bottom w:w="80" w:type="dxa"/>
              <w:end w:w="90" w:type="dxa"/>
            </w:tcMar>
            <w:vAlign w:val="top"/>
          </w:tcPr>
          <w:p>
            <w:pPr>
              <w:spacing w:after="0"/>
            </w:pPr>
            <w:r>
              <w:rPr>
                <w:rFonts w:ascii="Liberation Sans" w:hAnsi="Liberation Sans" w:eastAsia="Liberation Sans"/>
                <w:color w:val="1F2937"/>
                <w:sz w:val="16"/>
              </w:rPr>
              <w:t>Partial provider settlement</w:t>
            </w:r>
          </w:p>
        </w:tc>
        <w:tc>
          <w:tcPr>
            <w:tcW w:type="dxa" w:w="6520"/>
            <w:tcMar>
              <w:top w:w="80" w:type="dxa"/>
              <w:start w:w="90" w:type="dxa"/>
              <w:bottom w:w="80" w:type="dxa"/>
              <w:end w:w="90" w:type="dxa"/>
            </w:tcMar>
            <w:vAlign w:val="top"/>
          </w:tcPr>
          <w:p>
            <w:pPr>
              <w:spacing w:after="0"/>
            </w:pPr>
            <w:r>
              <w:rPr>
                <w:rFonts w:ascii="Liberation Sans" w:hAnsi="Liberation Sans" w:eastAsia="Liberation Sans"/>
                <w:color w:val="1F2937"/>
                <w:sz w:val="16"/>
              </w:rPr>
              <w:t>Outstanding provider balance and expected/actual settlement variance remain correct</w:t>
            </w:r>
          </w:p>
        </w:tc>
      </w:tr>
      <w:tr>
        <w:trPr>
          <w:cantSplit/>
        </w:trPr>
        <w:tc>
          <w:tcPr>
            <w:tcW w:type="dxa" w:w="2551"/>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Supplier payment reversal</w:t>
            </w:r>
          </w:p>
        </w:tc>
        <w:tc>
          <w:tcPr>
            <w:tcW w:type="dxa" w:w="6520"/>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Allocations reverse atomically and invoices reopen</w:t>
            </w:r>
          </w:p>
        </w:tc>
      </w:tr>
      <w:tr>
        <w:trPr>
          <w:cantSplit/>
        </w:trPr>
        <w:tc>
          <w:tcPr>
            <w:tcW w:type="dxa" w:w="2551"/>
            <w:tcMar>
              <w:top w:w="80" w:type="dxa"/>
              <w:start w:w="90" w:type="dxa"/>
              <w:bottom w:w="80" w:type="dxa"/>
              <w:end w:w="90" w:type="dxa"/>
            </w:tcMar>
            <w:vAlign w:val="top"/>
          </w:tcPr>
          <w:p>
            <w:pPr>
              <w:spacing w:after="0"/>
            </w:pPr>
            <w:r>
              <w:rPr>
                <w:rFonts w:ascii="Liberation Sans" w:hAnsi="Liberation Sans" w:eastAsia="Liberation Sans"/>
                <w:color w:val="1F2937"/>
                <w:sz w:val="16"/>
              </w:rPr>
              <w:t>Customer concurrent credit</w:t>
            </w:r>
          </w:p>
        </w:tc>
        <w:tc>
          <w:tcPr>
            <w:tcW w:type="dxa" w:w="6520"/>
            <w:tcMar>
              <w:top w:w="80" w:type="dxa"/>
              <w:start w:w="90" w:type="dxa"/>
              <w:bottom w:w="80" w:type="dxa"/>
              <w:end w:w="90" w:type="dxa"/>
            </w:tcMar>
            <w:vAlign w:val="top"/>
          </w:tcPr>
          <w:p>
            <w:pPr>
              <w:spacing w:after="0"/>
            </w:pPr>
            <w:r>
              <w:rPr>
                <w:rFonts w:ascii="Liberation Sans" w:hAnsi="Liberation Sans" w:eastAsia="Liberation Sans"/>
                <w:color w:val="1F2937"/>
                <w:sz w:val="16"/>
              </w:rPr>
              <w:t>Second authorization cannot exceed remaining available credit after first reservation</w:t>
            </w:r>
          </w:p>
        </w:tc>
      </w:tr>
      <w:tr>
        <w:trPr>
          <w:cantSplit/>
        </w:trPr>
        <w:tc>
          <w:tcPr>
            <w:tcW w:type="dxa" w:w="2551"/>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Prepaid litre draw</w:t>
            </w:r>
          </w:p>
        </w:tc>
        <w:tc>
          <w:tcPr>
            <w:tcW w:type="dxa" w:w="6520"/>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Only matching product balance is reduced; no silent product conversion</w:t>
            </w:r>
          </w:p>
        </w:tc>
      </w:tr>
      <w:tr>
        <w:trPr>
          <w:cantSplit/>
        </w:trPr>
        <w:tc>
          <w:tcPr>
            <w:tcW w:type="dxa" w:w="2551"/>
            <w:tcMar>
              <w:top w:w="80" w:type="dxa"/>
              <w:start w:w="90" w:type="dxa"/>
              <w:bottom w:w="80" w:type="dxa"/>
              <w:end w:w="90" w:type="dxa"/>
            </w:tcMar>
            <w:vAlign w:val="top"/>
          </w:tcPr>
          <w:p>
            <w:pPr>
              <w:spacing w:after="0"/>
            </w:pPr>
            <w:r>
              <w:rPr>
                <w:rFonts w:ascii="Liberation Sans" w:hAnsi="Liberation Sans" w:eastAsia="Liberation Sans"/>
                <w:color w:val="1F2937"/>
                <w:sz w:val="16"/>
              </w:rPr>
              <w:t>Tenant isolation</w:t>
            </w:r>
          </w:p>
        </w:tc>
        <w:tc>
          <w:tcPr>
            <w:tcW w:type="dxa" w:w="6520"/>
            <w:tcMar>
              <w:top w:w="80" w:type="dxa"/>
              <w:start w:w="90" w:type="dxa"/>
              <w:bottom w:w="80" w:type="dxa"/>
              <w:end w:w="90" w:type="dxa"/>
            </w:tcMar>
            <w:vAlign w:val="top"/>
          </w:tcPr>
          <w:p>
            <w:pPr>
              <w:spacing w:after="0"/>
            </w:pPr>
            <w:r>
              <w:rPr>
                <w:rFonts w:ascii="Liberation Sans" w:hAnsi="Liberation Sans" w:eastAsia="Liberation Sans"/>
                <w:color w:val="1F2937"/>
                <w:sz w:val="16"/>
              </w:rPr>
              <w:t>Tenant A cannot read/write/link/export Tenant B data through any application or job path</w:t>
            </w:r>
          </w:p>
        </w:tc>
      </w:tr>
      <w:tr>
        <w:trPr>
          <w:cantSplit/>
        </w:trPr>
        <w:tc>
          <w:tcPr>
            <w:tcW w:type="dxa" w:w="2551"/>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Report as-of</w:t>
            </w:r>
          </w:p>
        </w:tc>
        <w:tc>
          <w:tcPr>
            <w:tcW w:type="dxa" w:w="6520"/>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Later posted correction changes later as-of report without altering old artifact/checksum</w:t>
            </w:r>
          </w:p>
        </w:tc>
      </w:tr>
      <w:tr>
        <w:trPr>
          <w:cantSplit/>
        </w:trPr>
        <w:tc>
          <w:tcPr>
            <w:tcW w:type="dxa" w:w="2551"/>
            <w:tcMar>
              <w:top w:w="80" w:type="dxa"/>
              <w:start w:w="90" w:type="dxa"/>
              <w:bottom w:w="80" w:type="dxa"/>
              <w:end w:w="90" w:type="dxa"/>
            </w:tcMar>
            <w:vAlign w:val="top"/>
          </w:tcPr>
          <w:p>
            <w:pPr>
              <w:spacing w:after="0"/>
            </w:pPr>
            <w:r>
              <w:rPr>
                <w:rFonts w:ascii="Liberation Sans" w:hAnsi="Liberation Sans" w:eastAsia="Liberation Sans"/>
                <w:color w:val="1F2937"/>
                <w:sz w:val="16"/>
              </w:rPr>
              <w:t>Offline draft</w:t>
            </w:r>
          </w:p>
        </w:tc>
        <w:tc>
          <w:tcPr>
            <w:tcW w:type="dxa" w:w="6520"/>
            <w:tcMar>
              <w:top w:w="80" w:type="dxa"/>
              <w:start w:w="90" w:type="dxa"/>
              <w:bottom w:w="80" w:type="dxa"/>
              <w:end w:w="90" w:type="dxa"/>
            </w:tcMar>
            <w:vAlign w:val="top"/>
          </w:tcPr>
          <w:p>
            <w:pPr>
              <w:spacing w:after="0"/>
            </w:pPr>
            <w:r>
              <w:rPr>
                <w:rFonts w:ascii="Liberation Sans" w:hAnsi="Liberation Sans" w:eastAsia="Liberation Sans"/>
                <w:color w:val="1F2937"/>
                <w:sz w:val="16"/>
              </w:rPr>
              <w:t>Draft survives interruption; authoritative state stays unchanged until server submission</w:t>
            </w:r>
          </w:p>
        </w:tc>
      </w:tr>
      <w:tr>
        <w:trPr>
          <w:cantSplit/>
        </w:trPr>
        <w:tc>
          <w:tcPr>
            <w:tcW w:type="dxa" w:w="2551"/>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Opening cutover</w:t>
            </w:r>
          </w:p>
        </w:tc>
        <w:tc>
          <w:tcPr>
            <w:tcW w:type="dxa" w:w="6520"/>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Approved opening batch posts atomically across configured domains and becomes starting authoritative position</w:t>
            </w:r>
          </w:p>
        </w:tc>
      </w:tr>
    </w:tbl>
    <w:p>
      <w:pPr>
        <w:spacing w:after="40"/>
      </w:pPr>
    </w:p>
    <w:p>
      <w:pPr>
        <w:pStyle w:val="Heading1"/>
        <w:keepNext/>
        <w:spacing w:before="180" w:after="80"/>
      </w:pPr>
      <w:r>
        <w:rPr>
          <w:rFonts w:ascii="Liberation Sans" w:hAnsi="Liberation Sans" w:eastAsia="Liberation Sans"/>
          <w:b/>
          <w:color w:val="17324D"/>
          <w:sz w:val="36"/>
        </w:rPr>
        <w:t>Appendix E. Companion Artifacts</w:t>
      </w:r>
    </w:p>
    <w:p>
      <w:r>
        <w:t>This visual edition embeds the architecture/process diagrams and primary mobile/desktop wireframes directly in the DOCX so the blueprint can be reviewed without a separate diagram pack.</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3402"/>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Artifact</w:t>
            </w:r>
          </w:p>
        </w:tc>
        <w:tc>
          <w:tcPr>
            <w:tcW w:type="dxa" w:w="5669"/>
            <w:shd w:fill="17324D"/>
            <w:vAlign w:val="center"/>
            <w:tcMar>
              <w:top w:w="80" w:type="dxa"/>
              <w:start w:w="90" w:type="dxa"/>
              <w:bottom w:w="80" w:type="dxa"/>
              <w:end w:w="90" w:type="dxa"/>
            </w:tcMar>
          </w:tcPr>
          <w:p>
            <w:pPr>
              <w:spacing w:after="0"/>
            </w:pPr>
            <w:r>
              <w:rPr>
                <w:rFonts w:ascii="Liberation Sans" w:hAnsi="Liberation Sans" w:eastAsia="Liberation Sans"/>
                <w:b/>
                <w:color w:val="FFFFFF"/>
                <w:sz w:val="16"/>
              </w:rPr>
              <w:t>Purpose</w:t>
            </w:r>
          </w:p>
        </w:tc>
      </w:tr>
      <w:tr>
        <w:trPr>
          <w:cantSplit/>
        </w:trPr>
        <w:tc>
          <w:tcPr>
            <w:tcW w:type="dxa" w:w="3402"/>
            <w:tcMar>
              <w:top w:w="80" w:type="dxa"/>
              <w:start w:w="90" w:type="dxa"/>
              <w:bottom w:w="80" w:type="dxa"/>
              <w:end w:w="90" w:type="dxa"/>
            </w:tcMar>
            <w:vAlign w:val="top"/>
          </w:tcPr>
          <w:p>
            <w:pPr>
              <w:spacing w:after="0"/>
            </w:pPr>
            <w:r>
              <w:rPr>
                <w:rFonts w:ascii="Liberation Sans" w:hAnsi="Liberation Sans" w:eastAsia="Liberation Sans"/>
                <w:color w:val="1F2937"/>
                <w:sz w:val="16"/>
              </w:rPr>
              <w:t>Shanda Fuel Discovery, Setup &amp; Operational Forms Pack.xlsx</w:t>
            </w:r>
          </w:p>
        </w:tc>
        <w:tc>
          <w:tcPr>
            <w:tcW w:type="dxa" w:w="5669"/>
            <w:tcMar>
              <w:top w:w="80" w:type="dxa"/>
              <w:start w:w="90" w:type="dxa"/>
              <w:bottom w:w="80" w:type="dxa"/>
              <w:end w:w="90" w:type="dxa"/>
            </w:tcMar>
            <w:vAlign w:val="top"/>
          </w:tcPr>
          <w:p>
            <w:pPr>
              <w:spacing w:after="0"/>
            </w:pPr>
            <w:r>
              <w:rPr>
                <w:rFonts w:ascii="Liberation Sans" w:hAnsi="Liberation Sans" w:eastAsia="Liberation Sans"/>
                <w:color w:val="1F2937"/>
                <w:sz w:val="16"/>
              </w:rPr>
              <w:t>Capture real station master/setup data, opening positions, provisional policies and reference operational forms.</w:t>
            </w:r>
          </w:p>
        </w:tc>
      </w:tr>
      <w:tr>
        <w:trPr>
          <w:cantSplit/>
        </w:trPr>
        <w:tc>
          <w:tcPr>
            <w:tcW w:type="dxa" w:w="3402"/>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Master ERD / migration dependency map</w:t>
            </w:r>
          </w:p>
        </w:tc>
        <w:tc>
          <w:tcPr>
            <w:tcW w:type="dxa" w:w="5669"/>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Logical database ownership, cardinalities, RLS/security classes and migration ordering.</w:t>
            </w:r>
          </w:p>
        </w:tc>
      </w:tr>
      <w:tr>
        <w:trPr>
          <w:cantSplit/>
        </w:trPr>
        <w:tc>
          <w:tcPr>
            <w:tcW w:type="dxa" w:w="3402"/>
            <w:tcMar>
              <w:top w:w="80" w:type="dxa"/>
              <w:start w:w="90" w:type="dxa"/>
              <w:bottom w:w="80" w:type="dxa"/>
              <w:end w:w="90" w:type="dxa"/>
            </w:tcMar>
            <w:vAlign w:val="top"/>
          </w:tcPr>
          <w:p>
            <w:pPr>
              <w:spacing w:after="0"/>
            </w:pPr>
            <w:r>
              <w:rPr>
                <w:rFonts w:ascii="Liberation Sans" w:hAnsi="Liberation Sans" w:eastAsia="Liberation Sans"/>
                <w:color w:val="1F2937"/>
                <w:sz w:val="16"/>
              </w:rPr>
              <w:t>Master State-Machine Pack</w:t>
            </w:r>
          </w:p>
        </w:tc>
        <w:tc>
          <w:tcPr>
            <w:tcW w:type="dxa" w:w="5669"/>
            <w:tcMar>
              <w:top w:w="80" w:type="dxa"/>
              <w:start w:w="90" w:type="dxa"/>
              <w:bottom w:w="80" w:type="dxa"/>
              <w:end w:w="90" w:type="dxa"/>
            </w:tcMar>
            <w:vAlign w:val="top"/>
          </w:tcPr>
          <w:p>
            <w:pPr>
              <w:spacing w:after="0"/>
            </w:pPr>
            <w:r>
              <w:rPr>
                <w:rFonts w:ascii="Liberation Sans" w:hAnsi="Liberation Sans" w:eastAsia="Liberation Sans"/>
                <w:color w:val="1F2937"/>
                <w:sz w:val="16"/>
              </w:rPr>
              <w:t>Legal record transitions, commands, authority, conditions, effects and recovery routes.</w:t>
            </w:r>
          </w:p>
        </w:tc>
      </w:tr>
      <w:tr>
        <w:trPr>
          <w:cantSplit/>
        </w:trPr>
        <w:tc>
          <w:tcPr>
            <w:tcW w:type="dxa" w:w="3402"/>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Screen Architecture &amp; Wireframe Pack</w:t>
            </w:r>
          </w:p>
        </w:tc>
        <w:tc>
          <w:tcPr>
            <w:tcW w:type="dxa" w:w="5669"/>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Role-specific information architecture and critical workflow layouts.</w:t>
            </w:r>
          </w:p>
        </w:tc>
      </w:tr>
      <w:tr>
        <w:trPr>
          <w:cantSplit/>
        </w:trPr>
        <w:tc>
          <w:tcPr>
            <w:tcW w:type="dxa" w:w="3402"/>
            <w:tcMar>
              <w:top w:w="80" w:type="dxa"/>
              <w:start w:w="90" w:type="dxa"/>
              <w:bottom w:w="80" w:type="dxa"/>
              <w:end w:w="90" w:type="dxa"/>
            </w:tcMar>
            <w:vAlign w:val="top"/>
          </w:tcPr>
          <w:p>
            <w:pPr>
              <w:spacing w:after="0"/>
            </w:pPr>
            <w:r>
              <w:rPr>
                <w:rFonts w:ascii="Liberation Sans" w:hAnsi="Liberation Sans" w:eastAsia="Liberation Sans"/>
                <w:color w:val="1F2937"/>
                <w:sz w:val="16"/>
              </w:rPr>
              <w:t>Master Architecture Diagram Pack</w:t>
            </w:r>
          </w:p>
        </w:tc>
        <w:tc>
          <w:tcPr>
            <w:tcW w:type="dxa" w:w="5669"/>
            <w:tcMar>
              <w:top w:w="80" w:type="dxa"/>
              <w:start w:w="90" w:type="dxa"/>
              <w:bottom w:w="80" w:type="dxa"/>
              <w:end w:w="90" w:type="dxa"/>
            </w:tcMar>
            <w:vAlign w:val="top"/>
          </w:tcPr>
          <w:p>
            <w:pPr>
              <w:spacing w:after="0"/>
            </w:pPr>
            <w:r>
              <w:rPr>
                <w:rFonts w:ascii="Liberation Sans" w:hAnsi="Liberation Sans" w:eastAsia="Liberation Sans"/>
                <w:color w:val="1F2937"/>
                <w:sz w:val="16"/>
              </w:rPr>
              <w:t>System/deployment/security/data-flow/recovery architecture.</w:t>
            </w:r>
          </w:p>
        </w:tc>
      </w:tr>
      <w:tr>
        <w:trPr>
          <w:cantSplit/>
        </w:trPr>
        <w:tc>
          <w:tcPr>
            <w:tcW w:type="dxa" w:w="3402"/>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Requirements Traceability Matrix</w:t>
            </w:r>
          </w:p>
        </w:tc>
        <w:tc>
          <w:tcPr>
            <w:tcW w:type="dxa" w:w="5669"/>
            <w:tcMar>
              <w:top w:w="80" w:type="dxa"/>
              <w:start w:w="90" w:type="dxa"/>
              <w:bottom w:w="80" w:type="dxa"/>
              <w:end w:w="90" w:type="dxa"/>
            </w:tcMar>
            <w:vAlign w:val="top"/>
            <w:shd w:fill="F8FAFB"/>
          </w:tcPr>
          <w:p>
            <w:pPr>
              <w:spacing w:after="0"/>
            </w:pPr>
            <w:r>
              <w:rPr>
                <w:rFonts w:ascii="Liberation Sans" w:hAnsi="Liberation Sans" w:eastAsia="Liberation Sans"/>
                <w:color w:val="1F2937"/>
                <w:sz w:val="16"/>
              </w:rPr>
              <w:t>Requirement → design → module → workflow/data source → acceptance coverage.</w:t>
            </w:r>
          </w:p>
        </w:tc>
      </w:tr>
    </w:tbl>
    <w:p>
      <w:pPr>
        <w:spacing w:after="40"/>
      </w:pPr>
    </w:p>
    <w:p>
      <w:pPr>
        <w:sectPr>
          <w:headerReference w:type="default" r:id="rId9"/>
          <w:footerReference w:type="default" r:id="rId10"/>
          <w:pgSz w:w="11906" w:h="16838"/>
          <w:pgMar w:top="907" w:right="935" w:bottom="879" w:left="935" w:header="397" w:footer="397" w:gutter="0"/>
          <w:cols w:space="720"/>
          <w:docGrid w:linePitch="360"/>
        </w:sectPr>
      </w:pPr>
    </w:p>
    <w:p>
      <w:pPr>
        <w:pStyle w:val="Heading1"/>
      </w:pPr>
      <w:r>
        <w:t>Appendix F. V1 Mid-Fidelity Wireframe Pack</w:t>
      </w:r>
    </w:p>
    <w:p>
      <w:r>
        <w:t>This appendix embeds the complete screen-flow boards used for V1 implementation. It replaces the earlier conceptual mockup gallery as the authoritative UX reference. For easier UX review, the same material is also delivered as a standalone Wireframe Pack v1.2.</w:t>
      </w:r>
    </w:p>
    <w:p>
      <w:pPr>
        <w:spacing w:after="40"/>
        <w:jc w:val="center"/>
      </w:pPr>
      <w:r>
        <w:drawing>
          <wp:inline xmlns:a="http://schemas.openxmlformats.org/drawingml/2006/main" xmlns:pic="http://schemas.openxmlformats.org/drawingml/2006/picture">
            <wp:extent cx="8961120" cy="10075900"/>
            <wp:docPr id="12" name="Picture 12" descr="Wireframe board F.1: Authentication &amp; work context. Role: Identity &amp; tenancy." title="Wireframe board F.1: Authentication &amp; work context. Role: Identity &amp; tenancy."/>
            <wp:cNvGraphicFramePr>
              <a:graphicFrameLocks noChangeAspect="1"/>
            </wp:cNvGraphicFramePr>
            <a:graphic>
              <a:graphicData uri="http://schemas.openxmlformats.org/drawingml/2006/picture">
                <pic:pic>
                  <pic:nvPicPr>
                    <pic:cNvPr id="0" name="01_auth_context.png"/>
                    <pic:cNvPicPr/>
                  </pic:nvPicPr>
                  <pic:blipFill>
                    <a:blip r:embed="rId28"/>
                    <a:stretch>
                      <a:fillRect/>
                    </a:stretch>
                  </pic:blipFill>
                  <pic:spPr>
                    <a:xfrm>
                      <a:off x="0" y="0"/>
                      <a:ext cx="8961120" cy="10075900"/>
                    </a:xfrm>
                    <a:prstGeom prst="rect"/>
                  </pic:spPr>
                </pic:pic>
              </a:graphicData>
            </a:graphic>
          </wp:inline>
        </w:drawing>
      </w:r>
    </w:p>
    <w:p>
      <w:pPr>
        <w:pStyle w:val="Caption"/>
        <w:jc w:val="center"/>
      </w:pPr>
      <w:r>
        <w:t>Wireframe board F.1: Authentication &amp; work context. Role: Identity &amp; tenancy.</w:t>
      </w:r>
    </w:p>
    <w:p>
      <w:r>
        <w:br w:type="page"/>
      </w:r>
    </w:p>
    <w:p>
      <w:pPr>
        <w:spacing w:after="40"/>
        <w:jc w:val="center"/>
      </w:pPr>
      <w:r>
        <w:drawing>
          <wp:inline xmlns:a="http://schemas.openxmlformats.org/drawingml/2006/main" xmlns:pic="http://schemas.openxmlformats.org/drawingml/2006/picture">
            <wp:extent cx="8961120" cy="5372100"/>
            <wp:docPr id="13" name="Picture 13" descr="Wireframe board F.2: Attendant — account fuel. Role: Attendant." title="Wireframe board F.2: Attendant — account fuel. Role: Attendant."/>
            <wp:cNvGraphicFramePr>
              <a:graphicFrameLocks noChangeAspect="1"/>
            </wp:cNvGraphicFramePr>
            <a:graphic>
              <a:graphicData uri="http://schemas.openxmlformats.org/drawingml/2006/picture">
                <pic:pic>
                  <pic:nvPicPr>
                    <pic:cNvPr id="0" name="02_attendant_account.png"/>
                    <pic:cNvPicPr/>
                  </pic:nvPicPr>
                  <pic:blipFill>
                    <a:blip r:embed="rId29"/>
                    <a:stretch>
                      <a:fillRect/>
                    </a:stretch>
                  </pic:blipFill>
                  <pic:spPr>
                    <a:xfrm>
                      <a:off x="0" y="0"/>
                      <a:ext cx="8961120" cy="5372100"/>
                    </a:xfrm>
                    <a:prstGeom prst="rect"/>
                  </pic:spPr>
                </pic:pic>
              </a:graphicData>
            </a:graphic>
          </wp:inline>
        </w:drawing>
      </w:r>
    </w:p>
    <w:p>
      <w:pPr>
        <w:pStyle w:val="Caption"/>
        <w:jc w:val="center"/>
      </w:pPr>
      <w:r>
        <w:t>Wireframe board F.2: Attendant — account fuel. Role: Attendant.</w:t>
      </w:r>
    </w:p>
    <w:p>
      <w:r>
        <w:br w:type="page"/>
      </w:r>
    </w:p>
    <w:p>
      <w:pPr>
        <w:spacing w:after="40"/>
        <w:jc w:val="center"/>
      </w:pPr>
      <w:r>
        <w:drawing>
          <wp:inline xmlns:a="http://schemas.openxmlformats.org/drawingml/2006/main" xmlns:pic="http://schemas.openxmlformats.org/drawingml/2006/picture">
            <wp:extent cx="8961120" cy="10075900"/>
            <wp:docPr id="14" name="Picture 14" descr="Wireframe board F.3: Attendant — correction loop. Role: Attendant / Supervisor." title="Wireframe board F.3: Attendant — correction loop. Role: Attendant / Supervisor."/>
            <wp:cNvGraphicFramePr>
              <a:graphicFrameLocks noChangeAspect="1"/>
            </wp:cNvGraphicFramePr>
            <a:graphic>
              <a:graphicData uri="http://schemas.openxmlformats.org/drawingml/2006/picture">
                <pic:pic>
                  <pic:nvPicPr>
                    <pic:cNvPr id="0" name="03_attendant_correction.png"/>
                    <pic:cNvPicPr/>
                  </pic:nvPicPr>
                  <pic:blipFill>
                    <a:blip r:embed="rId30"/>
                    <a:stretch>
                      <a:fillRect/>
                    </a:stretch>
                  </pic:blipFill>
                  <pic:spPr>
                    <a:xfrm>
                      <a:off x="0" y="0"/>
                      <a:ext cx="8961120" cy="10075900"/>
                    </a:xfrm>
                    <a:prstGeom prst="rect"/>
                  </pic:spPr>
                </pic:pic>
              </a:graphicData>
            </a:graphic>
          </wp:inline>
        </w:drawing>
      </w:r>
    </w:p>
    <w:p>
      <w:pPr>
        <w:pStyle w:val="Caption"/>
        <w:jc w:val="center"/>
      </w:pPr>
      <w:r>
        <w:t>Wireframe board F.3: Attendant — correction loop. Role: Attendant / Supervisor.</w:t>
      </w:r>
    </w:p>
    <w:p>
      <w:r>
        <w:br w:type="page"/>
      </w:r>
    </w:p>
    <w:p>
      <w:pPr>
        <w:spacing w:after="40"/>
        <w:jc w:val="center"/>
      </w:pPr>
      <w:r>
        <w:drawing>
          <wp:inline xmlns:a="http://schemas.openxmlformats.org/drawingml/2006/main" xmlns:pic="http://schemas.openxmlformats.org/drawingml/2006/picture">
            <wp:extent cx="8961120" cy="5372100"/>
            <wp:docPr id="15" name="Picture 15" descr="Wireframe board F.4: Supervisor — start shift. Role: Supervisor." title="Wireframe board F.4: Supervisor — start shift. Role: Supervisor."/>
            <wp:cNvGraphicFramePr>
              <a:graphicFrameLocks noChangeAspect="1"/>
            </wp:cNvGraphicFramePr>
            <a:graphic>
              <a:graphicData uri="http://schemas.openxmlformats.org/drawingml/2006/picture">
                <pic:pic>
                  <pic:nvPicPr>
                    <pic:cNvPr id="0" name="04_supervisor_start.png"/>
                    <pic:cNvPicPr/>
                  </pic:nvPicPr>
                  <pic:blipFill>
                    <a:blip r:embed="rId25"/>
                    <a:stretch>
                      <a:fillRect/>
                    </a:stretch>
                  </pic:blipFill>
                  <pic:spPr>
                    <a:xfrm>
                      <a:off x="0" y="0"/>
                      <a:ext cx="8961120" cy="5372100"/>
                    </a:xfrm>
                    <a:prstGeom prst="rect"/>
                  </pic:spPr>
                </pic:pic>
              </a:graphicData>
            </a:graphic>
          </wp:inline>
        </w:drawing>
      </w:r>
    </w:p>
    <w:p>
      <w:pPr>
        <w:pStyle w:val="Caption"/>
        <w:jc w:val="center"/>
      </w:pPr>
      <w:r>
        <w:t>Wireframe board F.4: Supervisor — start shift. Role: Supervisor.</w:t>
      </w:r>
    </w:p>
    <w:p>
      <w:r>
        <w:br w:type="page"/>
      </w:r>
    </w:p>
    <w:p>
      <w:pPr>
        <w:spacing w:after="40"/>
        <w:jc w:val="center"/>
      </w:pPr>
      <w:r>
        <w:drawing>
          <wp:inline xmlns:a="http://schemas.openxmlformats.org/drawingml/2006/main" xmlns:pic="http://schemas.openxmlformats.org/drawingml/2006/picture">
            <wp:extent cx="8961120" cy="5372100"/>
            <wp:docPr id="16" name="Picture 16" descr="Wireframe board F.5: Supervisor — close &amp; reconcile. Role: Supervisor." title="Wireframe board F.5: Supervisor — close &amp; reconcile. Role: Supervisor."/>
            <wp:cNvGraphicFramePr>
              <a:graphicFrameLocks noChangeAspect="1"/>
            </wp:cNvGraphicFramePr>
            <a:graphic>
              <a:graphicData uri="http://schemas.openxmlformats.org/drawingml/2006/picture">
                <pic:pic>
                  <pic:nvPicPr>
                    <pic:cNvPr id="0" name="05_supervisor_close.png"/>
                    <pic:cNvPicPr/>
                  </pic:nvPicPr>
                  <pic:blipFill>
                    <a:blip r:embed="rId31"/>
                    <a:stretch>
                      <a:fillRect/>
                    </a:stretch>
                  </pic:blipFill>
                  <pic:spPr>
                    <a:xfrm>
                      <a:off x="0" y="0"/>
                      <a:ext cx="8961120" cy="5372100"/>
                    </a:xfrm>
                    <a:prstGeom prst="rect"/>
                  </pic:spPr>
                </pic:pic>
              </a:graphicData>
            </a:graphic>
          </wp:inline>
        </w:drawing>
      </w:r>
    </w:p>
    <w:p>
      <w:pPr>
        <w:pStyle w:val="Caption"/>
        <w:jc w:val="center"/>
      </w:pPr>
      <w:r>
        <w:t>Wireframe board F.5: Supervisor — close &amp; reconcile. Role: Supervisor.</w:t>
      </w:r>
    </w:p>
    <w:p>
      <w:r>
        <w:br w:type="page"/>
      </w:r>
    </w:p>
    <w:p>
      <w:pPr>
        <w:spacing w:after="40"/>
        <w:jc w:val="center"/>
      </w:pPr>
      <w:r>
        <w:drawing>
          <wp:inline xmlns:a="http://schemas.openxmlformats.org/drawingml/2006/main" xmlns:pic="http://schemas.openxmlformats.org/drawingml/2006/picture">
            <wp:extent cx="8961120" cy="7007865"/>
            <wp:docPr id="17" name="Picture 17" descr="Wireframe board F.6: Reconciliation — submit &amp; approval wait. Role: Supervisor / Management." title="Wireframe board F.6: Reconciliation — submit &amp; approval wait. Role: Supervisor / Management."/>
            <wp:cNvGraphicFramePr>
              <a:graphicFrameLocks noChangeAspect="1"/>
            </wp:cNvGraphicFramePr>
            <a:graphic>
              <a:graphicData uri="http://schemas.openxmlformats.org/drawingml/2006/picture">
                <pic:pic>
                  <pic:nvPicPr>
                    <pic:cNvPr id="0" name="06_reconciliation_submit.png"/>
                    <pic:cNvPicPr/>
                  </pic:nvPicPr>
                  <pic:blipFill>
                    <a:blip r:embed="rId32"/>
                    <a:stretch>
                      <a:fillRect/>
                    </a:stretch>
                  </pic:blipFill>
                  <pic:spPr>
                    <a:xfrm>
                      <a:off x="0" y="0"/>
                      <a:ext cx="8961120" cy="7007865"/>
                    </a:xfrm>
                    <a:prstGeom prst="rect"/>
                  </pic:spPr>
                </pic:pic>
              </a:graphicData>
            </a:graphic>
          </wp:inline>
        </w:drawing>
      </w:r>
    </w:p>
    <w:p>
      <w:pPr>
        <w:pStyle w:val="Caption"/>
        <w:jc w:val="center"/>
      </w:pPr>
      <w:r>
        <w:t>Wireframe board F.6: Reconciliation — submit &amp; approval wait. Role: Supervisor / Management.</w:t>
      </w:r>
    </w:p>
    <w:p>
      <w:r>
        <w:br w:type="page"/>
      </w:r>
    </w:p>
    <w:p>
      <w:pPr>
        <w:spacing w:after="40"/>
        <w:jc w:val="center"/>
      </w:pPr>
      <w:r>
        <w:drawing>
          <wp:inline xmlns:a="http://schemas.openxmlformats.org/drawingml/2006/main" xmlns:pic="http://schemas.openxmlformats.org/drawingml/2006/picture">
            <wp:extent cx="8961120" cy="5372100"/>
            <wp:docPr id="18" name="Picture 18" descr="Wireframe board F.7: Delivery — guided physical receipt. Role: Supervisor / Delivery Receiver." title="Wireframe board F.7: Delivery — guided physical receipt. Role: Supervisor / Delivery Receiver."/>
            <wp:cNvGraphicFramePr>
              <a:graphicFrameLocks noChangeAspect="1"/>
            </wp:cNvGraphicFramePr>
            <a:graphic>
              <a:graphicData uri="http://schemas.openxmlformats.org/drawingml/2006/picture">
                <pic:pic>
                  <pic:nvPicPr>
                    <pic:cNvPr id="0" name="07_delivery.png"/>
                    <pic:cNvPicPr/>
                  </pic:nvPicPr>
                  <pic:blipFill>
                    <a:blip r:embed="rId26"/>
                    <a:stretch>
                      <a:fillRect/>
                    </a:stretch>
                  </pic:blipFill>
                  <pic:spPr>
                    <a:xfrm>
                      <a:off x="0" y="0"/>
                      <a:ext cx="8961120" cy="5372100"/>
                    </a:xfrm>
                    <a:prstGeom prst="rect"/>
                  </pic:spPr>
                </pic:pic>
              </a:graphicData>
            </a:graphic>
          </wp:inline>
        </w:drawing>
      </w:r>
    </w:p>
    <w:p>
      <w:pPr>
        <w:pStyle w:val="Caption"/>
        <w:jc w:val="center"/>
      </w:pPr>
      <w:r>
        <w:t>Wireframe board F.7: Delivery — guided physical receipt. Role: Supervisor / Delivery Receiver.</w:t>
      </w:r>
    </w:p>
    <w:p>
      <w:r>
        <w:br w:type="page"/>
      </w:r>
    </w:p>
    <w:p>
      <w:pPr>
        <w:spacing w:after="40"/>
        <w:jc w:val="center"/>
      </w:pPr>
      <w:r>
        <w:drawing>
          <wp:inline xmlns:a="http://schemas.openxmlformats.org/drawingml/2006/main" xmlns:pic="http://schemas.openxmlformats.org/drawingml/2006/picture">
            <wp:extent cx="8961120" cy="5372100"/>
            <wp:docPr id="19" name="Picture 19" descr="Wireframe board F.8: Cash — count, collect, confirm custody. Role: Supervisor / Collector." title="Wireframe board F.8: Cash — count, collect, confirm custody. Role: Supervisor / Collector."/>
            <wp:cNvGraphicFramePr>
              <a:graphicFrameLocks noChangeAspect="1"/>
            </wp:cNvGraphicFramePr>
            <a:graphic>
              <a:graphicData uri="http://schemas.openxmlformats.org/drawingml/2006/picture">
                <pic:pic>
                  <pic:nvPicPr>
                    <pic:cNvPr id="0" name="08_cash.png"/>
                    <pic:cNvPicPr/>
                  </pic:nvPicPr>
                  <pic:blipFill>
                    <a:blip r:embed="rId33"/>
                    <a:stretch>
                      <a:fillRect/>
                    </a:stretch>
                  </pic:blipFill>
                  <pic:spPr>
                    <a:xfrm>
                      <a:off x="0" y="0"/>
                      <a:ext cx="8961120" cy="5372100"/>
                    </a:xfrm>
                    <a:prstGeom prst="rect"/>
                  </pic:spPr>
                </pic:pic>
              </a:graphicData>
            </a:graphic>
          </wp:inline>
        </w:drawing>
      </w:r>
    </w:p>
    <w:p>
      <w:pPr>
        <w:pStyle w:val="Caption"/>
        <w:jc w:val="center"/>
      </w:pPr>
      <w:r>
        <w:t>Wireframe board F.8: Cash — count, collect, confirm custody. Role: Supervisor / Collector.</w:t>
      </w:r>
    </w:p>
    <w:p>
      <w:r>
        <w:br w:type="page"/>
      </w:r>
    </w:p>
    <w:p>
      <w:pPr>
        <w:spacing w:after="40"/>
        <w:jc w:val="center"/>
      </w:pPr>
      <w:r>
        <w:drawing>
          <wp:inline xmlns:a="http://schemas.openxmlformats.org/drawingml/2006/main" xmlns:pic="http://schemas.openxmlformats.org/drawingml/2006/picture">
            <wp:extent cx="8961120" cy="4196831"/>
            <wp:docPr id="20" name="Picture 20" descr="Wireframe board F.9: Finance — queue-based work. Role: Finance." title="Wireframe board F.9: Finance — queue-based work. Role: Finance."/>
            <wp:cNvGraphicFramePr>
              <a:graphicFrameLocks noChangeAspect="1"/>
            </wp:cNvGraphicFramePr>
            <a:graphic>
              <a:graphicData uri="http://schemas.openxmlformats.org/drawingml/2006/picture">
                <pic:pic>
                  <pic:nvPicPr>
                    <pic:cNvPr id="0" name="09_finance.png"/>
                    <pic:cNvPicPr/>
                  </pic:nvPicPr>
                  <pic:blipFill>
                    <a:blip r:embed="rId27"/>
                    <a:stretch>
                      <a:fillRect/>
                    </a:stretch>
                  </pic:blipFill>
                  <pic:spPr>
                    <a:xfrm>
                      <a:off x="0" y="0"/>
                      <a:ext cx="8961120" cy="4196831"/>
                    </a:xfrm>
                    <a:prstGeom prst="rect"/>
                  </pic:spPr>
                </pic:pic>
              </a:graphicData>
            </a:graphic>
          </wp:inline>
        </w:drawing>
      </w:r>
    </w:p>
    <w:p>
      <w:pPr>
        <w:pStyle w:val="Caption"/>
        <w:jc w:val="center"/>
      </w:pPr>
      <w:r>
        <w:t>Wireframe board F.9: Finance — queue-based work. Role: Finance.</w:t>
      </w:r>
    </w:p>
    <w:p>
      <w:r>
        <w:br w:type="page"/>
      </w:r>
    </w:p>
    <w:p>
      <w:pPr>
        <w:spacing w:after="40"/>
        <w:jc w:val="center"/>
      </w:pPr>
      <w:r>
        <w:drawing>
          <wp:inline xmlns:a="http://schemas.openxmlformats.org/drawingml/2006/main" xmlns:pic="http://schemas.openxmlformats.org/drawingml/2006/picture">
            <wp:extent cx="8961120" cy="4196831"/>
            <wp:docPr id="21" name="Picture 21" descr="Wireframe board F.10: Banking &amp; electronic settlement. Role: Finance." title="Wireframe board F.10: Banking &amp; electronic settlement. Role: Finance."/>
            <wp:cNvGraphicFramePr>
              <a:graphicFrameLocks noChangeAspect="1"/>
            </wp:cNvGraphicFramePr>
            <a:graphic>
              <a:graphicData uri="http://schemas.openxmlformats.org/drawingml/2006/picture">
                <pic:pic>
                  <pic:nvPicPr>
                    <pic:cNvPr id="0" name="10_banking_settlement.png"/>
                    <pic:cNvPicPr/>
                  </pic:nvPicPr>
                  <pic:blipFill>
                    <a:blip r:embed="rId34"/>
                    <a:stretch>
                      <a:fillRect/>
                    </a:stretch>
                  </pic:blipFill>
                  <pic:spPr>
                    <a:xfrm>
                      <a:off x="0" y="0"/>
                      <a:ext cx="8961120" cy="4196831"/>
                    </a:xfrm>
                    <a:prstGeom prst="rect"/>
                  </pic:spPr>
                </pic:pic>
              </a:graphicData>
            </a:graphic>
          </wp:inline>
        </w:drawing>
      </w:r>
    </w:p>
    <w:p>
      <w:pPr>
        <w:pStyle w:val="Caption"/>
        <w:jc w:val="center"/>
      </w:pPr>
      <w:r>
        <w:t>Wireframe board F.10: Banking &amp; electronic settlement. Role: Finance.</w:t>
      </w:r>
    </w:p>
    <w:p>
      <w:r>
        <w:br w:type="page"/>
      </w:r>
    </w:p>
    <w:p>
      <w:pPr>
        <w:spacing w:after="40"/>
        <w:jc w:val="center"/>
      </w:pPr>
      <w:r>
        <w:drawing>
          <wp:inline xmlns:a="http://schemas.openxmlformats.org/drawingml/2006/main" xmlns:pic="http://schemas.openxmlformats.org/drawingml/2006/picture">
            <wp:extent cx="8961120" cy="4196831"/>
            <wp:docPr id="22" name="Picture 22" descr="Wireframe board F.11: Suppliers &amp; customers. Role: Finance." title="Wireframe board F.11: Suppliers &amp; customers. Role: Finance."/>
            <wp:cNvGraphicFramePr>
              <a:graphicFrameLocks noChangeAspect="1"/>
            </wp:cNvGraphicFramePr>
            <a:graphic>
              <a:graphicData uri="http://schemas.openxmlformats.org/drawingml/2006/picture">
                <pic:pic>
                  <pic:nvPicPr>
                    <pic:cNvPr id="0" name="11_commercial.png"/>
                    <pic:cNvPicPr/>
                  </pic:nvPicPr>
                  <pic:blipFill>
                    <a:blip r:embed="rId35"/>
                    <a:stretch>
                      <a:fillRect/>
                    </a:stretch>
                  </pic:blipFill>
                  <pic:spPr>
                    <a:xfrm>
                      <a:off x="0" y="0"/>
                      <a:ext cx="8961120" cy="4196831"/>
                    </a:xfrm>
                    <a:prstGeom prst="rect"/>
                  </pic:spPr>
                </pic:pic>
              </a:graphicData>
            </a:graphic>
          </wp:inline>
        </w:drawing>
      </w:r>
    </w:p>
    <w:p>
      <w:pPr>
        <w:pStyle w:val="Caption"/>
        <w:jc w:val="center"/>
      </w:pPr>
      <w:r>
        <w:t>Wireframe board F.11: Suppliers &amp; customers. Role: Finance.</w:t>
      </w:r>
    </w:p>
    <w:p>
      <w:r>
        <w:br w:type="page"/>
      </w:r>
    </w:p>
    <w:p>
      <w:pPr>
        <w:spacing w:after="40"/>
        <w:jc w:val="center"/>
      </w:pPr>
      <w:r>
        <w:drawing>
          <wp:inline xmlns:a="http://schemas.openxmlformats.org/drawingml/2006/main" xmlns:pic="http://schemas.openxmlformats.org/drawingml/2006/picture">
            <wp:extent cx="8961120" cy="4196831"/>
            <wp:docPr id="23" name="Picture 23" descr="Wireframe board F.12: Owner — oversight &amp; approval. Role: Owner / Admin." title="Wireframe board F.12: Owner — oversight &amp; approval. Role: Owner / Admin."/>
            <wp:cNvGraphicFramePr>
              <a:graphicFrameLocks noChangeAspect="1"/>
            </wp:cNvGraphicFramePr>
            <a:graphic>
              <a:graphicData uri="http://schemas.openxmlformats.org/drawingml/2006/picture">
                <pic:pic>
                  <pic:nvPicPr>
                    <pic:cNvPr id="0" name="12_owner.png"/>
                    <pic:cNvPicPr/>
                  </pic:nvPicPr>
                  <pic:blipFill>
                    <a:blip r:embed="rId36"/>
                    <a:stretch>
                      <a:fillRect/>
                    </a:stretch>
                  </pic:blipFill>
                  <pic:spPr>
                    <a:xfrm>
                      <a:off x="0" y="0"/>
                      <a:ext cx="8961120" cy="4196831"/>
                    </a:xfrm>
                    <a:prstGeom prst="rect"/>
                  </pic:spPr>
                </pic:pic>
              </a:graphicData>
            </a:graphic>
          </wp:inline>
        </w:drawing>
      </w:r>
    </w:p>
    <w:p>
      <w:pPr>
        <w:pStyle w:val="Caption"/>
        <w:jc w:val="center"/>
      </w:pPr>
      <w:r>
        <w:t>Wireframe board F.12: Owner — oversight &amp; approval. Role: Owner / Admin.</w:t>
      </w:r>
    </w:p>
    <w:p>
      <w:r>
        <w:br w:type="page"/>
      </w:r>
    </w:p>
    <w:p>
      <w:pPr>
        <w:spacing w:after="40"/>
        <w:jc w:val="center"/>
      </w:pPr>
      <w:r>
        <w:drawing>
          <wp:inline xmlns:a="http://schemas.openxmlformats.org/drawingml/2006/main" xmlns:pic="http://schemas.openxmlformats.org/drawingml/2006/picture">
            <wp:extent cx="8961120" cy="4196831"/>
            <wp:docPr id="24" name="Picture 24" descr="Wireframe board F.13: Reporting &amp; station readiness. Role: Owner / Finance / Admin." title="Wireframe board F.13: Reporting &amp; station readiness. Role: Owner / Finance / Admin."/>
            <wp:cNvGraphicFramePr>
              <a:graphicFrameLocks noChangeAspect="1"/>
            </wp:cNvGraphicFramePr>
            <a:graphic>
              <a:graphicData uri="http://schemas.openxmlformats.org/drawingml/2006/picture">
                <pic:pic>
                  <pic:nvPicPr>
                    <pic:cNvPr id="0" name="13_reporting_setup.png"/>
                    <pic:cNvPicPr/>
                  </pic:nvPicPr>
                  <pic:blipFill>
                    <a:blip r:embed="rId37"/>
                    <a:stretch>
                      <a:fillRect/>
                    </a:stretch>
                  </pic:blipFill>
                  <pic:spPr>
                    <a:xfrm>
                      <a:off x="0" y="0"/>
                      <a:ext cx="8961120" cy="4196831"/>
                    </a:xfrm>
                    <a:prstGeom prst="rect"/>
                  </pic:spPr>
                </pic:pic>
              </a:graphicData>
            </a:graphic>
          </wp:inline>
        </w:drawing>
      </w:r>
    </w:p>
    <w:p>
      <w:pPr>
        <w:pStyle w:val="Caption"/>
        <w:jc w:val="center"/>
      </w:pPr>
      <w:r>
        <w:t>Wireframe board F.13: Reporting &amp; station readiness. Role: Owner / Finance / Admin.</w:t>
      </w:r>
    </w:p>
    <w:p>
      <w:r>
        <w:br w:type="page"/>
      </w:r>
    </w:p>
    <w:p>
      <w:pPr>
        <w:spacing w:after="40"/>
        <w:jc w:val="center"/>
      </w:pPr>
      <w:r>
        <w:drawing>
          <wp:inline xmlns:a="http://schemas.openxmlformats.org/drawingml/2006/main" xmlns:pic="http://schemas.openxmlformats.org/drawingml/2006/picture">
            <wp:extent cx="8961120" cy="4196831"/>
            <wp:docPr id="25" name="Picture 25" descr="Wireframe board F.14: Security &amp; controlled configuration. Role: Owner / Admin." title="Wireframe board F.14: Security &amp; controlled configuration. Role: Owner / Admin."/>
            <wp:cNvGraphicFramePr>
              <a:graphicFrameLocks noChangeAspect="1"/>
            </wp:cNvGraphicFramePr>
            <a:graphic>
              <a:graphicData uri="http://schemas.openxmlformats.org/drawingml/2006/picture">
                <pic:pic>
                  <pic:nvPicPr>
                    <pic:cNvPr id="0" name="14_security_admin.png"/>
                    <pic:cNvPicPr/>
                  </pic:nvPicPr>
                  <pic:blipFill>
                    <a:blip r:embed="rId38"/>
                    <a:stretch>
                      <a:fillRect/>
                    </a:stretch>
                  </pic:blipFill>
                  <pic:spPr>
                    <a:xfrm>
                      <a:off x="0" y="0"/>
                      <a:ext cx="8961120" cy="4196831"/>
                    </a:xfrm>
                    <a:prstGeom prst="rect"/>
                  </pic:spPr>
                </pic:pic>
              </a:graphicData>
            </a:graphic>
          </wp:inline>
        </w:drawing>
      </w:r>
    </w:p>
    <w:p>
      <w:pPr>
        <w:pStyle w:val="Caption"/>
        <w:jc w:val="center"/>
      </w:pPr>
      <w:r>
        <w:t>Wireframe board F.14: Security &amp; controlled configuration. Role: Owner / Admin.</w:t>
      </w:r>
    </w:p>
    <w:p>
      <w:r>
        <w:br w:type="page"/>
      </w:r>
    </w:p>
    <w:p>
      <w:pPr>
        <w:spacing w:after="40"/>
        <w:jc w:val="center"/>
      </w:pPr>
      <w:r>
        <w:drawing>
          <wp:inline xmlns:a="http://schemas.openxmlformats.org/drawingml/2006/main" xmlns:pic="http://schemas.openxmlformats.org/drawingml/2006/picture">
            <wp:extent cx="4572000" cy="5140766"/>
            <wp:docPr id="26" name="Picture 26" descr="Wireframe board F.15: Weak-connection state. Role: All mobile roles." title="Wireframe board F.15: Weak-connection state. Role: All mobile roles."/>
            <wp:cNvGraphicFramePr>
              <a:graphicFrameLocks noChangeAspect="1"/>
            </wp:cNvGraphicFramePr>
            <a:graphic>
              <a:graphicData uri="http://schemas.openxmlformats.org/drawingml/2006/picture">
                <pic:pic>
                  <pic:nvPicPr>
                    <pic:cNvPr id="0" name="15_offline.png"/>
                    <pic:cNvPicPr/>
                  </pic:nvPicPr>
                  <pic:blipFill>
                    <a:blip r:embed="rId39"/>
                    <a:stretch>
                      <a:fillRect/>
                    </a:stretch>
                  </pic:blipFill>
                  <pic:spPr>
                    <a:xfrm>
                      <a:off x="0" y="0"/>
                      <a:ext cx="4572000" cy="5140766"/>
                    </a:xfrm>
                    <a:prstGeom prst="rect"/>
                  </pic:spPr>
                </pic:pic>
              </a:graphicData>
            </a:graphic>
          </wp:inline>
        </w:drawing>
      </w:r>
    </w:p>
    <w:p>
      <w:pPr>
        <w:pStyle w:val="Caption"/>
        <w:jc w:val="center"/>
      </w:pPr>
      <w:r>
        <w:t>Wireframe board F.15: Weak-connection state. Role: All mobile roles.</w:t>
      </w:r>
    </w:p>
    <w:p>
      <w:r>
        <w:br w:type="page"/>
      </w:r>
    </w:p>
    <w:p>
      <w:pPr>
        <w:pStyle w:val="Heading2"/>
      </w:pPr>
      <w:r>
        <w:t>F.16 Screen-to-Command Mapping</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c>
          <w:tcPr>
            <w:tcW w:type="dxa" w:w="2424"/>
            <w:tcMar>
              <w:top w:w="70" w:type="dxa"/>
              <w:start w:w="90" w:type="dxa"/>
              <w:bottom w:w="70" w:type="dxa"/>
              <w:end w:w="90" w:type="dxa"/>
            </w:tcMar>
            <w:vAlign w:val="center"/>
            <w:shd w:fill="17324D"/>
          </w:tcPr>
          <w:p>
            <w:pPr>
              <w:spacing w:after="0"/>
            </w:pPr>
            <w:r>
              <w:rPr>
                <w:b/>
                <w:color w:val="FFFFFF"/>
                <w:sz w:val="14"/>
              </w:rPr>
              <w:t>ID</w:t>
            </w:r>
          </w:p>
        </w:tc>
        <w:tc>
          <w:tcPr>
            <w:tcW w:type="dxa" w:w="2424"/>
            <w:tcMar>
              <w:top w:w="70" w:type="dxa"/>
              <w:start w:w="90" w:type="dxa"/>
              <w:bottom w:w="70" w:type="dxa"/>
              <w:end w:w="90" w:type="dxa"/>
            </w:tcMar>
            <w:vAlign w:val="center"/>
            <w:shd w:fill="17324D"/>
          </w:tcPr>
          <w:p>
            <w:pPr>
              <w:spacing w:after="0"/>
            </w:pPr>
            <w:r>
              <w:rPr>
                <w:b/>
                <w:color w:val="FFFFFF"/>
                <w:sz w:val="14"/>
              </w:rPr>
              <w:t>Screen</w:t>
            </w:r>
          </w:p>
        </w:tc>
        <w:tc>
          <w:tcPr>
            <w:tcW w:type="dxa" w:w="2424"/>
            <w:tcMar>
              <w:top w:w="70" w:type="dxa"/>
              <w:start w:w="90" w:type="dxa"/>
              <w:bottom w:w="70" w:type="dxa"/>
              <w:end w:w="90" w:type="dxa"/>
            </w:tcMar>
            <w:vAlign w:val="center"/>
            <w:shd w:fill="17324D"/>
          </w:tcPr>
          <w:p>
            <w:pPr>
              <w:spacing w:after="0"/>
            </w:pPr>
            <w:r>
              <w:rPr>
                <w:b/>
                <w:color w:val="FFFFFF"/>
                <w:sz w:val="14"/>
              </w:rPr>
              <w:t>Role</w:t>
            </w:r>
          </w:p>
        </w:tc>
        <w:tc>
          <w:tcPr>
            <w:tcW w:type="dxa" w:w="2424"/>
            <w:tcMar>
              <w:top w:w="70" w:type="dxa"/>
              <w:start w:w="90" w:type="dxa"/>
              <w:bottom w:w="70" w:type="dxa"/>
              <w:end w:w="90" w:type="dxa"/>
            </w:tcMar>
            <w:vAlign w:val="center"/>
            <w:shd w:fill="17324D"/>
          </w:tcPr>
          <w:p>
            <w:pPr>
              <w:spacing w:after="0"/>
            </w:pPr>
            <w:r>
              <w:rPr>
                <w:b/>
                <w:color w:val="FFFFFF"/>
                <w:sz w:val="14"/>
              </w:rPr>
              <w:t>Device</w:t>
            </w:r>
          </w:p>
        </w:tc>
        <w:tc>
          <w:tcPr>
            <w:tcW w:type="dxa" w:w="2424"/>
            <w:tcMar>
              <w:top w:w="70" w:type="dxa"/>
              <w:start w:w="90" w:type="dxa"/>
              <w:bottom w:w="70" w:type="dxa"/>
              <w:end w:w="90" w:type="dxa"/>
            </w:tcMar>
            <w:vAlign w:val="center"/>
            <w:shd w:fill="17324D"/>
          </w:tcPr>
          <w:p>
            <w:pPr>
              <w:spacing w:after="0"/>
            </w:pPr>
            <w:r>
              <w:rPr>
                <w:b/>
                <w:color w:val="FFFFFF"/>
                <w:sz w:val="14"/>
              </w:rPr>
              <w:t>Primary action</w:t>
            </w:r>
          </w:p>
        </w:tc>
        <w:tc>
          <w:tcPr>
            <w:tcW w:type="dxa" w:w="2424"/>
            <w:tcMar>
              <w:top w:w="70" w:type="dxa"/>
              <w:start w:w="90" w:type="dxa"/>
              <w:bottom w:w="70" w:type="dxa"/>
              <w:end w:w="90" w:type="dxa"/>
            </w:tcMar>
            <w:vAlign w:val="center"/>
            <w:shd w:fill="17324D"/>
          </w:tcPr>
          <w:p>
            <w:pPr>
              <w:spacing w:after="0"/>
            </w:pPr>
            <w:r>
              <w:rPr>
                <w:b/>
                <w:color w:val="FFFFFF"/>
                <w:sz w:val="14"/>
              </w:rPr>
              <w:t>Command / state action</w:t>
            </w:r>
          </w:p>
        </w:tc>
      </w:tr>
      <w:tr>
        <w:tc>
          <w:tcPr>
            <w:tcW w:type="dxa" w:w="2424"/>
            <w:tcMar>
              <w:top w:w="70" w:type="dxa"/>
              <w:start w:w="90" w:type="dxa"/>
              <w:bottom w:w="70" w:type="dxa"/>
              <w:end w:w="90" w:type="dxa"/>
            </w:tcMar>
            <w:vAlign w:val="center"/>
          </w:tcPr>
          <w:p>
            <w:pPr>
              <w:spacing w:after="0"/>
            </w:pPr>
            <w:r>
              <w:rPr>
                <w:color w:val="1F2937"/>
                <w:sz w:val="14"/>
              </w:rPr>
              <w:t>WF-01</w:t>
            </w:r>
          </w:p>
        </w:tc>
        <w:tc>
          <w:tcPr>
            <w:tcW w:type="dxa" w:w="2424"/>
            <w:tcMar>
              <w:top w:w="70" w:type="dxa"/>
              <w:start w:w="90" w:type="dxa"/>
              <w:bottom w:w="70" w:type="dxa"/>
              <w:end w:w="90" w:type="dxa"/>
            </w:tcMar>
            <w:vAlign w:val="center"/>
          </w:tcPr>
          <w:p>
            <w:pPr>
              <w:spacing w:after="0"/>
            </w:pPr>
            <w:r>
              <w:rPr>
                <w:color w:val="1F2937"/>
                <w:sz w:val="14"/>
              </w:rPr>
              <w:t>Sign in</w:t>
            </w:r>
          </w:p>
        </w:tc>
        <w:tc>
          <w:tcPr>
            <w:tcW w:type="dxa" w:w="2424"/>
            <w:tcMar>
              <w:top w:w="70" w:type="dxa"/>
              <w:start w:w="90" w:type="dxa"/>
              <w:bottom w:w="70" w:type="dxa"/>
              <w:end w:w="90" w:type="dxa"/>
            </w:tcMar>
            <w:vAlign w:val="center"/>
          </w:tcPr>
          <w:p>
            <w:pPr>
              <w:spacing w:after="0"/>
            </w:pPr>
            <w:r>
              <w:rPr>
                <w:color w:val="1F2937"/>
                <w:sz w:val="14"/>
              </w:rPr>
              <w:t>All users</w:t>
            </w:r>
          </w:p>
        </w:tc>
        <w:tc>
          <w:tcPr>
            <w:tcW w:type="dxa" w:w="2424"/>
            <w:tcMar>
              <w:top w:w="70" w:type="dxa"/>
              <w:start w:w="90" w:type="dxa"/>
              <w:bottom w:w="70" w:type="dxa"/>
              <w:end w:w="90" w:type="dxa"/>
            </w:tcMar>
            <w:vAlign w:val="center"/>
          </w:tcPr>
          <w:p>
            <w:pPr>
              <w:spacing w:after="0"/>
            </w:pPr>
            <w:r>
              <w:rPr>
                <w:color w:val="1F2937"/>
                <w:sz w:val="14"/>
              </w:rPr>
              <w:t>Mobile/Web</w:t>
            </w:r>
          </w:p>
        </w:tc>
        <w:tc>
          <w:tcPr>
            <w:tcW w:type="dxa" w:w="2424"/>
            <w:tcMar>
              <w:top w:w="70" w:type="dxa"/>
              <w:start w:w="90" w:type="dxa"/>
              <w:bottom w:w="70" w:type="dxa"/>
              <w:end w:w="90" w:type="dxa"/>
            </w:tcMar>
            <w:vAlign w:val="center"/>
          </w:tcPr>
          <w:p>
            <w:pPr>
              <w:spacing w:after="0"/>
            </w:pPr>
            <w:r>
              <w:rPr>
                <w:color w:val="1F2937"/>
                <w:sz w:val="14"/>
              </w:rPr>
              <w:t>Sign in</w:t>
            </w:r>
          </w:p>
        </w:tc>
        <w:tc>
          <w:tcPr>
            <w:tcW w:type="dxa" w:w="2424"/>
            <w:tcMar>
              <w:top w:w="70" w:type="dxa"/>
              <w:start w:w="90" w:type="dxa"/>
              <w:bottom w:w="70" w:type="dxa"/>
              <w:end w:w="90" w:type="dxa"/>
            </w:tcMar>
            <w:vAlign w:val="center"/>
          </w:tcPr>
          <w:p>
            <w:pPr>
              <w:spacing w:after="0"/>
            </w:pPr>
            <w:r>
              <w:rPr>
                <w:color w:val="1F2937"/>
                <w:sz w:val="14"/>
              </w:rPr>
              <w:t>Authenticate</w:t>
            </w:r>
          </w:p>
        </w:tc>
      </w:tr>
      <w:tr>
        <w:tc>
          <w:tcPr>
            <w:tcW w:type="dxa" w:w="2424"/>
            <w:tcMar>
              <w:top w:w="70" w:type="dxa"/>
              <w:start w:w="90" w:type="dxa"/>
              <w:bottom w:w="70" w:type="dxa"/>
              <w:end w:w="90" w:type="dxa"/>
            </w:tcMar>
            <w:vAlign w:val="center"/>
          </w:tcPr>
          <w:p>
            <w:pPr>
              <w:spacing w:after="0"/>
            </w:pPr>
            <w:r>
              <w:rPr>
                <w:color w:val="1F2937"/>
                <w:sz w:val="14"/>
              </w:rPr>
              <w:t>WF-02</w:t>
            </w:r>
          </w:p>
        </w:tc>
        <w:tc>
          <w:tcPr>
            <w:tcW w:type="dxa" w:w="2424"/>
            <w:tcMar>
              <w:top w:w="70" w:type="dxa"/>
              <w:start w:w="90" w:type="dxa"/>
              <w:bottom w:w="70" w:type="dxa"/>
              <w:end w:w="90" w:type="dxa"/>
            </w:tcMar>
            <w:vAlign w:val="center"/>
          </w:tcPr>
          <w:p>
            <w:pPr>
              <w:spacing w:after="0"/>
            </w:pPr>
            <w:r>
              <w:rPr>
                <w:color w:val="1F2937"/>
                <w:sz w:val="14"/>
              </w:rPr>
              <w:t>Select organisation / station</w:t>
            </w:r>
          </w:p>
        </w:tc>
        <w:tc>
          <w:tcPr>
            <w:tcW w:type="dxa" w:w="2424"/>
            <w:tcMar>
              <w:top w:w="70" w:type="dxa"/>
              <w:start w:w="90" w:type="dxa"/>
              <w:bottom w:w="70" w:type="dxa"/>
              <w:end w:w="90" w:type="dxa"/>
            </w:tcMar>
            <w:vAlign w:val="center"/>
          </w:tcPr>
          <w:p>
            <w:pPr>
              <w:spacing w:after="0"/>
            </w:pPr>
            <w:r>
              <w:rPr>
                <w:color w:val="1F2937"/>
                <w:sz w:val="14"/>
              </w:rPr>
              <w:t>Multi-scope users</w:t>
            </w:r>
          </w:p>
        </w:tc>
        <w:tc>
          <w:tcPr>
            <w:tcW w:type="dxa" w:w="2424"/>
            <w:tcMar>
              <w:top w:w="70" w:type="dxa"/>
              <w:start w:w="90" w:type="dxa"/>
              <w:bottom w:w="70" w:type="dxa"/>
              <w:end w:w="90" w:type="dxa"/>
            </w:tcMar>
            <w:vAlign w:val="center"/>
          </w:tcPr>
          <w:p>
            <w:pPr>
              <w:spacing w:after="0"/>
            </w:pPr>
            <w:r>
              <w:rPr>
                <w:color w:val="1F2937"/>
                <w:sz w:val="14"/>
              </w:rPr>
              <w:t>Mobile/Web</w:t>
            </w:r>
          </w:p>
        </w:tc>
        <w:tc>
          <w:tcPr>
            <w:tcW w:type="dxa" w:w="2424"/>
            <w:tcMar>
              <w:top w:w="70" w:type="dxa"/>
              <w:start w:w="90" w:type="dxa"/>
              <w:bottom w:w="70" w:type="dxa"/>
              <w:end w:w="90" w:type="dxa"/>
            </w:tcMar>
            <w:vAlign w:val="center"/>
          </w:tcPr>
          <w:p>
            <w:pPr>
              <w:spacing w:after="0"/>
            </w:pPr>
            <w:r>
              <w:rPr>
                <w:color w:val="1F2937"/>
                <w:sz w:val="14"/>
              </w:rPr>
              <w:t>Select context</w:t>
            </w:r>
          </w:p>
        </w:tc>
        <w:tc>
          <w:tcPr>
            <w:tcW w:type="dxa" w:w="2424"/>
            <w:tcMar>
              <w:top w:w="70" w:type="dxa"/>
              <w:start w:w="90" w:type="dxa"/>
              <w:bottom w:w="70" w:type="dxa"/>
              <w:end w:w="90" w:type="dxa"/>
            </w:tcMar>
            <w:vAlign w:val="center"/>
          </w:tcPr>
          <w:p>
            <w:pPr>
              <w:spacing w:after="0"/>
            </w:pPr>
            <w:r>
              <w:rPr>
                <w:color w:val="1F2937"/>
                <w:sz w:val="14"/>
              </w:rPr>
              <w:t>SelectTenantContext</w:t>
            </w:r>
          </w:p>
        </w:tc>
      </w:tr>
      <w:tr>
        <w:tc>
          <w:tcPr>
            <w:tcW w:type="dxa" w:w="2424"/>
            <w:tcMar>
              <w:top w:w="70" w:type="dxa"/>
              <w:start w:w="90" w:type="dxa"/>
              <w:bottom w:w="70" w:type="dxa"/>
              <w:end w:w="90" w:type="dxa"/>
            </w:tcMar>
            <w:vAlign w:val="center"/>
          </w:tcPr>
          <w:p>
            <w:pPr>
              <w:spacing w:after="0"/>
            </w:pPr>
            <w:r>
              <w:rPr>
                <w:color w:val="1F2937"/>
                <w:sz w:val="14"/>
              </w:rPr>
              <w:t>WF-03</w:t>
            </w:r>
          </w:p>
        </w:tc>
        <w:tc>
          <w:tcPr>
            <w:tcW w:type="dxa" w:w="2424"/>
            <w:tcMar>
              <w:top w:w="70" w:type="dxa"/>
              <w:start w:w="90" w:type="dxa"/>
              <w:bottom w:w="70" w:type="dxa"/>
              <w:end w:w="90" w:type="dxa"/>
            </w:tcMar>
            <w:vAlign w:val="center"/>
          </w:tcPr>
          <w:p>
            <w:pPr>
              <w:spacing w:after="0"/>
            </w:pPr>
            <w:r>
              <w:rPr>
                <w:color w:val="1F2937"/>
                <w:sz w:val="14"/>
              </w:rPr>
              <w:t>Attendant Home</w:t>
            </w:r>
          </w:p>
        </w:tc>
        <w:tc>
          <w:tcPr>
            <w:tcW w:type="dxa" w:w="2424"/>
            <w:tcMar>
              <w:top w:w="70" w:type="dxa"/>
              <w:start w:w="90" w:type="dxa"/>
              <w:bottom w:w="70" w:type="dxa"/>
              <w:end w:w="90" w:type="dxa"/>
            </w:tcMar>
            <w:vAlign w:val="center"/>
          </w:tcPr>
          <w:p>
            <w:pPr>
              <w:spacing w:after="0"/>
            </w:pPr>
            <w:r>
              <w:rPr>
                <w:color w:val="1F2937"/>
                <w:sz w:val="14"/>
              </w:rPr>
              <w:t>Attendant</w:t>
            </w:r>
          </w:p>
        </w:tc>
        <w:tc>
          <w:tcPr>
            <w:tcW w:type="dxa" w:w="2424"/>
            <w:tcMar>
              <w:top w:w="70" w:type="dxa"/>
              <w:start w:w="90" w:type="dxa"/>
              <w:bottom w:w="70" w:type="dxa"/>
              <w:end w:w="90" w:type="dxa"/>
            </w:tcMar>
            <w:vAlign w:val="center"/>
          </w:tcPr>
          <w:p>
            <w:pPr>
              <w:spacing w:after="0"/>
            </w:pPr>
            <w:r>
              <w:rPr>
                <w:color w:val="1F2937"/>
                <w:sz w:val="14"/>
              </w:rPr>
              <w:t>Mobile</w:t>
            </w:r>
          </w:p>
        </w:tc>
        <w:tc>
          <w:tcPr>
            <w:tcW w:type="dxa" w:w="2424"/>
            <w:tcMar>
              <w:top w:w="70" w:type="dxa"/>
              <w:start w:w="90" w:type="dxa"/>
              <w:bottom w:w="70" w:type="dxa"/>
              <w:end w:w="90" w:type="dxa"/>
            </w:tcMar>
            <w:vAlign w:val="center"/>
          </w:tcPr>
          <w:p>
            <w:pPr>
              <w:spacing w:after="0"/>
            </w:pPr>
            <w:r>
              <w:rPr>
                <w:color w:val="1F2937"/>
                <w:sz w:val="14"/>
              </w:rPr>
              <w:t>Start role task</w:t>
            </w:r>
          </w:p>
        </w:tc>
        <w:tc>
          <w:tcPr>
            <w:tcW w:type="dxa" w:w="2424"/>
            <w:tcMar>
              <w:top w:w="70" w:type="dxa"/>
              <w:start w:w="90" w:type="dxa"/>
              <w:bottom w:w="70" w:type="dxa"/>
              <w:end w:w="90" w:type="dxa"/>
            </w:tcMar>
            <w:vAlign w:val="center"/>
          </w:tcPr>
          <w:p>
            <w:pPr>
              <w:spacing w:after="0"/>
            </w:pPr>
            <w:r>
              <w:rPr>
                <w:color w:val="1F2937"/>
                <w:sz w:val="14"/>
              </w:rPr>
              <w:t>—</w:t>
            </w:r>
          </w:p>
        </w:tc>
      </w:tr>
      <w:tr>
        <w:tc>
          <w:tcPr>
            <w:tcW w:type="dxa" w:w="2424"/>
            <w:tcMar>
              <w:top w:w="70" w:type="dxa"/>
              <w:start w:w="90" w:type="dxa"/>
              <w:bottom w:w="70" w:type="dxa"/>
              <w:end w:w="90" w:type="dxa"/>
            </w:tcMar>
            <w:vAlign w:val="center"/>
          </w:tcPr>
          <w:p>
            <w:pPr>
              <w:spacing w:after="0"/>
            </w:pPr>
            <w:r>
              <w:rPr>
                <w:color w:val="1F2937"/>
                <w:sz w:val="14"/>
              </w:rPr>
              <w:t>WF-04</w:t>
            </w:r>
          </w:p>
        </w:tc>
        <w:tc>
          <w:tcPr>
            <w:tcW w:type="dxa" w:w="2424"/>
            <w:tcMar>
              <w:top w:w="70" w:type="dxa"/>
              <w:start w:w="90" w:type="dxa"/>
              <w:bottom w:w="70" w:type="dxa"/>
              <w:end w:w="90" w:type="dxa"/>
            </w:tcMar>
            <w:vAlign w:val="center"/>
          </w:tcPr>
          <w:p>
            <w:pPr>
              <w:spacing w:after="0"/>
            </w:pPr>
            <w:r>
              <w:rPr>
                <w:color w:val="1F2937"/>
                <w:sz w:val="14"/>
              </w:rPr>
              <w:t>Account Fuel Request</w:t>
            </w:r>
          </w:p>
        </w:tc>
        <w:tc>
          <w:tcPr>
            <w:tcW w:type="dxa" w:w="2424"/>
            <w:tcMar>
              <w:top w:w="70" w:type="dxa"/>
              <w:start w:w="90" w:type="dxa"/>
              <w:bottom w:w="70" w:type="dxa"/>
              <w:end w:w="90" w:type="dxa"/>
            </w:tcMar>
            <w:vAlign w:val="center"/>
          </w:tcPr>
          <w:p>
            <w:pPr>
              <w:spacing w:after="0"/>
            </w:pPr>
            <w:r>
              <w:rPr>
                <w:color w:val="1F2937"/>
                <w:sz w:val="14"/>
              </w:rPr>
              <w:t>Attendant</w:t>
            </w:r>
          </w:p>
        </w:tc>
        <w:tc>
          <w:tcPr>
            <w:tcW w:type="dxa" w:w="2424"/>
            <w:tcMar>
              <w:top w:w="70" w:type="dxa"/>
              <w:start w:w="90" w:type="dxa"/>
              <w:bottom w:w="70" w:type="dxa"/>
              <w:end w:w="90" w:type="dxa"/>
            </w:tcMar>
            <w:vAlign w:val="center"/>
          </w:tcPr>
          <w:p>
            <w:pPr>
              <w:spacing w:after="0"/>
            </w:pPr>
            <w:r>
              <w:rPr>
                <w:color w:val="1F2937"/>
                <w:sz w:val="14"/>
              </w:rPr>
              <w:t>Mobile</w:t>
            </w:r>
          </w:p>
        </w:tc>
        <w:tc>
          <w:tcPr>
            <w:tcW w:type="dxa" w:w="2424"/>
            <w:tcMar>
              <w:top w:w="70" w:type="dxa"/>
              <w:start w:w="90" w:type="dxa"/>
              <w:bottom w:w="70" w:type="dxa"/>
              <w:end w:w="90" w:type="dxa"/>
            </w:tcMar>
            <w:vAlign w:val="center"/>
          </w:tcPr>
          <w:p>
            <w:pPr>
              <w:spacing w:after="0"/>
            </w:pPr>
            <w:r>
              <w:rPr>
                <w:color w:val="1F2937"/>
                <w:sz w:val="14"/>
              </w:rPr>
              <w:t>Authorize Fuel</w:t>
            </w:r>
          </w:p>
        </w:tc>
        <w:tc>
          <w:tcPr>
            <w:tcW w:type="dxa" w:w="2424"/>
            <w:tcMar>
              <w:top w:w="70" w:type="dxa"/>
              <w:start w:w="90" w:type="dxa"/>
              <w:bottom w:w="70" w:type="dxa"/>
              <w:end w:w="90" w:type="dxa"/>
            </w:tcMar>
            <w:vAlign w:val="center"/>
          </w:tcPr>
          <w:p>
            <w:pPr>
              <w:spacing w:after="0"/>
            </w:pPr>
            <w:r>
              <w:rPr>
                <w:color w:val="1F2937"/>
                <w:sz w:val="14"/>
              </w:rPr>
              <w:t>RequestCustomerFuelAuthorization</w:t>
            </w:r>
          </w:p>
        </w:tc>
      </w:tr>
      <w:tr>
        <w:tc>
          <w:tcPr>
            <w:tcW w:type="dxa" w:w="2424"/>
            <w:tcMar>
              <w:top w:w="70" w:type="dxa"/>
              <w:start w:w="90" w:type="dxa"/>
              <w:bottom w:w="70" w:type="dxa"/>
              <w:end w:w="90" w:type="dxa"/>
            </w:tcMar>
            <w:vAlign w:val="center"/>
          </w:tcPr>
          <w:p>
            <w:pPr>
              <w:spacing w:after="0"/>
            </w:pPr>
            <w:r>
              <w:rPr>
                <w:color w:val="1F2937"/>
                <w:sz w:val="14"/>
              </w:rPr>
              <w:t>WF-05</w:t>
            </w:r>
          </w:p>
        </w:tc>
        <w:tc>
          <w:tcPr>
            <w:tcW w:type="dxa" w:w="2424"/>
            <w:tcMar>
              <w:top w:w="70" w:type="dxa"/>
              <w:start w:w="90" w:type="dxa"/>
              <w:bottom w:w="70" w:type="dxa"/>
              <w:end w:w="90" w:type="dxa"/>
            </w:tcMar>
            <w:vAlign w:val="center"/>
          </w:tcPr>
          <w:p>
            <w:pPr>
              <w:spacing w:after="0"/>
            </w:pPr>
            <w:r>
              <w:rPr>
                <w:color w:val="1F2937"/>
                <w:sz w:val="14"/>
              </w:rPr>
              <w:t>Account Fuel Authorized</w:t>
            </w:r>
          </w:p>
        </w:tc>
        <w:tc>
          <w:tcPr>
            <w:tcW w:type="dxa" w:w="2424"/>
            <w:tcMar>
              <w:top w:w="70" w:type="dxa"/>
              <w:start w:w="90" w:type="dxa"/>
              <w:bottom w:w="70" w:type="dxa"/>
              <w:end w:w="90" w:type="dxa"/>
            </w:tcMar>
            <w:vAlign w:val="center"/>
          </w:tcPr>
          <w:p>
            <w:pPr>
              <w:spacing w:after="0"/>
            </w:pPr>
            <w:r>
              <w:rPr>
                <w:color w:val="1F2937"/>
                <w:sz w:val="14"/>
              </w:rPr>
              <w:t>Attendant</w:t>
            </w:r>
          </w:p>
        </w:tc>
        <w:tc>
          <w:tcPr>
            <w:tcW w:type="dxa" w:w="2424"/>
            <w:tcMar>
              <w:top w:w="70" w:type="dxa"/>
              <w:start w:w="90" w:type="dxa"/>
              <w:bottom w:w="70" w:type="dxa"/>
              <w:end w:w="90" w:type="dxa"/>
            </w:tcMar>
            <w:vAlign w:val="center"/>
          </w:tcPr>
          <w:p>
            <w:pPr>
              <w:spacing w:after="0"/>
            </w:pPr>
            <w:r>
              <w:rPr>
                <w:color w:val="1F2937"/>
                <w:sz w:val="14"/>
              </w:rPr>
              <w:t>Mobile</w:t>
            </w:r>
          </w:p>
        </w:tc>
        <w:tc>
          <w:tcPr>
            <w:tcW w:type="dxa" w:w="2424"/>
            <w:tcMar>
              <w:top w:w="70" w:type="dxa"/>
              <w:start w:w="90" w:type="dxa"/>
              <w:bottom w:w="70" w:type="dxa"/>
              <w:end w:w="90" w:type="dxa"/>
            </w:tcMar>
            <w:vAlign w:val="center"/>
          </w:tcPr>
          <w:p>
            <w:pPr>
              <w:spacing w:after="0"/>
            </w:pPr>
            <w:r>
              <w:rPr>
                <w:color w:val="1F2937"/>
                <w:sz w:val="14"/>
              </w:rPr>
              <w:t>Confirm Dispense</w:t>
            </w:r>
          </w:p>
        </w:tc>
        <w:tc>
          <w:tcPr>
            <w:tcW w:type="dxa" w:w="2424"/>
            <w:tcMar>
              <w:top w:w="70" w:type="dxa"/>
              <w:start w:w="90" w:type="dxa"/>
              <w:bottom w:w="70" w:type="dxa"/>
              <w:end w:w="90" w:type="dxa"/>
            </w:tcMar>
            <w:vAlign w:val="center"/>
          </w:tcPr>
          <w:p>
            <w:pPr>
              <w:spacing w:after="0"/>
            </w:pPr>
            <w:r>
              <w:rPr>
                <w:color w:val="1F2937"/>
                <w:sz w:val="14"/>
              </w:rPr>
              <w:t>CompleteCustomerFuelTransaction</w:t>
            </w:r>
          </w:p>
        </w:tc>
      </w:tr>
      <w:tr>
        <w:tc>
          <w:tcPr>
            <w:tcW w:type="dxa" w:w="2424"/>
            <w:tcMar>
              <w:top w:w="70" w:type="dxa"/>
              <w:start w:w="90" w:type="dxa"/>
              <w:bottom w:w="70" w:type="dxa"/>
              <w:end w:w="90" w:type="dxa"/>
            </w:tcMar>
            <w:vAlign w:val="center"/>
          </w:tcPr>
          <w:p>
            <w:pPr>
              <w:spacing w:after="0"/>
            </w:pPr>
            <w:r>
              <w:rPr>
                <w:color w:val="1F2937"/>
                <w:sz w:val="14"/>
              </w:rPr>
              <w:t>WF-06</w:t>
            </w:r>
          </w:p>
        </w:tc>
        <w:tc>
          <w:tcPr>
            <w:tcW w:type="dxa" w:w="2424"/>
            <w:tcMar>
              <w:top w:w="70" w:type="dxa"/>
              <w:start w:w="90" w:type="dxa"/>
              <w:bottom w:w="70" w:type="dxa"/>
              <w:end w:w="90" w:type="dxa"/>
            </w:tcMar>
            <w:vAlign w:val="center"/>
          </w:tcPr>
          <w:p>
            <w:pPr>
              <w:spacing w:after="0"/>
            </w:pPr>
            <w:r>
              <w:rPr>
                <w:color w:val="1F2937"/>
                <w:sz w:val="14"/>
              </w:rPr>
              <w:t>Payment Declaration</w:t>
            </w:r>
          </w:p>
        </w:tc>
        <w:tc>
          <w:tcPr>
            <w:tcW w:type="dxa" w:w="2424"/>
            <w:tcMar>
              <w:top w:w="70" w:type="dxa"/>
              <w:start w:w="90" w:type="dxa"/>
              <w:bottom w:w="70" w:type="dxa"/>
              <w:end w:w="90" w:type="dxa"/>
            </w:tcMar>
            <w:vAlign w:val="center"/>
          </w:tcPr>
          <w:p>
            <w:pPr>
              <w:spacing w:after="0"/>
            </w:pPr>
            <w:r>
              <w:rPr>
                <w:color w:val="1F2937"/>
                <w:sz w:val="14"/>
              </w:rPr>
              <w:t>Attendant</w:t>
            </w:r>
          </w:p>
        </w:tc>
        <w:tc>
          <w:tcPr>
            <w:tcW w:type="dxa" w:w="2424"/>
            <w:tcMar>
              <w:top w:w="70" w:type="dxa"/>
              <w:start w:w="90" w:type="dxa"/>
              <w:bottom w:w="70" w:type="dxa"/>
              <w:end w:w="90" w:type="dxa"/>
            </w:tcMar>
            <w:vAlign w:val="center"/>
          </w:tcPr>
          <w:p>
            <w:pPr>
              <w:spacing w:after="0"/>
            </w:pPr>
            <w:r>
              <w:rPr>
                <w:color w:val="1F2937"/>
                <w:sz w:val="14"/>
              </w:rPr>
              <w:t>Mobile</w:t>
            </w:r>
          </w:p>
        </w:tc>
        <w:tc>
          <w:tcPr>
            <w:tcW w:type="dxa" w:w="2424"/>
            <w:tcMar>
              <w:top w:w="70" w:type="dxa"/>
              <w:start w:w="90" w:type="dxa"/>
              <w:bottom w:w="70" w:type="dxa"/>
              <w:end w:w="90" w:type="dxa"/>
            </w:tcMar>
            <w:vAlign w:val="center"/>
          </w:tcPr>
          <w:p>
            <w:pPr>
              <w:spacing w:after="0"/>
            </w:pPr>
            <w:r>
              <w:rPr>
                <w:color w:val="1F2937"/>
                <w:sz w:val="14"/>
              </w:rPr>
              <w:t>Submit Declaration</w:t>
            </w:r>
          </w:p>
        </w:tc>
        <w:tc>
          <w:tcPr>
            <w:tcW w:type="dxa" w:w="2424"/>
            <w:tcMar>
              <w:top w:w="70" w:type="dxa"/>
              <w:start w:w="90" w:type="dxa"/>
              <w:bottom w:w="70" w:type="dxa"/>
              <w:end w:w="90" w:type="dxa"/>
            </w:tcMar>
            <w:vAlign w:val="center"/>
          </w:tcPr>
          <w:p>
            <w:pPr>
              <w:spacing w:after="0"/>
            </w:pPr>
            <w:r>
              <w:rPr>
                <w:color w:val="1F2937"/>
                <w:sz w:val="14"/>
              </w:rPr>
              <w:t>SubmitPaymentDeclaration</w:t>
            </w:r>
          </w:p>
        </w:tc>
      </w:tr>
      <w:tr>
        <w:tc>
          <w:tcPr>
            <w:tcW w:type="dxa" w:w="2424"/>
            <w:tcMar>
              <w:top w:w="70" w:type="dxa"/>
              <w:start w:w="90" w:type="dxa"/>
              <w:bottom w:w="70" w:type="dxa"/>
              <w:end w:w="90" w:type="dxa"/>
            </w:tcMar>
            <w:vAlign w:val="center"/>
          </w:tcPr>
          <w:p>
            <w:pPr>
              <w:spacing w:after="0"/>
            </w:pPr>
            <w:r>
              <w:rPr>
                <w:color w:val="1F2937"/>
                <w:sz w:val="14"/>
              </w:rPr>
              <w:t>WF-07</w:t>
            </w:r>
          </w:p>
        </w:tc>
        <w:tc>
          <w:tcPr>
            <w:tcW w:type="dxa" w:w="2424"/>
            <w:tcMar>
              <w:top w:w="70" w:type="dxa"/>
              <w:start w:w="90" w:type="dxa"/>
              <w:bottom w:w="70" w:type="dxa"/>
              <w:end w:w="90" w:type="dxa"/>
            </w:tcMar>
            <w:vAlign w:val="center"/>
          </w:tcPr>
          <w:p>
            <w:pPr>
              <w:spacing w:after="0"/>
            </w:pPr>
            <w:r>
              <w:rPr>
                <w:color w:val="1F2937"/>
                <w:sz w:val="14"/>
              </w:rPr>
              <w:t>Returned Declaration</w:t>
            </w:r>
          </w:p>
        </w:tc>
        <w:tc>
          <w:tcPr>
            <w:tcW w:type="dxa" w:w="2424"/>
            <w:tcMar>
              <w:top w:w="70" w:type="dxa"/>
              <w:start w:w="90" w:type="dxa"/>
              <w:bottom w:w="70" w:type="dxa"/>
              <w:end w:w="90" w:type="dxa"/>
            </w:tcMar>
            <w:vAlign w:val="center"/>
          </w:tcPr>
          <w:p>
            <w:pPr>
              <w:spacing w:after="0"/>
            </w:pPr>
            <w:r>
              <w:rPr>
                <w:color w:val="1F2937"/>
                <w:sz w:val="14"/>
              </w:rPr>
              <w:t>Attendant</w:t>
            </w:r>
          </w:p>
        </w:tc>
        <w:tc>
          <w:tcPr>
            <w:tcW w:type="dxa" w:w="2424"/>
            <w:tcMar>
              <w:top w:w="70" w:type="dxa"/>
              <w:start w:w="90" w:type="dxa"/>
              <w:bottom w:w="70" w:type="dxa"/>
              <w:end w:w="90" w:type="dxa"/>
            </w:tcMar>
            <w:vAlign w:val="center"/>
          </w:tcPr>
          <w:p>
            <w:pPr>
              <w:spacing w:after="0"/>
            </w:pPr>
            <w:r>
              <w:rPr>
                <w:color w:val="1F2937"/>
                <w:sz w:val="14"/>
              </w:rPr>
              <w:t>Mobile</w:t>
            </w:r>
          </w:p>
        </w:tc>
        <w:tc>
          <w:tcPr>
            <w:tcW w:type="dxa" w:w="2424"/>
            <w:tcMar>
              <w:top w:w="70" w:type="dxa"/>
              <w:start w:w="90" w:type="dxa"/>
              <w:bottom w:w="70" w:type="dxa"/>
              <w:end w:w="90" w:type="dxa"/>
            </w:tcMar>
            <w:vAlign w:val="center"/>
          </w:tcPr>
          <w:p>
            <w:pPr>
              <w:spacing w:after="0"/>
            </w:pPr>
            <w:r>
              <w:rPr>
                <w:color w:val="1F2937"/>
                <w:sz w:val="14"/>
              </w:rPr>
              <w:t>Correct Declaration</w:t>
            </w:r>
          </w:p>
        </w:tc>
        <w:tc>
          <w:tcPr>
            <w:tcW w:type="dxa" w:w="2424"/>
            <w:tcMar>
              <w:top w:w="70" w:type="dxa"/>
              <w:start w:w="90" w:type="dxa"/>
              <w:bottom w:w="70" w:type="dxa"/>
              <w:end w:w="90" w:type="dxa"/>
            </w:tcMar>
            <w:vAlign w:val="center"/>
          </w:tcPr>
          <w:p>
            <w:pPr>
              <w:spacing w:after="0"/>
            </w:pPr>
            <w:r>
              <w:rPr>
                <w:color w:val="1F2937"/>
                <w:sz w:val="14"/>
              </w:rPr>
              <w:t>ResubmitPaymentDeclaration</w:t>
            </w:r>
          </w:p>
        </w:tc>
      </w:tr>
      <w:tr>
        <w:tc>
          <w:tcPr>
            <w:tcW w:type="dxa" w:w="2424"/>
            <w:tcMar>
              <w:top w:w="70" w:type="dxa"/>
              <w:start w:w="90" w:type="dxa"/>
              <w:bottom w:w="70" w:type="dxa"/>
              <w:end w:w="90" w:type="dxa"/>
            </w:tcMar>
            <w:vAlign w:val="center"/>
          </w:tcPr>
          <w:p>
            <w:pPr>
              <w:spacing w:after="0"/>
            </w:pPr>
            <w:r>
              <w:rPr>
                <w:color w:val="1F2937"/>
                <w:sz w:val="14"/>
              </w:rPr>
              <w:t>WF-08</w:t>
            </w:r>
          </w:p>
        </w:tc>
        <w:tc>
          <w:tcPr>
            <w:tcW w:type="dxa" w:w="2424"/>
            <w:tcMar>
              <w:top w:w="70" w:type="dxa"/>
              <w:start w:w="90" w:type="dxa"/>
              <w:bottom w:w="70" w:type="dxa"/>
              <w:end w:w="90" w:type="dxa"/>
            </w:tcMar>
            <w:vAlign w:val="center"/>
          </w:tcPr>
          <w:p>
            <w:pPr>
              <w:spacing w:after="0"/>
            </w:pPr>
            <w:r>
              <w:rPr>
                <w:color w:val="1F2937"/>
                <w:sz w:val="14"/>
              </w:rPr>
              <w:t>Supervisor Today</w:t>
            </w:r>
          </w:p>
        </w:tc>
        <w:tc>
          <w:tcPr>
            <w:tcW w:type="dxa" w:w="2424"/>
            <w:tcMar>
              <w:top w:w="70" w:type="dxa"/>
              <w:start w:w="90" w:type="dxa"/>
              <w:bottom w:w="70" w:type="dxa"/>
              <w:end w:w="90" w:type="dxa"/>
            </w:tcMar>
            <w:vAlign w:val="center"/>
          </w:tcPr>
          <w:p>
            <w:pPr>
              <w:spacing w:after="0"/>
            </w:pPr>
            <w:r>
              <w:rPr>
                <w:color w:val="1F2937"/>
                <w:sz w:val="14"/>
              </w:rPr>
              <w:t>Supervisor</w:t>
            </w:r>
          </w:p>
        </w:tc>
        <w:tc>
          <w:tcPr>
            <w:tcW w:type="dxa" w:w="2424"/>
            <w:tcMar>
              <w:top w:w="70" w:type="dxa"/>
              <w:start w:w="90" w:type="dxa"/>
              <w:bottom w:w="70" w:type="dxa"/>
              <w:end w:w="90" w:type="dxa"/>
            </w:tcMar>
            <w:vAlign w:val="center"/>
          </w:tcPr>
          <w:p>
            <w:pPr>
              <w:spacing w:after="0"/>
            </w:pPr>
            <w:r>
              <w:rPr>
                <w:color w:val="1F2937"/>
                <w:sz w:val="14"/>
              </w:rPr>
              <w:t>Mobile</w:t>
            </w:r>
          </w:p>
        </w:tc>
        <w:tc>
          <w:tcPr>
            <w:tcW w:type="dxa" w:w="2424"/>
            <w:tcMar>
              <w:top w:w="70" w:type="dxa"/>
              <w:start w:w="90" w:type="dxa"/>
              <w:bottom w:w="70" w:type="dxa"/>
              <w:end w:w="90" w:type="dxa"/>
            </w:tcMar>
            <w:vAlign w:val="center"/>
          </w:tcPr>
          <w:p>
            <w:pPr>
              <w:spacing w:after="0"/>
            </w:pPr>
            <w:r>
              <w:rPr>
                <w:color w:val="1F2937"/>
                <w:sz w:val="14"/>
              </w:rPr>
              <w:t>Continue Shift</w:t>
            </w:r>
          </w:p>
        </w:tc>
        <w:tc>
          <w:tcPr>
            <w:tcW w:type="dxa" w:w="2424"/>
            <w:tcMar>
              <w:top w:w="70" w:type="dxa"/>
              <w:start w:w="90" w:type="dxa"/>
              <w:bottom w:w="70" w:type="dxa"/>
              <w:end w:w="90" w:type="dxa"/>
            </w:tcMar>
            <w:vAlign w:val="center"/>
          </w:tcPr>
          <w:p>
            <w:pPr>
              <w:spacing w:after="0"/>
            </w:pPr>
            <w:r>
              <w:rPr>
                <w:color w:val="1F2937"/>
                <w:sz w:val="14"/>
              </w:rPr>
              <w:t>—</w:t>
            </w:r>
          </w:p>
        </w:tc>
      </w:tr>
      <w:tr>
        <w:tc>
          <w:tcPr>
            <w:tcW w:type="dxa" w:w="2424"/>
            <w:tcMar>
              <w:top w:w="70" w:type="dxa"/>
              <w:start w:w="90" w:type="dxa"/>
              <w:bottom w:w="70" w:type="dxa"/>
              <w:end w:w="90" w:type="dxa"/>
            </w:tcMar>
            <w:vAlign w:val="center"/>
          </w:tcPr>
          <w:p>
            <w:pPr>
              <w:spacing w:after="0"/>
            </w:pPr>
            <w:r>
              <w:rPr>
                <w:color w:val="1F2937"/>
                <w:sz w:val="14"/>
              </w:rPr>
              <w:t>WF-09</w:t>
            </w:r>
          </w:p>
        </w:tc>
        <w:tc>
          <w:tcPr>
            <w:tcW w:type="dxa" w:w="2424"/>
            <w:tcMar>
              <w:top w:w="70" w:type="dxa"/>
              <w:start w:w="90" w:type="dxa"/>
              <w:bottom w:w="70" w:type="dxa"/>
              <w:end w:w="90" w:type="dxa"/>
            </w:tcMar>
            <w:vAlign w:val="center"/>
          </w:tcPr>
          <w:p>
            <w:pPr>
              <w:spacing w:after="0"/>
            </w:pPr>
            <w:r>
              <w:rPr>
                <w:color w:val="1F2937"/>
                <w:sz w:val="14"/>
              </w:rPr>
              <w:t>Start Shift — Team</w:t>
            </w:r>
          </w:p>
        </w:tc>
        <w:tc>
          <w:tcPr>
            <w:tcW w:type="dxa" w:w="2424"/>
            <w:tcMar>
              <w:top w:w="70" w:type="dxa"/>
              <w:start w:w="90" w:type="dxa"/>
              <w:bottom w:w="70" w:type="dxa"/>
              <w:end w:w="90" w:type="dxa"/>
            </w:tcMar>
            <w:vAlign w:val="center"/>
          </w:tcPr>
          <w:p>
            <w:pPr>
              <w:spacing w:after="0"/>
            </w:pPr>
            <w:r>
              <w:rPr>
                <w:color w:val="1F2937"/>
                <w:sz w:val="14"/>
              </w:rPr>
              <w:t>Supervisor</w:t>
            </w:r>
          </w:p>
        </w:tc>
        <w:tc>
          <w:tcPr>
            <w:tcW w:type="dxa" w:w="2424"/>
            <w:tcMar>
              <w:top w:w="70" w:type="dxa"/>
              <w:start w:w="90" w:type="dxa"/>
              <w:bottom w:w="70" w:type="dxa"/>
              <w:end w:w="90" w:type="dxa"/>
            </w:tcMar>
            <w:vAlign w:val="center"/>
          </w:tcPr>
          <w:p>
            <w:pPr>
              <w:spacing w:after="0"/>
            </w:pPr>
            <w:r>
              <w:rPr>
                <w:color w:val="1F2937"/>
                <w:sz w:val="14"/>
              </w:rPr>
              <w:t>Mobile</w:t>
            </w:r>
          </w:p>
        </w:tc>
        <w:tc>
          <w:tcPr>
            <w:tcW w:type="dxa" w:w="2424"/>
            <w:tcMar>
              <w:top w:w="70" w:type="dxa"/>
              <w:start w:w="90" w:type="dxa"/>
              <w:bottom w:w="70" w:type="dxa"/>
              <w:end w:w="90" w:type="dxa"/>
            </w:tcMar>
            <w:vAlign w:val="center"/>
          </w:tcPr>
          <w:p>
            <w:pPr>
              <w:spacing w:after="0"/>
            </w:pPr>
            <w:r>
              <w:rPr>
                <w:color w:val="1F2937"/>
                <w:sz w:val="14"/>
              </w:rPr>
              <w:t>Continue</w:t>
            </w:r>
          </w:p>
        </w:tc>
        <w:tc>
          <w:tcPr>
            <w:tcW w:type="dxa" w:w="2424"/>
            <w:tcMar>
              <w:top w:w="70" w:type="dxa"/>
              <w:start w:w="90" w:type="dxa"/>
              <w:bottom w:w="70" w:type="dxa"/>
              <w:end w:w="90" w:type="dxa"/>
            </w:tcMar>
            <w:vAlign w:val="center"/>
          </w:tcPr>
          <w:p>
            <w:pPr>
              <w:spacing w:after="0"/>
            </w:pPr>
            <w:r>
              <w:rPr>
                <w:color w:val="1F2937"/>
                <w:sz w:val="14"/>
              </w:rPr>
              <w:t>AssignShiftTeam</w:t>
            </w:r>
          </w:p>
        </w:tc>
      </w:tr>
      <w:tr>
        <w:tc>
          <w:tcPr>
            <w:tcW w:type="dxa" w:w="2424"/>
            <w:tcMar>
              <w:top w:w="70" w:type="dxa"/>
              <w:start w:w="90" w:type="dxa"/>
              <w:bottom w:w="70" w:type="dxa"/>
              <w:end w:w="90" w:type="dxa"/>
            </w:tcMar>
            <w:vAlign w:val="center"/>
          </w:tcPr>
          <w:p>
            <w:pPr>
              <w:spacing w:after="0"/>
            </w:pPr>
            <w:r>
              <w:rPr>
                <w:color w:val="1F2937"/>
                <w:sz w:val="14"/>
              </w:rPr>
              <w:t>WF-10</w:t>
            </w:r>
          </w:p>
        </w:tc>
        <w:tc>
          <w:tcPr>
            <w:tcW w:type="dxa" w:w="2424"/>
            <w:tcMar>
              <w:top w:w="70" w:type="dxa"/>
              <w:start w:w="90" w:type="dxa"/>
              <w:bottom w:w="70" w:type="dxa"/>
              <w:end w:w="90" w:type="dxa"/>
            </w:tcMar>
            <w:vAlign w:val="center"/>
          </w:tcPr>
          <w:p>
            <w:pPr>
              <w:spacing w:after="0"/>
            </w:pPr>
            <w:r>
              <w:rPr>
                <w:color w:val="1F2937"/>
                <w:sz w:val="14"/>
              </w:rPr>
              <w:t>Start Shift — Opening Readings</w:t>
            </w:r>
          </w:p>
        </w:tc>
        <w:tc>
          <w:tcPr>
            <w:tcW w:type="dxa" w:w="2424"/>
            <w:tcMar>
              <w:top w:w="70" w:type="dxa"/>
              <w:start w:w="90" w:type="dxa"/>
              <w:bottom w:w="70" w:type="dxa"/>
              <w:end w:w="90" w:type="dxa"/>
            </w:tcMar>
            <w:vAlign w:val="center"/>
          </w:tcPr>
          <w:p>
            <w:pPr>
              <w:spacing w:after="0"/>
            </w:pPr>
            <w:r>
              <w:rPr>
                <w:color w:val="1F2937"/>
                <w:sz w:val="14"/>
              </w:rPr>
              <w:t>Supervisor</w:t>
            </w:r>
          </w:p>
        </w:tc>
        <w:tc>
          <w:tcPr>
            <w:tcW w:type="dxa" w:w="2424"/>
            <w:tcMar>
              <w:top w:w="70" w:type="dxa"/>
              <w:start w:w="90" w:type="dxa"/>
              <w:bottom w:w="70" w:type="dxa"/>
              <w:end w:w="90" w:type="dxa"/>
            </w:tcMar>
            <w:vAlign w:val="center"/>
          </w:tcPr>
          <w:p>
            <w:pPr>
              <w:spacing w:after="0"/>
            </w:pPr>
            <w:r>
              <w:rPr>
                <w:color w:val="1F2937"/>
                <w:sz w:val="14"/>
              </w:rPr>
              <w:t>Mobile</w:t>
            </w:r>
          </w:p>
        </w:tc>
        <w:tc>
          <w:tcPr>
            <w:tcW w:type="dxa" w:w="2424"/>
            <w:tcMar>
              <w:top w:w="70" w:type="dxa"/>
              <w:start w:w="90" w:type="dxa"/>
              <w:bottom w:w="70" w:type="dxa"/>
              <w:end w:w="90" w:type="dxa"/>
            </w:tcMar>
            <w:vAlign w:val="center"/>
          </w:tcPr>
          <w:p>
            <w:pPr>
              <w:spacing w:after="0"/>
            </w:pPr>
            <w:r>
              <w:rPr>
                <w:color w:val="1F2937"/>
                <w:sz w:val="14"/>
              </w:rPr>
              <w:t>Confirm readings</w:t>
            </w:r>
          </w:p>
        </w:tc>
        <w:tc>
          <w:tcPr>
            <w:tcW w:type="dxa" w:w="2424"/>
            <w:tcMar>
              <w:top w:w="70" w:type="dxa"/>
              <w:start w:w="90" w:type="dxa"/>
              <w:bottom w:w="70" w:type="dxa"/>
              <w:end w:w="90" w:type="dxa"/>
            </w:tcMar>
            <w:vAlign w:val="center"/>
          </w:tcPr>
          <w:p>
            <w:pPr>
              <w:spacing w:after="0"/>
            </w:pPr>
            <w:r>
              <w:rPr>
                <w:color w:val="1F2937"/>
                <w:sz w:val="14"/>
              </w:rPr>
              <w:t>ConfirmMeterBoundary</w:t>
            </w:r>
          </w:p>
        </w:tc>
      </w:tr>
      <w:tr>
        <w:tc>
          <w:tcPr>
            <w:tcW w:type="dxa" w:w="2424"/>
            <w:tcMar>
              <w:top w:w="70" w:type="dxa"/>
              <w:start w:w="90" w:type="dxa"/>
              <w:bottom w:w="70" w:type="dxa"/>
              <w:end w:w="90" w:type="dxa"/>
            </w:tcMar>
            <w:vAlign w:val="center"/>
          </w:tcPr>
          <w:p>
            <w:pPr>
              <w:spacing w:after="0"/>
            </w:pPr>
            <w:r>
              <w:rPr>
                <w:color w:val="1F2937"/>
                <w:sz w:val="14"/>
              </w:rPr>
              <w:t>WF-11</w:t>
            </w:r>
          </w:p>
        </w:tc>
        <w:tc>
          <w:tcPr>
            <w:tcW w:type="dxa" w:w="2424"/>
            <w:tcMar>
              <w:top w:w="70" w:type="dxa"/>
              <w:start w:w="90" w:type="dxa"/>
              <w:bottom w:w="70" w:type="dxa"/>
              <w:end w:w="90" w:type="dxa"/>
            </w:tcMar>
            <w:vAlign w:val="center"/>
          </w:tcPr>
          <w:p>
            <w:pPr>
              <w:spacing w:after="0"/>
            </w:pPr>
            <w:r>
              <w:rPr>
                <w:color w:val="1F2937"/>
                <w:sz w:val="14"/>
              </w:rPr>
              <w:t>Shift Workflow</w:t>
            </w:r>
          </w:p>
        </w:tc>
        <w:tc>
          <w:tcPr>
            <w:tcW w:type="dxa" w:w="2424"/>
            <w:tcMar>
              <w:top w:w="70" w:type="dxa"/>
              <w:start w:w="90" w:type="dxa"/>
              <w:bottom w:w="70" w:type="dxa"/>
              <w:end w:w="90" w:type="dxa"/>
            </w:tcMar>
            <w:vAlign w:val="center"/>
          </w:tcPr>
          <w:p>
            <w:pPr>
              <w:spacing w:after="0"/>
            </w:pPr>
            <w:r>
              <w:rPr>
                <w:color w:val="1F2937"/>
                <w:sz w:val="14"/>
              </w:rPr>
              <w:t>Supervisor</w:t>
            </w:r>
          </w:p>
        </w:tc>
        <w:tc>
          <w:tcPr>
            <w:tcW w:type="dxa" w:w="2424"/>
            <w:tcMar>
              <w:top w:w="70" w:type="dxa"/>
              <w:start w:w="90" w:type="dxa"/>
              <w:bottom w:w="70" w:type="dxa"/>
              <w:end w:w="90" w:type="dxa"/>
            </w:tcMar>
            <w:vAlign w:val="center"/>
          </w:tcPr>
          <w:p>
            <w:pPr>
              <w:spacing w:after="0"/>
            </w:pPr>
            <w:r>
              <w:rPr>
                <w:color w:val="1F2937"/>
                <w:sz w:val="14"/>
              </w:rPr>
              <w:t>Mobile</w:t>
            </w:r>
          </w:p>
        </w:tc>
        <w:tc>
          <w:tcPr>
            <w:tcW w:type="dxa" w:w="2424"/>
            <w:tcMar>
              <w:top w:w="70" w:type="dxa"/>
              <w:start w:w="90" w:type="dxa"/>
              <w:bottom w:w="70" w:type="dxa"/>
              <w:end w:w="90" w:type="dxa"/>
            </w:tcMar>
            <w:vAlign w:val="center"/>
          </w:tcPr>
          <w:p>
            <w:pPr>
              <w:spacing w:after="0"/>
            </w:pPr>
            <w:r>
              <w:rPr>
                <w:color w:val="1F2937"/>
                <w:sz w:val="14"/>
              </w:rPr>
              <w:t>Open task</w:t>
            </w:r>
          </w:p>
        </w:tc>
        <w:tc>
          <w:tcPr>
            <w:tcW w:type="dxa" w:w="2424"/>
            <w:tcMar>
              <w:top w:w="70" w:type="dxa"/>
              <w:start w:w="90" w:type="dxa"/>
              <w:bottom w:w="70" w:type="dxa"/>
              <w:end w:w="90" w:type="dxa"/>
            </w:tcMar>
            <w:vAlign w:val="center"/>
          </w:tcPr>
          <w:p>
            <w:pPr>
              <w:spacing w:after="0"/>
            </w:pPr>
            <w:r>
              <w:rPr>
                <w:color w:val="1F2937"/>
                <w:sz w:val="14"/>
              </w:rPr>
              <w:t>—</w:t>
            </w:r>
          </w:p>
        </w:tc>
      </w:tr>
      <w:tr>
        <w:tc>
          <w:tcPr>
            <w:tcW w:type="dxa" w:w="2424"/>
            <w:tcMar>
              <w:top w:w="70" w:type="dxa"/>
              <w:start w:w="90" w:type="dxa"/>
              <w:bottom w:w="70" w:type="dxa"/>
              <w:end w:w="90" w:type="dxa"/>
            </w:tcMar>
            <w:vAlign w:val="center"/>
          </w:tcPr>
          <w:p>
            <w:pPr>
              <w:spacing w:after="0"/>
            </w:pPr>
            <w:r>
              <w:rPr>
                <w:color w:val="1F2937"/>
                <w:sz w:val="14"/>
              </w:rPr>
              <w:t>WF-12</w:t>
            </w:r>
          </w:p>
        </w:tc>
        <w:tc>
          <w:tcPr>
            <w:tcW w:type="dxa" w:w="2424"/>
            <w:tcMar>
              <w:top w:w="70" w:type="dxa"/>
              <w:start w:w="90" w:type="dxa"/>
              <w:bottom w:w="70" w:type="dxa"/>
              <w:end w:w="90" w:type="dxa"/>
            </w:tcMar>
            <w:vAlign w:val="center"/>
          </w:tcPr>
          <w:p>
            <w:pPr>
              <w:spacing w:after="0"/>
            </w:pPr>
            <w:r>
              <w:rPr>
                <w:color w:val="1F2937"/>
                <w:sz w:val="14"/>
              </w:rPr>
              <w:t>Nozzle Handover</w:t>
            </w:r>
          </w:p>
        </w:tc>
        <w:tc>
          <w:tcPr>
            <w:tcW w:type="dxa" w:w="2424"/>
            <w:tcMar>
              <w:top w:w="70" w:type="dxa"/>
              <w:start w:w="90" w:type="dxa"/>
              <w:bottom w:w="70" w:type="dxa"/>
              <w:end w:w="90" w:type="dxa"/>
            </w:tcMar>
            <w:vAlign w:val="center"/>
          </w:tcPr>
          <w:p>
            <w:pPr>
              <w:spacing w:after="0"/>
            </w:pPr>
            <w:r>
              <w:rPr>
                <w:color w:val="1F2937"/>
                <w:sz w:val="14"/>
              </w:rPr>
              <w:t>Supervisor</w:t>
            </w:r>
          </w:p>
        </w:tc>
        <w:tc>
          <w:tcPr>
            <w:tcW w:type="dxa" w:w="2424"/>
            <w:tcMar>
              <w:top w:w="70" w:type="dxa"/>
              <w:start w:w="90" w:type="dxa"/>
              <w:bottom w:w="70" w:type="dxa"/>
              <w:end w:w="90" w:type="dxa"/>
            </w:tcMar>
            <w:vAlign w:val="center"/>
          </w:tcPr>
          <w:p>
            <w:pPr>
              <w:spacing w:after="0"/>
            </w:pPr>
            <w:r>
              <w:rPr>
                <w:color w:val="1F2937"/>
                <w:sz w:val="14"/>
              </w:rPr>
              <w:t>Mobile</w:t>
            </w:r>
          </w:p>
        </w:tc>
        <w:tc>
          <w:tcPr>
            <w:tcW w:type="dxa" w:w="2424"/>
            <w:tcMar>
              <w:top w:w="70" w:type="dxa"/>
              <w:start w:w="90" w:type="dxa"/>
              <w:bottom w:w="70" w:type="dxa"/>
              <w:end w:w="90" w:type="dxa"/>
            </w:tcMar>
            <w:vAlign w:val="center"/>
          </w:tcPr>
          <w:p>
            <w:pPr>
              <w:spacing w:after="0"/>
            </w:pPr>
            <w:r>
              <w:rPr>
                <w:color w:val="1F2937"/>
                <w:sz w:val="14"/>
              </w:rPr>
              <w:t>Confirm Handover</w:t>
            </w:r>
          </w:p>
        </w:tc>
        <w:tc>
          <w:tcPr>
            <w:tcW w:type="dxa" w:w="2424"/>
            <w:tcMar>
              <w:top w:w="70" w:type="dxa"/>
              <w:start w:w="90" w:type="dxa"/>
              <w:bottom w:w="70" w:type="dxa"/>
              <w:end w:w="90" w:type="dxa"/>
            </w:tcMar>
            <w:vAlign w:val="center"/>
          </w:tcPr>
          <w:p>
            <w:pPr>
              <w:spacing w:after="0"/>
            </w:pPr>
            <w:r>
              <w:rPr>
                <w:color w:val="1F2937"/>
                <w:sz w:val="14"/>
              </w:rPr>
              <w:t>HandoverNozzle</w:t>
            </w:r>
          </w:p>
        </w:tc>
      </w:tr>
      <w:tr>
        <w:tc>
          <w:tcPr>
            <w:tcW w:type="dxa" w:w="2424"/>
            <w:tcMar>
              <w:top w:w="70" w:type="dxa"/>
              <w:start w:w="90" w:type="dxa"/>
              <w:bottom w:w="70" w:type="dxa"/>
              <w:end w:w="90" w:type="dxa"/>
            </w:tcMar>
            <w:vAlign w:val="center"/>
          </w:tcPr>
          <w:p>
            <w:pPr>
              <w:spacing w:after="0"/>
            </w:pPr>
            <w:r>
              <w:rPr>
                <w:color w:val="1F2937"/>
                <w:sz w:val="14"/>
              </w:rPr>
              <w:t>WF-13</w:t>
            </w:r>
          </w:p>
        </w:tc>
        <w:tc>
          <w:tcPr>
            <w:tcW w:type="dxa" w:w="2424"/>
            <w:tcMar>
              <w:top w:w="70" w:type="dxa"/>
              <w:start w:w="90" w:type="dxa"/>
              <w:bottom w:w="70" w:type="dxa"/>
              <w:end w:w="90" w:type="dxa"/>
            </w:tcMar>
            <w:vAlign w:val="center"/>
          </w:tcPr>
          <w:p>
            <w:pPr>
              <w:spacing w:after="0"/>
            </w:pPr>
            <w:r>
              <w:rPr>
                <w:color w:val="1F2937"/>
                <w:sz w:val="14"/>
              </w:rPr>
              <w:t>Close Shift</w:t>
            </w:r>
          </w:p>
        </w:tc>
        <w:tc>
          <w:tcPr>
            <w:tcW w:type="dxa" w:w="2424"/>
            <w:tcMar>
              <w:top w:w="70" w:type="dxa"/>
              <w:start w:w="90" w:type="dxa"/>
              <w:bottom w:w="70" w:type="dxa"/>
              <w:end w:w="90" w:type="dxa"/>
            </w:tcMar>
            <w:vAlign w:val="center"/>
          </w:tcPr>
          <w:p>
            <w:pPr>
              <w:spacing w:after="0"/>
            </w:pPr>
            <w:r>
              <w:rPr>
                <w:color w:val="1F2937"/>
                <w:sz w:val="14"/>
              </w:rPr>
              <w:t>Supervisor</w:t>
            </w:r>
          </w:p>
        </w:tc>
        <w:tc>
          <w:tcPr>
            <w:tcW w:type="dxa" w:w="2424"/>
            <w:tcMar>
              <w:top w:w="70" w:type="dxa"/>
              <w:start w:w="90" w:type="dxa"/>
              <w:bottom w:w="70" w:type="dxa"/>
              <w:end w:w="90" w:type="dxa"/>
            </w:tcMar>
            <w:vAlign w:val="center"/>
          </w:tcPr>
          <w:p>
            <w:pPr>
              <w:spacing w:after="0"/>
            </w:pPr>
            <w:r>
              <w:rPr>
                <w:color w:val="1F2937"/>
                <w:sz w:val="14"/>
              </w:rPr>
              <w:t>Mobile</w:t>
            </w:r>
          </w:p>
        </w:tc>
        <w:tc>
          <w:tcPr>
            <w:tcW w:type="dxa" w:w="2424"/>
            <w:tcMar>
              <w:top w:w="70" w:type="dxa"/>
              <w:start w:w="90" w:type="dxa"/>
              <w:bottom w:w="70" w:type="dxa"/>
              <w:end w:w="90" w:type="dxa"/>
            </w:tcMar>
            <w:vAlign w:val="center"/>
          </w:tcPr>
          <w:p>
            <w:pPr>
              <w:spacing w:after="0"/>
            </w:pPr>
            <w:r>
              <w:rPr>
                <w:color w:val="1F2937"/>
                <w:sz w:val="14"/>
              </w:rPr>
              <w:t>Meter Close Shift</w:t>
            </w:r>
          </w:p>
        </w:tc>
        <w:tc>
          <w:tcPr>
            <w:tcW w:type="dxa" w:w="2424"/>
            <w:tcMar>
              <w:top w:w="70" w:type="dxa"/>
              <w:start w:w="90" w:type="dxa"/>
              <w:bottom w:w="70" w:type="dxa"/>
              <w:end w:w="90" w:type="dxa"/>
            </w:tcMar>
            <w:vAlign w:val="center"/>
          </w:tcPr>
          <w:p>
            <w:pPr>
              <w:spacing w:after="0"/>
            </w:pPr>
            <w:r>
              <w:rPr>
                <w:color w:val="1F2937"/>
                <w:sz w:val="14"/>
              </w:rPr>
              <w:t>CloseMeters</w:t>
            </w:r>
          </w:p>
        </w:tc>
      </w:tr>
      <w:tr>
        <w:tc>
          <w:tcPr>
            <w:tcW w:type="dxa" w:w="2424"/>
            <w:tcMar>
              <w:top w:w="70" w:type="dxa"/>
              <w:start w:w="90" w:type="dxa"/>
              <w:bottom w:w="70" w:type="dxa"/>
              <w:end w:w="90" w:type="dxa"/>
            </w:tcMar>
            <w:vAlign w:val="center"/>
          </w:tcPr>
          <w:p>
            <w:pPr>
              <w:spacing w:after="0"/>
            </w:pPr>
            <w:r>
              <w:rPr>
                <w:color w:val="1F2937"/>
                <w:sz w:val="14"/>
              </w:rPr>
              <w:t>WF-14</w:t>
            </w:r>
          </w:p>
        </w:tc>
        <w:tc>
          <w:tcPr>
            <w:tcW w:type="dxa" w:w="2424"/>
            <w:tcMar>
              <w:top w:w="70" w:type="dxa"/>
              <w:start w:w="90" w:type="dxa"/>
              <w:bottom w:w="70" w:type="dxa"/>
              <w:end w:w="90" w:type="dxa"/>
            </w:tcMar>
            <w:vAlign w:val="center"/>
          </w:tcPr>
          <w:p>
            <w:pPr>
              <w:spacing w:after="0"/>
            </w:pPr>
            <w:r>
              <w:rPr>
                <w:color w:val="1F2937"/>
                <w:sz w:val="14"/>
              </w:rPr>
              <w:t>Reconciliation Summary</w:t>
            </w:r>
          </w:p>
        </w:tc>
        <w:tc>
          <w:tcPr>
            <w:tcW w:type="dxa" w:w="2424"/>
            <w:tcMar>
              <w:top w:w="70" w:type="dxa"/>
              <w:start w:w="90" w:type="dxa"/>
              <w:bottom w:w="70" w:type="dxa"/>
              <w:end w:w="90" w:type="dxa"/>
            </w:tcMar>
            <w:vAlign w:val="center"/>
          </w:tcPr>
          <w:p>
            <w:pPr>
              <w:spacing w:after="0"/>
            </w:pPr>
            <w:r>
              <w:rPr>
                <w:color w:val="1F2937"/>
                <w:sz w:val="14"/>
              </w:rPr>
              <w:t>Supervisor</w:t>
            </w:r>
          </w:p>
        </w:tc>
        <w:tc>
          <w:tcPr>
            <w:tcW w:type="dxa" w:w="2424"/>
            <w:tcMar>
              <w:top w:w="70" w:type="dxa"/>
              <w:start w:w="90" w:type="dxa"/>
              <w:bottom w:w="70" w:type="dxa"/>
              <w:end w:w="90" w:type="dxa"/>
            </w:tcMar>
            <w:vAlign w:val="center"/>
          </w:tcPr>
          <w:p>
            <w:pPr>
              <w:spacing w:after="0"/>
            </w:pPr>
            <w:r>
              <w:rPr>
                <w:color w:val="1F2937"/>
                <w:sz w:val="14"/>
              </w:rPr>
              <w:t>Mobile</w:t>
            </w:r>
          </w:p>
        </w:tc>
        <w:tc>
          <w:tcPr>
            <w:tcW w:type="dxa" w:w="2424"/>
            <w:tcMar>
              <w:top w:w="70" w:type="dxa"/>
              <w:start w:w="90" w:type="dxa"/>
              <w:bottom w:w="70" w:type="dxa"/>
              <w:end w:w="90" w:type="dxa"/>
            </w:tcMar>
            <w:vAlign w:val="center"/>
          </w:tcPr>
          <w:p>
            <w:pPr>
              <w:spacing w:after="0"/>
            </w:pPr>
            <w:r>
              <w:rPr>
                <w:color w:val="1F2937"/>
                <w:sz w:val="14"/>
              </w:rPr>
              <w:t>Review exceptions</w:t>
            </w:r>
          </w:p>
        </w:tc>
        <w:tc>
          <w:tcPr>
            <w:tcW w:type="dxa" w:w="2424"/>
            <w:tcMar>
              <w:top w:w="70" w:type="dxa"/>
              <w:start w:w="90" w:type="dxa"/>
              <w:bottom w:w="70" w:type="dxa"/>
              <w:end w:w="90" w:type="dxa"/>
            </w:tcMar>
            <w:vAlign w:val="center"/>
          </w:tcPr>
          <w:p>
            <w:pPr>
              <w:spacing w:after="0"/>
            </w:pPr>
            <w:r>
              <w:rPr>
                <w:color w:val="1F2937"/>
                <w:sz w:val="14"/>
              </w:rPr>
              <w:t>CalculateReconciliation</w:t>
            </w:r>
          </w:p>
        </w:tc>
      </w:tr>
      <w:tr>
        <w:tc>
          <w:tcPr>
            <w:tcW w:type="dxa" w:w="2424"/>
            <w:tcMar>
              <w:top w:w="70" w:type="dxa"/>
              <w:start w:w="90" w:type="dxa"/>
              <w:bottom w:w="70" w:type="dxa"/>
              <w:end w:w="90" w:type="dxa"/>
            </w:tcMar>
            <w:vAlign w:val="center"/>
          </w:tcPr>
          <w:p>
            <w:pPr>
              <w:spacing w:after="0"/>
            </w:pPr>
            <w:r>
              <w:rPr>
                <w:color w:val="1F2937"/>
                <w:sz w:val="14"/>
              </w:rPr>
              <w:t>WF-15</w:t>
            </w:r>
          </w:p>
        </w:tc>
        <w:tc>
          <w:tcPr>
            <w:tcW w:type="dxa" w:w="2424"/>
            <w:tcMar>
              <w:top w:w="70" w:type="dxa"/>
              <w:start w:w="90" w:type="dxa"/>
              <w:bottom w:w="70" w:type="dxa"/>
              <w:end w:w="90" w:type="dxa"/>
            </w:tcMar>
            <w:vAlign w:val="center"/>
          </w:tcPr>
          <w:p>
            <w:pPr>
              <w:spacing w:after="0"/>
            </w:pPr>
            <w:r>
              <w:rPr>
                <w:color w:val="1F2937"/>
                <w:sz w:val="14"/>
              </w:rPr>
              <w:t>Reconciliation Exceptions</w:t>
            </w:r>
          </w:p>
        </w:tc>
        <w:tc>
          <w:tcPr>
            <w:tcW w:type="dxa" w:w="2424"/>
            <w:tcMar>
              <w:top w:w="70" w:type="dxa"/>
              <w:start w:w="90" w:type="dxa"/>
              <w:bottom w:w="70" w:type="dxa"/>
              <w:end w:w="90" w:type="dxa"/>
            </w:tcMar>
            <w:vAlign w:val="center"/>
          </w:tcPr>
          <w:p>
            <w:pPr>
              <w:spacing w:after="0"/>
            </w:pPr>
            <w:r>
              <w:rPr>
                <w:color w:val="1F2937"/>
                <w:sz w:val="14"/>
              </w:rPr>
              <w:t>Supervisor</w:t>
            </w:r>
          </w:p>
        </w:tc>
        <w:tc>
          <w:tcPr>
            <w:tcW w:type="dxa" w:w="2424"/>
            <w:tcMar>
              <w:top w:w="70" w:type="dxa"/>
              <w:start w:w="90" w:type="dxa"/>
              <w:bottom w:w="70" w:type="dxa"/>
              <w:end w:w="90" w:type="dxa"/>
            </w:tcMar>
            <w:vAlign w:val="center"/>
          </w:tcPr>
          <w:p>
            <w:pPr>
              <w:spacing w:after="0"/>
            </w:pPr>
            <w:r>
              <w:rPr>
                <w:color w:val="1F2937"/>
                <w:sz w:val="14"/>
              </w:rPr>
              <w:t>Mobile</w:t>
            </w:r>
          </w:p>
        </w:tc>
        <w:tc>
          <w:tcPr>
            <w:tcW w:type="dxa" w:w="2424"/>
            <w:tcMar>
              <w:top w:w="70" w:type="dxa"/>
              <w:start w:w="90" w:type="dxa"/>
              <w:bottom w:w="70" w:type="dxa"/>
              <w:end w:w="90" w:type="dxa"/>
            </w:tcMar>
            <w:vAlign w:val="center"/>
          </w:tcPr>
          <w:p>
            <w:pPr>
              <w:spacing w:after="0"/>
            </w:pPr>
            <w:r>
              <w:rPr>
                <w:color w:val="1F2937"/>
                <w:sz w:val="14"/>
              </w:rPr>
              <w:t>Save explanation</w:t>
            </w:r>
          </w:p>
        </w:tc>
        <w:tc>
          <w:tcPr>
            <w:tcW w:type="dxa" w:w="2424"/>
            <w:tcMar>
              <w:top w:w="70" w:type="dxa"/>
              <w:start w:w="90" w:type="dxa"/>
              <w:bottom w:w="70" w:type="dxa"/>
              <w:end w:w="90" w:type="dxa"/>
            </w:tcMar>
            <w:vAlign w:val="center"/>
          </w:tcPr>
          <w:p>
            <w:pPr>
              <w:spacing w:after="0"/>
            </w:pPr>
            <w:r>
              <w:rPr>
                <w:color w:val="1F2937"/>
                <w:sz w:val="14"/>
              </w:rPr>
              <w:t>ResolveReconciliationException</w:t>
            </w:r>
          </w:p>
        </w:tc>
      </w:tr>
      <w:tr>
        <w:tc>
          <w:tcPr>
            <w:tcW w:type="dxa" w:w="2424"/>
            <w:tcMar>
              <w:top w:w="70" w:type="dxa"/>
              <w:start w:w="90" w:type="dxa"/>
              <w:bottom w:w="70" w:type="dxa"/>
              <w:end w:w="90" w:type="dxa"/>
            </w:tcMar>
            <w:vAlign w:val="center"/>
          </w:tcPr>
          <w:p>
            <w:pPr>
              <w:spacing w:after="0"/>
            </w:pPr>
            <w:r>
              <w:rPr>
                <w:color w:val="1F2937"/>
                <w:sz w:val="14"/>
              </w:rPr>
              <w:t>WF-16</w:t>
            </w:r>
          </w:p>
        </w:tc>
        <w:tc>
          <w:tcPr>
            <w:tcW w:type="dxa" w:w="2424"/>
            <w:tcMar>
              <w:top w:w="70" w:type="dxa"/>
              <w:start w:w="90" w:type="dxa"/>
              <w:bottom w:w="70" w:type="dxa"/>
              <w:end w:w="90" w:type="dxa"/>
            </w:tcMar>
            <w:vAlign w:val="center"/>
          </w:tcPr>
          <w:p>
            <w:pPr>
              <w:spacing w:after="0"/>
            </w:pPr>
            <w:r>
              <w:rPr>
                <w:color w:val="1F2937"/>
                <w:sz w:val="14"/>
              </w:rPr>
              <w:t>Submit Reconciliation</w:t>
            </w:r>
          </w:p>
        </w:tc>
        <w:tc>
          <w:tcPr>
            <w:tcW w:type="dxa" w:w="2424"/>
            <w:tcMar>
              <w:top w:w="70" w:type="dxa"/>
              <w:start w:w="90" w:type="dxa"/>
              <w:bottom w:w="70" w:type="dxa"/>
              <w:end w:w="90" w:type="dxa"/>
            </w:tcMar>
            <w:vAlign w:val="center"/>
          </w:tcPr>
          <w:p>
            <w:pPr>
              <w:spacing w:after="0"/>
            </w:pPr>
            <w:r>
              <w:rPr>
                <w:color w:val="1F2937"/>
                <w:sz w:val="14"/>
              </w:rPr>
              <w:t>Supervisor</w:t>
            </w:r>
          </w:p>
        </w:tc>
        <w:tc>
          <w:tcPr>
            <w:tcW w:type="dxa" w:w="2424"/>
            <w:tcMar>
              <w:top w:w="70" w:type="dxa"/>
              <w:start w:w="90" w:type="dxa"/>
              <w:bottom w:w="70" w:type="dxa"/>
              <w:end w:w="90" w:type="dxa"/>
            </w:tcMar>
            <w:vAlign w:val="center"/>
          </w:tcPr>
          <w:p>
            <w:pPr>
              <w:spacing w:after="0"/>
            </w:pPr>
            <w:r>
              <w:rPr>
                <w:color w:val="1F2937"/>
                <w:sz w:val="14"/>
              </w:rPr>
              <w:t>Mobile</w:t>
            </w:r>
          </w:p>
        </w:tc>
        <w:tc>
          <w:tcPr>
            <w:tcW w:type="dxa" w:w="2424"/>
            <w:tcMar>
              <w:top w:w="70" w:type="dxa"/>
              <w:start w:w="90" w:type="dxa"/>
              <w:bottom w:w="70" w:type="dxa"/>
              <w:end w:w="90" w:type="dxa"/>
            </w:tcMar>
            <w:vAlign w:val="center"/>
          </w:tcPr>
          <w:p>
            <w:pPr>
              <w:spacing w:after="0"/>
            </w:pPr>
            <w:r>
              <w:rPr>
                <w:color w:val="1F2937"/>
                <w:sz w:val="14"/>
              </w:rPr>
              <w:t>Submit Reconciliation</w:t>
            </w:r>
          </w:p>
        </w:tc>
        <w:tc>
          <w:tcPr>
            <w:tcW w:type="dxa" w:w="2424"/>
            <w:tcMar>
              <w:top w:w="70" w:type="dxa"/>
              <w:start w:w="90" w:type="dxa"/>
              <w:bottom w:w="70" w:type="dxa"/>
              <w:end w:w="90" w:type="dxa"/>
            </w:tcMar>
            <w:vAlign w:val="center"/>
          </w:tcPr>
          <w:p>
            <w:pPr>
              <w:spacing w:after="0"/>
            </w:pPr>
            <w:r>
              <w:rPr>
                <w:color w:val="1F2937"/>
                <w:sz w:val="14"/>
              </w:rPr>
              <w:t>SubmitReconciliation</w:t>
            </w:r>
          </w:p>
        </w:tc>
      </w:tr>
      <w:tr>
        <w:tc>
          <w:tcPr>
            <w:tcW w:type="dxa" w:w="2424"/>
            <w:tcMar>
              <w:top w:w="70" w:type="dxa"/>
              <w:start w:w="90" w:type="dxa"/>
              <w:bottom w:w="70" w:type="dxa"/>
              <w:end w:w="90" w:type="dxa"/>
            </w:tcMar>
            <w:vAlign w:val="center"/>
          </w:tcPr>
          <w:p>
            <w:pPr>
              <w:spacing w:after="0"/>
            </w:pPr>
            <w:r>
              <w:rPr>
                <w:color w:val="1F2937"/>
                <w:sz w:val="14"/>
              </w:rPr>
              <w:t>WF-17</w:t>
            </w:r>
          </w:p>
        </w:tc>
        <w:tc>
          <w:tcPr>
            <w:tcW w:type="dxa" w:w="2424"/>
            <w:tcMar>
              <w:top w:w="70" w:type="dxa"/>
              <w:start w:w="90" w:type="dxa"/>
              <w:bottom w:w="70" w:type="dxa"/>
              <w:end w:w="90" w:type="dxa"/>
            </w:tcMar>
            <w:vAlign w:val="center"/>
          </w:tcPr>
          <w:p>
            <w:pPr>
              <w:spacing w:after="0"/>
            </w:pPr>
            <w:r>
              <w:rPr>
                <w:color w:val="1F2937"/>
                <w:sz w:val="14"/>
              </w:rPr>
              <w:t>Reconciliation Waiting</w:t>
            </w:r>
          </w:p>
        </w:tc>
        <w:tc>
          <w:tcPr>
            <w:tcW w:type="dxa" w:w="2424"/>
            <w:tcMar>
              <w:top w:w="70" w:type="dxa"/>
              <w:start w:w="90" w:type="dxa"/>
              <w:bottom w:w="70" w:type="dxa"/>
              <w:end w:w="90" w:type="dxa"/>
            </w:tcMar>
            <w:vAlign w:val="center"/>
          </w:tcPr>
          <w:p>
            <w:pPr>
              <w:spacing w:after="0"/>
            </w:pPr>
            <w:r>
              <w:rPr>
                <w:color w:val="1F2937"/>
                <w:sz w:val="14"/>
              </w:rPr>
              <w:t>Supervisor</w:t>
            </w:r>
          </w:p>
        </w:tc>
        <w:tc>
          <w:tcPr>
            <w:tcW w:type="dxa" w:w="2424"/>
            <w:tcMar>
              <w:top w:w="70" w:type="dxa"/>
              <w:start w:w="90" w:type="dxa"/>
              <w:bottom w:w="70" w:type="dxa"/>
              <w:end w:w="90" w:type="dxa"/>
            </w:tcMar>
            <w:vAlign w:val="center"/>
          </w:tcPr>
          <w:p>
            <w:pPr>
              <w:spacing w:after="0"/>
            </w:pPr>
            <w:r>
              <w:rPr>
                <w:color w:val="1F2937"/>
                <w:sz w:val="14"/>
              </w:rPr>
              <w:t>Mobile</w:t>
            </w:r>
          </w:p>
        </w:tc>
        <w:tc>
          <w:tcPr>
            <w:tcW w:type="dxa" w:w="2424"/>
            <w:tcMar>
              <w:top w:w="70" w:type="dxa"/>
              <w:start w:w="90" w:type="dxa"/>
              <w:bottom w:w="70" w:type="dxa"/>
              <w:end w:w="90" w:type="dxa"/>
            </w:tcMar>
            <w:vAlign w:val="center"/>
          </w:tcPr>
          <w:p>
            <w:pPr>
              <w:spacing w:after="0"/>
            </w:pPr>
            <w:r>
              <w:rPr>
                <w:color w:val="1F2937"/>
                <w:sz w:val="14"/>
              </w:rPr>
              <w:t>View revision</w:t>
            </w:r>
          </w:p>
        </w:tc>
        <w:tc>
          <w:tcPr>
            <w:tcW w:type="dxa" w:w="2424"/>
            <w:tcMar>
              <w:top w:w="70" w:type="dxa"/>
              <w:start w:w="90" w:type="dxa"/>
              <w:bottom w:w="70" w:type="dxa"/>
              <w:end w:w="90" w:type="dxa"/>
            </w:tcMar>
            <w:vAlign w:val="center"/>
          </w:tcPr>
          <w:p>
            <w:pPr>
              <w:spacing w:after="0"/>
            </w:pPr>
            <w:r>
              <w:rPr>
                <w:color w:val="1F2937"/>
                <w:sz w:val="14"/>
              </w:rPr>
              <w:t>—</w:t>
            </w:r>
          </w:p>
        </w:tc>
      </w:tr>
      <w:tr>
        <w:tc>
          <w:tcPr>
            <w:tcW w:type="dxa" w:w="2424"/>
            <w:tcMar>
              <w:top w:w="70" w:type="dxa"/>
              <w:start w:w="90" w:type="dxa"/>
              <w:bottom w:w="70" w:type="dxa"/>
              <w:end w:w="90" w:type="dxa"/>
            </w:tcMar>
            <w:vAlign w:val="center"/>
          </w:tcPr>
          <w:p>
            <w:pPr>
              <w:spacing w:after="0"/>
            </w:pPr>
            <w:r>
              <w:rPr>
                <w:color w:val="1F2937"/>
                <w:sz w:val="14"/>
              </w:rPr>
              <w:t>WF-18</w:t>
            </w:r>
          </w:p>
        </w:tc>
        <w:tc>
          <w:tcPr>
            <w:tcW w:type="dxa" w:w="2424"/>
            <w:tcMar>
              <w:top w:w="70" w:type="dxa"/>
              <w:start w:w="90" w:type="dxa"/>
              <w:bottom w:w="70" w:type="dxa"/>
              <w:end w:w="90" w:type="dxa"/>
            </w:tcMar>
            <w:vAlign w:val="center"/>
          </w:tcPr>
          <w:p>
            <w:pPr>
              <w:spacing w:after="0"/>
            </w:pPr>
            <w:r>
              <w:rPr>
                <w:color w:val="1F2937"/>
                <w:sz w:val="14"/>
              </w:rPr>
              <w:t>Delivery Verification</w:t>
            </w:r>
          </w:p>
        </w:tc>
        <w:tc>
          <w:tcPr>
            <w:tcW w:type="dxa" w:w="2424"/>
            <w:tcMar>
              <w:top w:w="70" w:type="dxa"/>
              <w:start w:w="90" w:type="dxa"/>
              <w:bottom w:w="70" w:type="dxa"/>
              <w:end w:w="90" w:type="dxa"/>
            </w:tcMar>
            <w:vAlign w:val="center"/>
          </w:tcPr>
          <w:p>
            <w:pPr>
              <w:spacing w:after="0"/>
            </w:pPr>
            <w:r>
              <w:rPr>
                <w:color w:val="1F2937"/>
                <w:sz w:val="14"/>
              </w:rPr>
              <w:t>Supervisor</w:t>
            </w:r>
          </w:p>
        </w:tc>
        <w:tc>
          <w:tcPr>
            <w:tcW w:type="dxa" w:w="2424"/>
            <w:tcMar>
              <w:top w:w="70" w:type="dxa"/>
              <w:start w:w="90" w:type="dxa"/>
              <w:bottom w:w="70" w:type="dxa"/>
              <w:end w:w="90" w:type="dxa"/>
            </w:tcMar>
            <w:vAlign w:val="center"/>
          </w:tcPr>
          <w:p>
            <w:pPr>
              <w:spacing w:after="0"/>
            </w:pPr>
            <w:r>
              <w:rPr>
                <w:color w:val="1F2937"/>
                <w:sz w:val="14"/>
              </w:rPr>
              <w:t>Mobile/Tablet</w:t>
            </w:r>
          </w:p>
        </w:tc>
        <w:tc>
          <w:tcPr>
            <w:tcW w:type="dxa" w:w="2424"/>
            <w:tcMar>
              <w:top w:w="70" w:type="dxa"/>
              <w:start w:w="90" w:type="dxa"/>
              <w:bottom w:w="70" w:type="dxa"/>
              <w:end w:w="90" w:type="dxa"/>
            </w:tcMar>
            <w:vAlign w:val="center"/>
          </w:tcPr>
          <w:p>
            <w:pPr>
              <w:spacing w:after="0"/>
            </w:pPr>
            <w:r>
              <w:rPr>
                <w:color w:val="1F2937"/>
                <w:sz w:val="14"/>
              </w:rPr>
              <w:t>Continue</w:t>
            </w:r>
          </w:p>
        </w:tc>
        <w:tc>
          <w:tcPr>
            <w:tcW w:type="dxa" w:w="2424"/>
            <w:tcMar>
              <w:top w:w="70" w:type="dxa"/>
              <w:start w:w="90" w:type="dxa"/>
              <w:bottom w:w="70" w:type="dxa"/>
              <w:end w:w="90" w:type="dxa"/>
            </w:tcMar>
            <w:vAlign w:val="center"/>
          </w:tcPr>
          <w:p>
            <w:pPr>
              <w:spacing w:after="0"/>
            </w:pPr>
            <w:r>
              <w:rPr>
                <w:color w:val="1F2937"/>
                <w:sz w:val="14"/>
              </w:rPr>
              <w:t>StartDeliveryVerification</w:t>
            </w:r>
          </w:p>
        </w:tc>
      </w:tr>
      <w:tr>
        <w:tc>
          <w:tcPr>
            <w:tcW w:type="dxa" w:w="2424"/>
            <w:tcMar>
              <w:top w:w="70" w:type="dxa"/>
              <w:start w:w="90" w:type="dxa"/>
              <w:bottom w:w="70" w:type="dxa"/>
              <w:end w:w="90" w:type="dxa"/>
            </w:tcMar>
            <w:vAlign w:val="center"/>
          </w:tcPr>
          <w:p>
            <w:pPr>
              <w:spacing w:after="0"/>
            </w:pPr>
            <w:r>
              <w:rPr>
                <w:color w:val="1F2937"/>
                <w:sz w:val="14"/>
              </w:rPr>
              <w:t>WF-19</w:t>
            </w:r>
          </w:p>
        </w:tc>
        <w:tc>
          <w:tcPr>
            <w:tcW w:type="dxa" w:w="2424"/>
            <w:tcMar>
              <w:top w:w="70" w:type="dxa"/>
              <w:start w:w="90" w:type="dxa"/>
              <w:bottom w:w="70" w:type="dxa"/>
              <w:end w:w="90" w:type="dxa"/>
            </w:tcMar>
            <w:vAlign w:val="center"/>
          </w:tcPr>
          <w:p>
            <w:pPr>
              <w:spacing w:after="0"/>
            </w:pPr>
            <w:r>
              <w:rPr>
                <w:color w:val="1F2937"/>
                <w:sz w:val="14"/>
              </w:rPr>
              <w:t>Before Offload</w:t>
            </w:r>
          </w:p>
        </w:tc>
        <w:tc>
          <w:tcPr>
            <w:tcW w:type="dxa" w:w="2424"/>
            <w:tcMar>
              <w:top w:w="70" w:type="dxa"/>
              <w:start w:w="90" w:type="dxa"/>
              <w:bottom w:w="70" w:type="dxa"/>
              <w:end w:w="90" w:type="dxa"/>
            </w:tcMar>
            <w:vAlign w:val="center"/>
          </w:tcPr>
          <w:p>
            <w:pPr>
              <w:spacing w:after="0"/>
            </w:pPr>
            <w:r>
              <w:rPr>
                <w:color w:val="1F2937"/>
                <w:sz w:val="14"/>
              </w:rPr>
              <w:t>Supervisor</w:t>
            </w:r>
          </w:p>
        </w:tc>
        <w:tc>
          <w:tcPr>
            <w:tcW w:type="dxa" w:w="2424"/>
            <w:tcMar>
              <w:top w:w="70" w:type="dxa"/>
              <w:start w:w="90" w:type="dxa"/>
              <w:bottom w:w="70" w:type="dxa"/>
              <w:end w:w="90" w:type="dxa"/>
            </w:tcMar>
            <w:vAlign w:val="center"/>
          </w:tcPr>
          <w:p>
            <w:pPr>
              <w:spacing w:after="0"/>
            </w:pPr>
            <w:r>
              <w:rPr>
                <w:color w:val="1F2937"/>
                <w:sz w:val="14"/>
              </w:rPr>
              <w:t>Mobile/Tablet</w:t>
            </w:r>
          </w:p>
        </w:tc>
        <w:tc>
          <w:tcPr>
            <w:tcW w:type="dxa" w:w="2424"/>
            <w:tcMar>
              <w:top w:w="70" w:type="dxa"/>
              <w:start w:w="90" w:type="dxa"/>
              <w:bottom w:w="70" w:type="dxa"/>
              <w:end w:w="90" w:type="dxa"/>
            </w:tcMar>
            <w:vAlign w:val="center"/>
          </w:tcPr>
          <w:p>
            <w:pPr>
              <w:spacing w:after="0"/>
            </w:pPr>
            <w:r>
              <w:rPr>
                <w:color w:val="1F2937"/>
                <w:sz w:val="14"/>
              </w:rPr>
              <w:t>Capture Boundary &amp; Begin</w:t>
            </w:r>
          </w:p>
        </w:tc>
        <w:tc>
          <w:tcPr>
            <w:tcW w:type="dxa" w:w="2424"/>
            <w:tcMar>
              <w:top w:w="70" w:type="dxa"/>
              <w:start w:w="90" w:type="dxa"/>
              <w:bottom w:w="70" w:type="dxa"/>
              <w:end w:w="90" w:type="dxa"/>
            </w:tcMar>
            <w:vAlign w:val="center"/>
          </w:tcPr>
          <w:p>
            <w:pPr>
              <w:spacing w:after="0"/>
            </w:pPr>
            <w:r>
              <w:rPr>
                <w:color w:val="1F2937"/>
                <w:sz w:val="14"/>
              </w:rPr>
              <w:t>BeginOffloading</w:t>
            </w:r>
          </w:p>
        </w:tc>
      </w:tr>
      <w:tr>
        <w:tc>
          <w:tcPr>
            <w:tcW w:type="dxa" w:w="2424"/>
            <w:tcMar>
              <w:top w:w="70" w:type="dxa"/>
              <w:start w:w="90" w:type="dxa"/>
              <w:bottom w:w="70" w:type="dxa"/>
              <w:end w:w="90" w:type="dxa"/>
            </w:tcMar>
            <w:vAlign w:val="center"/>
          </w:tcPr>
          <w:p>
            <w:pPr>
              <w:spacing w:after="0"/>
            </w:pPr>
            <w:r>
              <w:rPr>
                <w:color w:val="1F2937"/>
                <w:sz w:val="14"/>
              </w:rPr>
              <w:t>WF-20</w:t>
            </w:r>
          </w:p>
        </w:tc>
        <w:tc>
          <w:tcPr>
            <w:tcW w:type="dxa" w:w="2424"/>
            <w:tcMar>
              <w:top w:w="70" w:type="dxa"/>
              <w:start w:w="90" w:type="dxa"/>
              <w:bottom w:w="70" w:type="dxa"/>
              <w:end w:w="90" w:type="dxa"/>
            </w:tcMar>
            <w:vAlign w:val="center"/>
          </w:tcPr>
          <w:p>
            <w:pPr>
              <w:spacing w:after="0"/>
            </w:pPr>
            <w:r>
              <w:rPr>
                <w:color w:val="1F2937"/>
                <w:sz w:val="14"/>
              </w:rPr>
              <w:t>Delivery Interrupted</w:t>
            </w:r>
          </w:p>
        </w:tc>
        <w:tc>
          <w:tcPr>
            <w:tcW w:type="dxa" w:w="2424"/>
            <w:tcMar>
              <w:top w:w="70" w:type="dxa"/>
              <w:start w:w="90" w:type="dxa"/>
              <w:bottom w:w="70" w:type="dxa"/>
              <w:end w:w="90" w:type="dxa"/>
            </w:tcMar>
            <w:vAlign w:val="center"/>
          </w:tcPr>
          <w:p>
            <w:pPr>
              <w:spacing w:after="0"/>
            </w:pPr>
            <w:r>
              <w:rPr>
                <w:color w:val="1F2937"/>
                <w:sz w:val="14"/>
              </w:rPr>
              <w:t>Supervisor</w:t>
            </w:r>
          </w:p>
        </w:tc>
        <w:tc>
          <w:tcPr>
            <w:tcW w:type="dxa" w:w="2424"/>
            <w:tcMar>
              <w:top w:w="70" w:type="dxa"/>
              <w:start w:w="90" w:type="dxa"/>
              <w:bottom w:w="70" w:type="dxa"/>
              <w:end w:w="90" w:type="dxa"/>
            </w:tcMar>
            <w:vAlign w:val="center"/>
          </w:tcPr>
          <w:p>
            <w:pPr>
              <w:spacing w:after="0"/>
            </w:pPr>
            <w:r>
              <w:rPr>
                <w:color w:val="1F2937"/>
                <w:sz w:val="14"/>
              </w:rPr>
              <w:t>Mobile/Tablet</w:t>
            </w:r>
          </w:p>
        </w:tc>
        <w:tc>
          <w:tcPr>
            <w:tcW w:type="dxa" w:w="2424"/>
            <w:tcMar>
              <w:top w:w="70" w:type="dxa"/>
              <w:start w:w="90" w:type="dxa"/>
              <w:bottom w:w="70" w:type="dxa"/>
              <w:end w:w="90" w:type="dxa"/>
            </w:tcMar>
            <w:vAlign w:val="center"/>
          </w:tcPr>
          <w:p>
            <w:pPr>
              <w:spacing w:after="0"/>
            </w:pPr>
            <w:r>
              <w:rPr>
                <w:color w:val="1F2937"/>
                <w:sz w:val="14"/>
              </w:rPr>
              <w:t>Resume / Finish Partial</w:t>
            </w:r>
          </w:p>
        </w:tc>
        <w:tc>
          <w:tcPr>
            <w:tcW w:type="dxa" w:w="2424"/>
            <w:tcMar>
              <w:top w:w="70" w:type="dxa"/>
              <w:start w:w="90" w:type="dxa"/>
              <w:bottom w:w="70" w:type="dxa"/>
              <w:end w:w="90" w:type="dxa"/>
            </w:tcMar>
            <w:vAlign w:val="center"/>
          </w:tcPr>
          <w:p>
            <w:pPr>
              <w:spacing w:after="0"/>
            </w:pPr>
            <w:r>
              <w:rPr>
                <w:color w:val="1F2937"/>
                <w:sz w:val="14"/>
              </w:rPr>
              <w:t>ResumeOffloading / FinishPartialReceipt</w:t>
            </w:r>
          </w:p>
        </w:tc>
      </w:tr>
      <w:tr>
        <w:tc>
          <w:tcPr>
            <w:tcW w:type="dxa" w:w="2424"/>
            <w:tcMar>
              <w:top w:w="70" w:type="dxa"/>
              <w:start w:w="90" w:type="dxa"/>
              <w:bottom w:w="70" w:type="dxa"/>
              <w:end w:w="90" w:type="dxa"/>
            </w:tcMar>
            <w:vAlign w:val="center"/>
          </w:tcPr>
          <w:p>
            <w:pPr>
              <w:spacing w:after="0"/>
            </w:pPr>
            <w:r>
              <w:rPr>
                <w:color w:val="1F2937"/>
                <w:sz w:val="14"/>
              </w:rPr>
              <w:t>WF-21</w:t>
            </w:r>
          </w:p>
        </w:tc>
        <w:tc>
          <w:tcPr>
            <w:tcW w:type="dxa" w:w="2424"/>
            <w:tcMar>
              <w:top w:w="70" w:type="dxa"/>
              <w:start w:w="90" w:type="dxa"/>
              <w:bottom w:w="70" w:type="dxa"/>
              <w:end w:w="90" w:type="dxa"/>
            </w:tcMar>
            <w:vAlign w:val="center"/>
          </w:tcPr>
          <w:p>
            <w:pPr>
              <w:spacing w:after="0"/>
            </w:pPr>
            <w:r>
              <w:rPr>
                <w:color w:val="1F2937"/>
                <w:sz w:val="14"/>
              </w:rPr>
              <w:t>Delivery Review</w:t>
            </w:r>
          </w:p>
        </w:tc>
        <w:tc>
          <w:tcPr>
            <w:tcW w:type="dxa" w:w="2424"/>
            <w:tcMar>
              <w:top w:w="70" w:type="dxa"/>
              <w:start w:w="90" w:type="dxa"/>
              <w:bottom w:w="70" w:type="dxa"/>
              <w:end w:w="90" w:type="dxa"/>
            </w:tcMar>
            <w:vAlign w:val="center"/>
          </w:tcPr>
          <w:p>
            <w:pPr>
              <w:spacing w:after="0"/>
            </w:pPr>
            <w:r>
              <w:rPr>
                <w:color w:val="1F2937"/>
                <w:sz w:val="14"/>
              </w:rPr>
              <w:t>Supervisor</w:t>
            </w:r>
          </w:p>
        </w:tc>
        <w:tc>
          <w:tcPr>
            <w:tcW w:type="dxa" w:w="2424"/>
            <w:tcMar>
              <w:top w:w="70" w:type="dxa"/>
              <w:start w:w="90" w:type="dxa"/>
              <w:bottom w:w="70" w:type="dxa"/>
              <w:end w:w="90" w:type="dxa"/>
            </w:tcMar>
            <w:vAlign w:val="center"/>
          </w:tcPr>
          <w:p>
            <w:pPr>
              <w:spacing w:after="0"/>
            </w:pPr>
            <w:r>
              <w:rPr>
                <w:color w:val="1F2937"/>
                <w:sz w:val="14"/>
              </w:rPr>
              <w:t>Mobile/Tablet</w:t>
            </w:r>
          </w:p>
        </w:tc>
        <w:tc>
          <w:tcPr>
            <w:tcW w:type="dxa" w:w="2424"/>
            <w:tcMar>
              <w:top w:w="70" w:type="dxa"/>
              <w:start w:w="90" w:type="dxa"/>
              <w:bottom w:w="70" w:type="dxa"/>
              <w:end w:w="90" w:type="dxa"/>
            </w:tcMar>
            <w:vAlign w:val="center"/>
          </w:tcPr>
          <w:p>
            <w:pPr>
              <w:spacing w:after="0"/>
            </w:pPr>
            <w:r>
              <w:rPr>
                <w:color w:val="1F2937"/>
                <w:sz w:val="14"/>
              </w:rPr>
              <w:t>Confirm Receipt</w:t>
            </w:r>
          </w:p>
        </w:tc>
        <w:tc>
          <w:tcPr>
            <w:tcW w:type="dxa" w:w="2424"/>
            <w:tcMar>
              <w:top w:w="70" w:type="dxa"/>
              <w:start w:w="90" w:type="dxa"/>
              <w:bottom w:w="70" w:type="dxa"/>
              <w:end w:w="90" w:type="dxa"/>
            </w:tcMar>
            <w:vAlign w:val="center"/>
          </w:tcPr>
          <w:p>
            <w:pPr>
              <w:spacing w:after="0"/>
            </w:pPr>
            <w:r>
              <w:rPr>
                <w:color w:val="1F2937"/>
                <w:sz w:val="14"/>
              </w:rPr>
              <w:t>ConfirmDelivery</w:t>
            </w:r>
          </w:p>
        </w:tc>
      </w:tr>
      <w:tr>
        <w:tc>
          <w:tcPr>
            <w:tcW w:type="dxa" w:w="2424"/>
            <w:tcMar>
              <w:top w:w="70" w:type="dxa"/>
              <w:start w:w="90" w:type="dxa"/>
              <w:bottom w:w="70" w:type="dxa"/>
              <w:end w:w="90" w:type="dxa"/>
            </w:tcMar>
            <w:vAlign w:val="center"/>
          </w:tcPr>
          <w:p>
            <w:pPr>
              <w:spacing w:after="0"/>
            </w:pPr>
            <w:r>
              <w:rPr>
                <w:color w:val="1F2937"/>
                <w:sz w:val="14"/>
              </w:rPr>
              <w:t>WF-22</w:t>
            </w:r>
          </w:p>
        </w:tc>
        <w:tc>
          <w:tcPr>
            <w:tcW w:type="dxa" w:w="2424"/>
            <w:tcMar>
              <w:top w:w="70" w:type="dxa"/>
              <w:start w:w="90" w:type="dxa"/>
              <w:bottom w:w="70" w:type="dxa"/>
              <w:end w:w="90" w:type="dxa"/>
            </w:tcMar>
            <w:vAlign w:val="center"/>
          </w:tcPr>
          <w:p>
            <w:pPr>
              <w:spacing w:after="0"/>
            </w:pPr>
            <w:r>
              <w:rPr>
                <w:color w:val="1F2937"/>
                <w:sz w:val="14"/>
              </w:rPr>
              <w:t>Cash Position</w:t>
            </w:r>
          </w:p>
        </w:tc>
        <w:tc>
          <w:tcPr>
            <w:tcW w:type="dxa" w:w="2424"/>
            <w:tcMar>
              <w:top w:w="70" w:type="dxa"/>
              <w:start w:w="90" w:type="dxa"/>
              <w:bottom w:w="70" w:type="dxa"/>
              <w:end w:w="90" w:type="dxa"/>
            </w:tcMar>
            <w:vAlign w:val="center"/>
          </w:tcPr>
          <w:p>
            <w:pPr>
              <w:spacing w:after="0"/>
            </w:pPr>
            <w:r>
              <w:rPr>
                <w:color w:val="1F2937"/>
                <w:sz w:val="14"/>
              </w:rPr>
              <w:t>Supervisor</w:t>
            </w:r>
          </w:p>
        </w:tc>
        <w:tc>
          <w:tcPr>
            <w:tcW w:type="dxa" w:w="2424"/>
            <w:tcMar>
              <w:top w:w="70" w:type="dxa"/>
              <w:start w:w="90" w:type="dxa"/>
              <w:bottom w:w="70" w:type="dxa"/>
              <w:end w:w="90" w:type="dxa"/>
            </w:tcMar>
            <w:vAlign w:val="center"/>
          </w:tcPr>
          <w:p>
            <w:pPr>
              <w:spacing w:after="0"/>
            </w:pPr>
            <w:r>
              <w:rPr>
                <w:color w:val="1F2937"/>
                <w:sz w:val="14"/>
              </w:rPr>
              <w:t>Mobile</w:t>
            </w:r>
          </w:p>
        </w:tc>
        <w:tc>
          <w:tcPr>
            <w:tcW w:type="dxa" w:w="2424"/>
            <w:tcMar>
              <w:top w:w="70" w:type="dxa"/>
              <w:start w:w="90" w:type="dxa"/>
              <w:bottom w:w="70" w:type="dxa"/>
              <w:end w:w="90" w:type="dxa"/>
            </w:tcMar>
            <w:vAlign w:val="center"/>
          </w:tcPr>
          <w:p>
            <w:pPr>
              <w:spacing w:after="0"/>
            </w:pPr>
            <w:r>
              <w:rPr>
                <w:color w:val="1F2937"/>
                <w:sz w:val="14"/>
              </w:rPr>
              <w:t>Count / Prepare Collection</w:t>
            </w:r>
          </w:p>
        </w:tc>
        <w:tc>
          <w:tcPr>
            <w:tcW w:type="dxa" w:w="2424"/>
            <w:tcMar>
              <w:top w:w="70" w:type="dxa"/>
              <w:start w:w="90" w:type="dxa"/>
              <w:bottom w:w="70" w:type="dxa"/>
              <w:end w:w="90" w:type="dxa"/>
            </w:tcMar>
            <w:vAlign w:val="center"/>
          </w:tcPr>
          <w:p>
            <w:pPr>
              <w:spacing w:after="0"/>
            </w:pPr>
            <w:r>
              <w:rPr>
                <w:color w:val="1F2937"/>
                <w:sz w:val="14"/>
              </w:rPr>
              <w:t>—</w:t>
            </w:r>
          </w:p>
        </w:tc>
      </w:tr>
      <w:tr>
        <w:tc>
          <w:tcPr>
            <w:tcW w:type="dxa" w:w="2424"/>
            <w:tcMar>
              <w:top w:w="70" w:type="dxa"/>
              <w:start w:w="90" w:type="dxa"/>
              <w:bottom w:w="70" w:type="dxa"/>
              <w:end w:w="90" w:type="dxa"/>
            </w:tcMar>
            <w:vAlign w:val="center"/>
          </w:tcPr>
          <w:p>
            <w:pPr>
              <w:spacing w:after="0"/>
            </w:pPr>
            <w:r>
              <w:rPr>
                <w:color w:val="1F2937"/>
                <w:sz w:val="14"/>
              </w:rPr>
              <w:t>WF-23</w:t>
            </w:r>
          </w:p>
        </w:tc>
        <w:tc>
          <w:tcPr>
            <w:tcW w:type="dxa" w:w="2424"/>
            <w:tcMar>
              <w:top w:w="70" w:type="dxa"/>
              <w:start w:w="90" w:type="dxa"/>
              <w:bottom w:w="70" w:type="dxa"/>
              <w:end w:w="90" w:type="dxa"/>
            </w:tcMar>
            <w:vAlign w:val="center"/>
          </w:tcPr>
          <w:p>
            <w:pPr>
              <w:spacing w:after="0"/>
            </w:pPr>
            <w:r>
              <w:rPr>
                <w:color w:val="1F2937"/>
                <w:sz w:val="14"/>
              </w:rPr>
              <w:t>Cash Count</w:t>
            </w:r>
          </w:p>
        </w:tc>
        <w:tc>
          <w:tcPr>
            <w:tcW w:type="dxa" w:w="2424"/>
            <w:tcMar>
              <w:top w:w="70" w:type="dxa"/>
              <w:start w:w="90" w:type="dxa"/>
              <w:bottom w:w="70" w:type="dxa"/>
              <w:end w:w="90" w:type="dxa"/>
            </w:tcMar>
            <w:vAlign w:val="center"/>
          </w:tcPr>
          <w:p>
            <w:pPr>
              <w:spacing w:after="0"/>
            </w:pPr>
            <w:r>
              <w:rPr>
                <w:color w:val="1F2937"/>
                <w:sz w:val="14"/>
              </w:rPr>
              <w:t>Supervisor</w:t>
            </w:r>
          </w:p>
        </w:tc>
        <w:tc>
          <w:tcPr>
            <w:tcW w:type="dxa" w:w="2424"/>
            <w:tcMar>
              <w:top w:w="70" w:type="dxa"/>
              <w:start w:w="90" w:type="dxa"/>
              <w:bottom w:w="70" w:type="dxa"/>
              <w:end w:w="90" w:type="dxa"/>
            </w:tcMar>
            <w:vAlign w:val="center"/>
          </w:tcPr>
          <w:p>
            <w:pPr>
              <w:spacing w:after="0"/>
            </w:pPr>
            <w:r>
              <w:rPr>
                <w:color w:val="1F2937"/>
                <w:sz w:val="14"/>
              </w:rPr>
              <w:t>Mobile</w:t>
            </w:r>
          </w:p>
        </w:tc>
        <w:tc>
          <w:tcPr>
            <w:tcW w:type="dxa" w:w="2424"/>
            <w:tcMar>
              <w:top w:w="70" w:type="dxa"/>
              <w:start w:w="90" w:type="dxa"/>
              <w:bottom w:w="70" w:type="dxa"/>
              <w:end w:w="90" w:type="dxa"/>
            </w:tcMar>
            <w:vAlign w:val="center"/>
          </w:tcPr>
          <w:p>
            <w:pPr>
              <w:spacing w:after="0"/>
            </w:pPr>
            <w:r>
              <w:rPr>
                <w:color w:val="1F2937"/>
                <w:sz w:val="14"/>
              </w:rPr>
              <w:t>Confirm Count</w:t>
            </w:r>
          </w:p>
        </w:tc>
        <w:tc>
          <w:tcPr>
            <w:tcW w:type="dxa" w:w="2424"/>
            <w:tcMar>
              <w:top w:w="70" w:type="dxa"/>
              <w:start w:w="90" w:type="dxa"/>
              <w:bottom w:w="70" w:type="dxa"/>
              <w:end w:w="90" w:type="dxa"/>
            </w:tcMar>
            <w:vAlign w:val="center"/>
          </w:tcPr>
          <w:p>
            <w:pPr>
              <w:spacing w:after="0"/>
            </w:pPr>
            <w:r>
              <w:rPr>
                <w:color w:val="1F2937"/>
                <w:sz w:val="14"/>
              </w:rPr>
              <w:t>ConfirmCashCount</w:t>
            </w:r>
          </w:p>
        </w:tc>
      </w:tr>
      <w:tr>
        <w:tc>
          <w:tcPr>
            <w:tcW w:type="dxa" w:w="2424"/>
            <w:tcMar>
              <w:top w:w="70" w:type="dxa"/>
              <w:start w:w="90" w:type="dxa"/>
              <w:bottom w:w="70" w:type="dxa"/>
              <w:end w:w="90" w:type="dxa"/>
            </w:tcMar>
            <w:vAlign w:val="center"/>
          </w:tcPr>
          <w:p>
            <w:pPr>
              <w:spacing w:after="0"/>
            </w:pPr>
            <w:r>
              <w:rPr>
                <w:color w:val="1F2937"/>
                <w:sz w:val="14"/>
              </w:rPr>
              <w:t>WF-24</w:t>
            </w:r>
          </w:p>
        </w:tc>
        <w:tc>
          <w:tcPr>
            <w:tcW w:type="dxa" w:w="2424"/>
            <w:tcMar>
              <w:top w:w="70" w:type="dxa"/>
              <w:start w:w="90" w:type="dxa"/>
              <w:bottom w:w="70" w:type="dxa"/>
              <w:end w:w="90" w:type="dxa"/>
            </w:tcMar>
            <w:vAlign w:val="center"/>
          </w:tcPr>
          <w:p>
            <w:pPr>
              <w:spacing w:after="0"/>
            </w:pPr>
            <w:r>
              <w:rPr>
                <w:color w:val="1F2937"/>
                <w:sz w:val="14"/>
              </w:rPr>
              <w:t>Prepare Collection</w:t>
            </w:r>
          </w:p>
        </w:tc>
        <w:tc>
          <w:tcPr>
            <w:tcW w:type="dxa" w:w="2424"/>
            <w:tcMar>
              <w:top w:w="70" w:type="dxa"/>
              <w:start w:w="90" w:type="dxa"/>
              <w:bottom w:w="70" w:type="dxa"/>
              <w:end w:w="90" w:type="dxa"/>
            </w:tcMar>
            <w:vAlign w:val="center"/>
          </w:tcPr>
          <w:p>
            <w:pPr>
              <w:spacing w:after="0"/>
            </w:pPr>
            <w:r>
              <w:rPr>
                <w:color w:val="1F2937"/>
                <w:sz w:val="14"/>
              </w:rPr>
              <w:t>Supervisor</w:t>
            </w:r>
          </w:p>
        </w:tc>
        <w:tc>
          <w:tcPr>
            <w:tcW w:type="dxa" w:w="2424"/>
            <w:tcMar>
              <w:top w:w="70" w:type="dxa"/>
              <w:start w:w="90" w:type="dxa"/>
              <w:bottom w:w="70" w:type="dxa"/>
              <w:end w:w="90" w:type="dxa"/>
            </w:tcMar>
            <w:vAlign w:val="center"/>
          </w:tcPr>
          <w:p>
            <w:pPr>
              <w:spacing w:after="0"/>
            </w:pPr>
            <w:r>
              <w:rPr>
                <w:color w:val="1F2937"/>
                <w:sz w:val="14"/>
              </w:rPr>
              <w:t>Mobile</w:t>
            </w:r>
          </w:p>
        </w:tc>
        <w:tc>
          <w:tcPr>
            <w:tcW w:type="dxa" w:w="2424"/>
            <w:tcMar>
              <w:top w:w="70" w:type="dxa"/>
              <w:start w:w="90" w:type="dxa"/>
              <w:bottom w:w="70" w:type="dxa"/>
              <w:end w:w="90" w:type="dxa"/>
            </w:tcMar>
            <w:vAlign w:val="center"/>
          </w:tcPr>
          <w:p>
            <w:pPr>
              <w:spacing w:after="0"/>
            </w:pPr>
            <w:r>
              <w:rPr>
                <w:color w:val="1F2937"/>
                <w:sz w:val="14"/>
              </w:rPr>
              <w:t>Prepare Handover</w:t>
            </w:r>
          </w:p>
        </w:tc>
        <w:tc>
          <w:tcPr>
            <w:tcW w:type="dxa" w:w="2424"/>
            <w:tcMar>
              <w:top w:w="70" w:type="dxa"/>
              <w:start w:w="90" w:type="dxa"/>
              <w:bottom w:w="70" w:type="dxa"/>
              <w:end w:w="90" w:type="dxa"/>
            </w:tcMar>
            <w:vAlign w:val="center"/>
          </w:tcPr>
          <w:p>
            <w:pPr>
              <w:spacing w:after="0"/>
            </w:pPr>
            <w:r>
              <w:rPr>
                <w:color w:val="1F2937"/>
                <w:sz w:val="14"/>
              </w:rPr>
              <w:t>PrepareCashCollection</w:t>
            </w:r>
          </w:p>
        </w:tc>
      </w:tr>
      <w:tr>
        <w:tc>
          <w:tcPr>
            <w:tcW w:type="dxa" w:w="2424"/>
            <w:tcMar>
              <w:top w:w="70" w:type="dxa"/>
              <w:start w:w="90" w:type="dxa"/>
              <w:bottom w:w="70" w:type="dxa"/>
              <w:end w:w="90" w:type="dxa"/>
            </w:tcMar>
            <w:vAlign w:val="center"/>
          </w:tcPr>
          <w:p>
            <w:pPr>
              <w:spacing w:after="0"/>
            </w:pPr>
            <w:r>
              <w:rPr>
                <w:color w:val="1F2937"/>
                <w:sz w:val="14"/>
              </w:rPr>
              <w:t>WF-25</w:t>
            </w:r>
          </w:p>
        </w:tc>
        <w:tc>
          <w:tcPr>
            <w:tcW w:type="dxa" w:w="2424"/>
            <w:tcMar>
              <w:top w:w="70" w:type="dxa"/>
              <w:start w:w="90" w:type="dxa"/>
              <w:bottom w:w="70" w:type="dxa"/>
              <w:end w:w="90" w:type="dxa"/>
            </w:tcMar>
            <w:vAlign w:val="center"/>
          </w:tcPr>
          <w:p>
            <w:pPr>
              <w:spacing w:after="0"/>
            </w:pPr>
            <w:r>
              <w:rPr>
                <w:color w:val="1F2937"/>
                <w:sz w:val="14"/>
              </w:rPr>
              <w:t>Confirm Handover</w:t>
            </w:r>
          </w:p>
        </w:tc>
        <w:tc>
          <w:tcPr>
            <w:tcW w:type="dxa" w:w="2424"/>
            <w:tcMar>
              <w:top w:w="70" w:type="dxa"/>
              <w:start w:w="90" w:type="dxa"/>
              <w:bottom w:w="70" w:type="dxa"/>
              <w:end w:w="90" w:type="dxa"/>
            </w:tcMar>
            <w:vAlign w:val="center"/>
          </w:tcPr>
          <w:p>
            <w:pPr>
              <w:spacing w:after="0"/>
            </w:pPr>
            <w:r>
              <w:rPr>
                <w:color w:val="1F2937"/>
                <w:sz w:val="14"/>
              </w:rPr>
              <w:t>Collector</w:t>
            </w:r>
          </w:p>
        </w:tc>
        <w:tc>
          <w:tcPr>
            <w:tcW w:type="dxa" w:w="2424"/>
            <w:tcMar>
              <w:top w:w="70" w:type="dxa"/>
              <w:start w:w="90" w:type="dxa"/>
              <w:bottom w:w="70" w:type="dxa"/>
              <w:end w:w="90" w:type="dxa"/>
            </w:tcMar>
            <w:vAlign w:val="center"/>
          </w:tcPr>
          <w:p>
            <w:pPr>
              <w:spacing w:after="0"/>
            </w:pPr>
            <w:r>
              <w:rPr>
                <w:color w:val="1F2937"/>
                <w:sz w:val="14"/>
              </w:rPr>
              <w:t>Mobile</w:t>
            </w:r>
          </w:p>
        </w:tc>
        <w:tc>
          <w:tcPr>
            <w:tcW w:type="dxa" w:w="2424"/>
            <w:tcMar>
              <w:top w:w="70" w:type="dxa"/>
              <w:start w:w="90" w:type="dxa"/>
              <w:bottom w:w="70" w:type="dxa"/>
              <w:end w:w="90" w:type="dxa"/>
            </w:tcMar>
            <w:vAlign w:val="center"/>
          </w:tcPr>
          <w:p>
            <w:pPr>
              <w:spacing w:after="0"/>
            </w:pPr>
            <w:r>
              <w:rPr>
                <w:color w:val="1F2937"/>
                <w:sz w:val="14"/>
              </w:rPr>
              <w:t>Confirm received amount</w:t>
            </w:r>
          </w:p>
        </w:tc>
        <w:tc>
          <w:tcPr>
            <w:tcW w:type="dxa" w:w="2424"/>
            <w:tcMar>
              <w:top w:w="70" w:type="dxa"/>
              <w:start w:w="90" w:type="dxa"/>
              <w:bottom w:w="70" w:type="dxa"/>
              <w:end w:w="90" w:type="dxa"/>
            </w:tcMar>
            <w:vAlign w:val="center"/>
          </w:tcPr>
          <w:p>
            <w:pPr>
              <w:spacing w:after="0"/>
            </w:pPr>
            <w:r>
              <w:rPr>
                <w:color w:val="1F2937"/>
                <w:sz w:val="14"/>
              </w:rPr>
              <w:t>ConfirmCashHandover</w:t>
            </w:r>
          </w:p>
        </w:tc>
      </w:tr>
      <w:tr>
        <w:tc>
          <w:tcPr>
            <w:tcW w:type="dxa" w:w="2424"/>
            <w:tcMar>
              <w:top w:w="70" w:type="dxa"/>
              <w:start w:w="90" w:type="dxa"/>
              <w:bottom w:w="70" w:type="dxa"/>
              <w:end w:w="90" w:type="dxa"/>
            </w:tcMar>
            <w:vAlign w:val="center"/>
          </w:tcPr>
          <w:p>
            <w:pPr>
              <w:spacing w:after="0"/>
            </w:pPr>
            <w:r>
              <w:rPr>
                <w:color w:val="1F2937"/>
                <w:sz w:val="14"/>
              </w:rPr>
              <w:t>WF-26</w:t>
            </w:r>
          </w:p>
        </w:tc>
        <w:tc>
          <w:tcPr>
            <w:tcW w:type="dxa" w:w="2424"/>
            <w:tcMar>
              <w:top w:w="70" w:type="dxa"/>
              <w:start w:w="90" w:type="dxa"/>
              <w:bottom w:w="70" w:type="dxa"/>
              <w:end w:w="90" w:type="dxa"/>
            </w:tcMar>
            <w:vAlign w:val="center"/>
          </w:tcPr>
          <w:p>
            <w:pPr>
              <w:spacing w:after="0"/>
            </w:pPr>
            <w:r>
              <w:rPr>
                <w:color w:val="1F2937"/>
                <w:sz w:val="14"/>
              </w:rPr>
              <w:t>Offline / Sync</w:t>
            </w:r>
          </w:p>
        </w:tc>
        <w:tc>
          <w:tcPr>
            <w:tcW w:type="dxa" w:w="2424"/>
            <w:tcMar>
              <w:top w:w="70" w:type="dxa"/>
              <w:start w:w="90" w:type="dxa"/>
              <w:bottom w:w="70" w:type="dxa"/>
              <w:end w:w="90" w:type="dxa"/>
            </w:tcMar>
            <w:vAlign w:val="center"/>
          </w:tcPr>
          <w:p>
            <w:pPr>
              <w:spacing w:after="0"/>
            </w:pPr>
            <w:r>
              <w:rPr>
                <w:color w:val="1F2937"/>
                <w:sz w:val="14"/>
              </w:rPr>
              <w:t>Mobile roles</w:t>
            </w:r>
          </w:p>
        </w:tc>
        <w:tc>
          <w:tcPr>
            <w:tcW w:type="dxa" w:w="2424"/>
            <w:tcMar>
              <w:top w:w="70" w:type="dxa"/>
              <w:start w:w="90" w:type="dxa"/>
              <w:bottom w:w="70" w:type="dxa"/>
              <w:end w:w="90" w:type="dxa"/>
            </w:tcMar>
            <w:vAlign w:val="center"/>
          </w:tcPr>
          <w:p>
            <w:pPr>
              <w:spacing w:after="0"/>
            </w:pPr>
            <w:r>
              <w:rPr>
                <w:color w:val="1F2937"/>
                <w:sz w:val="14"/>
              </w:rPr>
              <w:t>Mobile</w:t>
            </w:r>
          </w:p>
        </w:tc>
        <w:tc>
          <w:tcPr>
            <w:tcW w:type="dxa" w:w="2424"/>
            <w:tcMar>
              <w:top w:w="70" w:type="dxa"/>
              <w:start w:w="90" w:type="dxa"/>
              <w:bottom w:w="70" w:type="dxa"/>
              <w:end w:w="90" w:type="dxa"/>
            </w:tcMar>
            <w:vAlign w:val="center"/>
          </w:tcPr>
          <w:p>
            <w:pPr>
              <w:spacing w:after="0"/>
            </w:pPr>
            <w:r>
              <w:rPr>
                <w:color w:val="1F2937"/>
                <w:sz w:val="14"/>
              </w:rPr>
              <w:t>Retry Sync</w:t>
            </w:r>
          </w:p>
        </w:tc>
        <w:tc>
          <w:tcPr>
            <w:tcW w:type="dxa" w:w="2424"/>
            <w:tcMar>
              <w:top w:w="70" w:type="dxa"/>
              <w:start w:w="90" w:type="dxa"/>
              <w:bottom w:w="70" w:type="dxa"/>
              <w:end w:w="90" w:type="dxa"/>
            </w:tcMar>
            <w:vAlign w:val="center"/>
          </w:tcPr>
          <w:p>
            <w:pPr>
              <w:spacing w:after="0"/>
            </w:pPr>
            <w:r>
              <w:rPr>
                <w:color w:val="1F2937"/>
                <w:sz w:val="14"/>
              </w:rPr>
              <w:t>SyncDraft</w:t>
            </w:r>
          </w:p>
        </w:tc>
      </w:tr>
      <w:tr>
        <w:tc>
          <w:tcPr>
            <w:tcW w:type="dxa" w:w="2424"/>
            <w:tcMar>
              <w:top w:w="70" w:type="dxa"/>
              <w:start w:w="90" w:type="dxa"/>
              <w:bottom w:w="70" w:type="dxa"/>
              <w:end w:w="90" w:type="dxa"/>
            </w:tcMar>
            <w:vAlign w:val="center"/>
          </w:tcPr>
          <w:p>
            <w:pPr>
              <w:spacing w:after="0"/>
            </w:pPr>
            <w:r>
              <w:rPr>
                <w:color w:val="1F2937"/>
                <w:sz w:val="14"/>
              </w:rPr>
              <w:t>WF-27</w:t>
            </w:r>
          </w:p>
        </w:tc>
        <w:tc>
          <w:tcPr>
            <w:tcW w:type="dxa" w:w="2424"/>
            <w:tcMar>
              <w:top w:w="70" w:type="dxa"/>
              <w:start w:w="90" w:type="dxa"/>
              <w:bottom w:w="70" w:type="dxa"/>
              <w:end w:w="90" w:type="dxa"/>
            </w:tcMar>
            <w:vAlign w:val="center"/>
          </w:tcPr>
          <w:p>
            <w:pPr>
              <w:spacing w:after="0"/>
            </w:pPr>
            <w:r>
              <w:rPr>
                <w:color w:val="1F2937"/>
                <w:sz w:val="14"/>
              </w:rPr>
              <w:t>Finance Home</w:t>
            </w:r>
          </w:p>
        </w:tc>
        <w:tc>
          <w:tcPr>
            <w:tcW w:type="dxa" w:w="2424"/>
            <w:tcMar>
              <w:top w:w="70" w:type="dxa"/>
              <w:start w:w="90" w:type="dxa"/>
              <w:bottom w:w="70" w:type="dxa"/>
              <w:end w:w="90" w:type="dxa"/>
            </w:tcMar>
            <w:vAlign w:val="center"/>
          </w:tcPr>
          <w:p>
            <w:pPr>
              <w:spacing w:after="0"/>
            </w:pPr>
            <w:r>
              <w:rPr>
                <w:color w:val="1F2937"/>
                <w:sz w:val="14"/>
              </w:rPr>
              <w:t>Finance</w:t>
            </w:r>
          </w:p>
        </w:tc>
        <w:tc>
          <w:tcPr>
            <w:tcW w:type="dxa" w:w="2424"/>
            <w:tcMar>
              <w:top w:w="70" w:type="dxa"/>
              <w:start w:w="90" w:type="dxa"/>
              <w:bottom w:w="70" w:type="dxa"/>
              <w:end w:w="90" w:type="dxa"/>
            </w:tcMar>
            <w:vAlign w:val="center"/>
          </w:tcPr>
          <w:p>
            <w:pPr>
              <w:spacing w:after="0"/>
            </w:pPr>
            <w:r>
              <w:rPr>
                <w:color w:val="1F2937"/>
                <w:sz w:val="14"/>
              </w:rPr>
              <w:t>Desktop</w:t>
            </w:r>
          </w:p>
        </w:tc>
        <w:tc>
          <w:tcPr>
            <w:tcW w:type="dxa" w:w="2424"/>
            <w:tcMar>
              <w:top w:w="70" w:type="dxa"/>
              <w:start w:w="90" w:type="dxa"/>
              <w:bottom w:w="70" w:type="dxa"/>
              <w:end w:w="90" w:type="dxa"/>
            </w:tcMar>
            <w:vAlign w:val="center"/>
          </w:tcPr>
          <w:p>
            <w:pPr>
              <w:spacing w:after="0"/>
            </w:pPr>
            <w:r>
              <w:rPr>
                <w:color w:val="1F2937"/>
                <w:sz w:val="14"/>
              </w:rPr>
              <w:t>Open Action Center</w:t>
            </w:r>
          </w:p>
        </w:tc>
        <w:tc>
          <w:tcPr>
            <w:tcW w:type="dxa" w:w="2424"/>
            <w:tcMar>
              <w:top w:w="70" w:type="dxa"/>
              <w:start w:w="90" w:type="dxa"/>
              <w:bottom w:w="70" w:type="dxa"/>
              <w:end w:w="90" w:type="dxa"/>
            </w:tcMar>
            <w:vAlign w:val="center"/>
          </w:tcPr>
          <w:p>
            <w:pPr>
              <w:spacing w:after="0"/>
            </w:pPr>
            <w:r>
              <w:rPr>
                <w:color w:val="1F2937"/>
                <w:sz w:val="14"/>
              </w:rPr>
              <w:t>—</w:t>
            </w:r>
          </w:p>
        </w:tc>
      </w:tr>
      <w:tr>
        <w:tc>
          <w:tcPr>
            <w:tcW w:type="dxa" w:w="2424"/>
            <w:tcMar>
              <w:top w:w="70" w:type="dxa"/>
              <w:start w:w="90" w:type="dxa"/>
              <w:bottom w:w="70" w:type="dxa"/>
              <w:end w:w="90" w:type="dxa"/>
            </w:tcMar>
            <w:vAlign w:val="center"/>
          </w:tcPr>
          <w:p>
            <w:pPr>
              <w:spacing w:after="0"/>
            </w:pPr>
            <w:r>
              <w:rPr>
                <w:color w:val="1F2937"/>
                <w:sz w:val="14"/>
              </w:rPr>
              <w:t>WF-28</w:t>
            </w:r>
          </w:p>
        </w:tc>
        <w:tc>
          <w:tcPr>
            <w:tcW w:type="dxa" w:w="2424"/>
            <w:tcMar>
              <w:top w:w="70" w:type="dxa"/>
              <w:start w:w="90" w:type="dxa"/>
              <w:bottom w:w="70" w:type="dxa"/>
              <w:end w:w="90" w:type="dxa"/>
            </w:tcMar>
            <w:vAlign w:val="center"/>
          </w:tcPr>
          <w:p>
            <w:pPr>
              <w:spacing w:after="0"/>
            </w:pPr>
            <w:r>
              <w:rPr>
                <w:color w:val="1F2937"/>
                <w:sz w:val="14"/>
              </w:rPr>
              <w:t>Action Center</w:t>
            </w:r>
          </w:p>
        </w:tc>
        <w:tc>
          <w:tcPr>
            <w:tcW w:type="dxa" w:w="2424"/>
            <w:tcMar>
              <w:top w:w="70" w:type="dxa"/>
              <w:start w:w="90" w:type="dxa"/>
              <w:bottom w:w="70" w:type="dxa"/>
              <w:end w:w="90" w:type="dxa"/>
            </w:tcMar>
            <w:vAlign w:val="center"/>
          </w:tcPr>
          <w:p>
            <w:pPr>
              <w:spacing w:after="0"/>
            </w:pPr>
            <w:r>
              <w:rPr>
                <w:color w:val="1F2937"/>
                <w:sz w:val="14"/>
              </w:rPr>
              <w:t>Finance</w:t>
            </w:r>
          </w:p>
        </w:tc>
        <w:tc>
          <w:tcPr>
            <w:tcW w:type="dxa" w:w="2424"/>
            <w:tcMar>
              <w:top w:w="70" w:type="dxa"/>
              <w:start w:w="90" w:type="dxa"/>
              <w:bottom w:w="70" w:type="dxa"/>
              <w:end w:w="90" w:type="dxa"/>
            </w:tcMar>
            <w:vAlign w:val="center"/>
          </w:tcPr>
          <w:p>
            <w:pPr>
              <w:spacing w:after="0"/>
            </w:pPr>
            <w:r>
              <w:rPr>
                <w:color w:val="1F2937"/>
                <w:sz w:val="14"/>
              </w:rPr>
              <w:t>Desktop</w:t>
            </w:r>
          </w:p>
        </w:tc>
        <w:tc>
          <w:tcPr>
            <w:tcW w:type="dxa" w:w="2424"/>
            <w:tcMar>
              <w:top w:w="70" w:type="dxa"/>
              <w:start w:w="90" w:type="dxa"/>
              <w:bottom w:w="70" w:type="dxa"/>
              <w:end w:w="90" w:type="dxa"/>
            </w:tcMar>
            <w:vAlign w:val="center"/>
          </w:tcPr>
          <w:p>
            <w:pPr>
              <w:spacing w:after="0"/>
            </w:pPr>
            <w:r>
              <w:rPr>
                <w:color w:val="1F2937"/>
                <w:sz w:val="14"/>
              </w:rPr>
              <w:t>Resolve / Match</w:t>
            </w:r>
          </w:p>
        </w:tc>
        <w:tc>
          <w:tcPr>
            <w:tcW w:type="dxa" w:w="2424"/>
            <w:tcMar>
              <w:top w:w="70" w:type="dxa"/>
              <w:start w:w="90" w:type="dxa"/>
              <w:bottom w:w="70" w:type="dxa"/>
              <w:end w:w="90" w:type="dxa"/>
            </w:tcMar>
            <w:vAlign w:val="center"/>
          </w:tcPr>
          <w:p>
            <w:pPr>
              <w:spacing w:after="0"/>
            </w:pPr>
            <w:r>
              <w:rPr>
                <w:color w:val="1F2937"/>
                <w:sz w:val="14"/>
              </w:rPr>
              <w:t>ResolveException</w:t>
            </w:r>
          </w:p>
        </w:tc>
      </w:tr>
      <w:tr>
        <w:tc>
          <w:tcPr>
            <w:tcW w:type="dxa" w:w="2424"/>
            <w:tcMar>
              <w:top w:w="70" w:type="dxa"/>
              <w:start w:w="90" w:type="dxa"/>
              <w:bottom w:w="70" w:type="dxa"/>
              <w:end w:w="90" w:type="dxa"/>
            </w:tcMar>
            <w:vAlign w:val="center"/>
          </w:tcPr>
          <w:p>
            <w:pPr>
              <w:spacing w:after="0"/>
            </w:pPr>
            <w:r>
              <w:rPr>
                <w:color w:val="1F2937"/>
                <w:sz w:val="14"/>
              </w:rPr>
              <w:t>WF-29</w:t>
            </w:r>
          </w:p>
        </w:tc>
        <w:tc>
          <w:tcPr>
            <w:tcW w:type="dxa" w:w="2424"/>
            <w:tcMar>
              <w:top w:w="70" w:type="dxa"/>
              <w:start w:w="90" w:type="dxa"/>
              <w:bottom w:w="70" w:type="dxa"/>
              <w:end w:w="90" w:type="dxa"/>
            </w:tcMar>
            <w:vAlign w:val="center"/>
          </w:tcPr>
          <w:p>
            <w:pPr>
              <w:spacing w:after="0"/>
            </w:pPr>
            <w:r>
              <w:rPr>
                <w:color w:val="1F2937"/>
                <w:sz w:val="14"/>
              </w:rPr>
              <w:t>Deposit Confirmation</w:t>
            </w:r>
          </w:p>
        </w:tc>
        <w:tc>
          <w:tcPr>
            <w:tcW w:type="dxa" w:w="2424"/>
            <w:tcMar>
              <w:top w:w="70" w:type="dxa"/>
              <w:start w:w="90" w:type="dxa"/>
              <w:bottom w:w="70" w:type="dxa"/>
              <w:end w:w="90" w:type="dxa"/>
            </w:tcMar>
            <w:vAlign w:val="center"/>
          </w:tcPr>
          <w:p>
            <w:pPr>
              <w:spacing w:after="0"/>
            </w:pPr>
            <w:r>
              <w:rPr>
                <w:color w:val="1F2937"/>
                <w:sz w:val="14"/>
              </w:rPr>
              <w:t>Finance</w:t>
            </w:r>
          </w:p>
        </w:tc>
        <w:tc>
          <w:tcPr>
            <w:tcW w:type="dxa" w:w="2424"/>
            <w:tcMar>
              <w:top w:w="70" w:type="dxa"/>
              <w:start w:w="90" w:type="dxa"/>
              <w:bottom w:w="70" w:type="dxa"/>
              <w:end w:w="90" w:type="dxa"/>
            </w:tcMar>
            <w:vAlign w:val="center"/>
          </w:tcPr>
          <w:p>
            <w:pPr>
              <w:spacing w:after="0"/>
            </w:pPr>
            <w:r>
              <w:rPr>
                <w:color w:val="1F2937"/>
                <w:sz w:val="14"/>
              </w:rPr>
              <w:t>Desktop</w:t>
            </w:r>
          </w:p>
        </w:tc>
        <w:tc>
          <w:tcPr>
            <w:tcW w:type="dxa" w:w="2424"/>
            <w:tcMar>
              <w:top w:w="70" w:type="dxa"/>
              <w:start w:w="90" w:type="dxa"/>
              <w:bottom w:w="70" w:type="dxa"/>
              <w:end w:w="90" w:type="dxa"/>
            </w:tcMar>
            <w:vAlign w:val="center"/>
          </w:tcPr>
          <w:p>
            <w:pPr>
              <w:spacing w:after="0"/>
            </w:pPr>
            <w:r>
              <w:rPr>
                <w:color w:val="1F2937"/>
                <w:sz w:val="14"/>
              </w:rPr>
              <w:t>Confirm Bank Receipt</w:t>
            </w:r>
          </w:p>
        </w:tc>
        <w:tc>
          <w:tcPr>
            <w:tcW w:type="dxa" w:w="2424"/>
            <w:tcMar>
              <w:top w:w="70" w:type="dxa"/>
              <w:start w:w="90" w:type="dxa"/>
              <w:bottom w:w="70" w:type="dxa"/>
              <w:end w:w="90" w:type="dxa"/>
            </w:tcMar>
            <w:vAlign w:val="center"/>
          </w:tcPr>
          <w:p>
            <w:pPr>
              <w:spacing w:after="0"/>
            </w:pPr>
            <w:r>
              <w:rPr>
                <w:color w:val="1F2937"/>
                <w:sz w:val="14"/>
              </w:rPr>
              <w:t>ConfirmBankReceipt</w:t>
            </w:r>
          </w:p>
        </w:tc>
      </w:tr>
      <w:tr>
        <w:tc>
          <w:tcPr>
            <w:tcW w:type="dxa" w:w="2424"/>
            <w:tcMar>
              <w:top w:w="70" w:type="dxa"/>
              <w:start w:w="90" w:type="dxa"/>
              <w:bottom w:w="70" w:type="dxa"/>
              <w:end w:w="90" w:type="dxa"/>
            </w:tcMar>
            <w:vAlign w:val="center"/>
          </w:tcPr>
          <w:p>
            <w:pPr>
              <w:spacing w:after="0"/>
            </w:pPr>
            <w:r>
              <w:rPr>
                <w:color w:val="1F2937"/>
                <w:sz w:val="14"/>
              </w:rPr>
              <w:t>WF-30</w:t>
            </w:r>
          </w:p>
        </w:tc>
        <w:tc>
          <w:tcPr>
            <w:tcW w:type="dxa" w:w="2424"/>
            <w:tcMar>
              <w:top w:w="70" w:type="dxa"/>
              <w:start w:w="90" w:type="dxa"/>
              <w:bottom w:w="70" w:type="dxa"/>
              <w:end w:w="90" w:type="dxa"/>
            </w:tcMar>
            <w:vAlign w:val="center"/>
          </w:tcPr>
          <w:p>
            <w:pPr>
              <w:spacing w:after="0"/>
            </w:pPr>
            <w:r>
              <w:rPr>
                <w:color w:val="1F2937"/>
                <w:sz w:val="14"/>
              </w:rPr>
              <w:t>Provider Settlement</w:t>
            </w:r>
          </w:p>
        </w:tc>
        <w:tc>
          <w:tcPr>
            <w:tcW w:type="dxa" w:w="2424"/>
            <w:tcMar>
              <w:top w:w="70" w:type="dxa"/>
              <w:start w:w="90" w:type="dxa"/>
              <w:bottom w:w="70" w:type="dxa"/>
              <w:end w:w="90" w:type="dxa"/>
            </w:tcMar>
            <w:vAlign w:val="center"/>
          </w:tcPr>
          <w:p>
            <w:pPr>
              <w:spacing w:after="0"/>
            </w:pPr>
            <w:r>
              <w:rPr>
                <w:color w:val="1F2937"/>
                <w:sz w:val="14"/>
              </w:rPr>
              <w:t>Finance</w:t>
            </w:r>
          </w:p>
        </w:tc>
        <w:tc>
          <w:tcPr>
            <w:tcW w:type="dxa" w:w="2424"/>
            <w:tcMar>
              <w:top w:w="70" w:type="dxa"/>
              <w:start w:w="90" w:type="dxa"/>
              <w:bottom w:w="70" w:type="dxa"/>
              <w:end w:w="90" w:type="dxa"/>
            </w:tcMar>
            <w:vAlign w:val="center"/>
          </w:tcPr>
          <w:p>
            <w:pPr>
              <w:spacing w:after="0"/>
            </w:pPr>
            <w:r>
              <w:rPr>
                <w:color w:val="1F2937"/>
                <w:sz w:val="14"/>
              </w:rPr>
              <w:t>Desktop</w:t>
            </w:r>
          </w:p>
        </w:tc>
        <w:tc>
          <w:tcPr>
            <w:tcW w:type="dxa" w:w="2424"/>
            <w:tcMar>
              <w:top w:w="70" w:type="dxa"/>
              <w:start w:w="90" w:type="dxa"/>
              <w:bottom w:w="70" w:type="dxa"/>
              <w:end w:w="90" w:type="dxa"/>
            </w:tcMar>
            <w:vAlign w:val="center"/>
          </w:tcPr>
          <w:p>
            <w:pPr>
              <w:spacing w:after="0"/>
            </w:pPr>
            <w:r>
              <w:rPr>
                <w:color w:val="1F2937"/>
                <w:sz w:val="14"/>
              </w:rPr>
              <w:t>Review Matching</w:t>
            </w:r>
          </w:p>
        </w:tc>
        <w:tc>
          <w:tcPr>
            <w:tcW w:type="dxa" w:w="2424"/>
            <w:tcMar>
              <w:top w:w="70" w:type="dxa"/>
              <w:start w:w="90" w:type="dxa"/>
              <w:bottom w:w="70" w:type="dxa"/>
              <w:end w:w="90" w:type="dxa"/>
            </w:tcMar>
            <w:vAlign w:val="center"/>
          </w:tcPr>
          <w:p>
            <w:pPr>
              <w:spacing w:after="0"/>
            </w:pPr>
            <w:r>
              <w:rPr>
                <w:color w:val="1F2937"/>
                <w:sz w:val="14"/>
              </w:rPr>
              <w:t>MatchProviderSettlement</w:t>
            </w:r>
          </w:p>
        </w:tc>
      </w:tr>
      <w:tr>
        <w:tc>
          <w:tcPr>
            <w:tcW w:type="dxa" w:w="2424"/>
            <w:tcMar>
              <w:top w:w="70" w:type="dxa"/>
              <w:start w:w="90" w:type="dxa"/>
              <w:bottom w:w="70" w:type="dxa"/>
              <w:end w:w="90" w:type="dxa"/>
            </w:tcMar>
            <w:vAlign w:val="center"/>
          </w:tcPr>
          <w:p>
            <w:pPr>
              <w:spacing w:after="0"/>
            </w:pPr>
            <w:r>
              <w:rPr>
                <w:color w:val="1F2937"/>
                <w:sz w:val="14"/>
              </w:rPr>
              <w:t>WF-31</w:t>
            </w:r>
          </w:p>
        </w:tc>
        <w:tc>
          <w:tcPr>
            <w:tcW w:type="dxa" w:w="2424"/>
            <w:tcMar>
              <w:top w:w="70" w:type="dxa"/>
              <w:start w:w="90" w:type="dxa"/>
              <w:bottom w:w="70" w:type="dxa"/>
              <w:end w:w="90" w:type="dxa"/>
            </w:tcMar>
            <w:vAlign w:val="center"/>
          </w:tcPr>
          <w:p>
            <w:pPr>
              <w:spacing w:after="0"/>
            </w:pPr>
            <w:r>
              <w:rPr>
                <w:color w:val="1F2937"/>
                <w:sz w:val="14"/>
              </w:rPr>
              <w:t>Supplier Payment</w:t>
            </w:r>
          </w:p>
        </w:tc>
        <w:tc>
          <w:tcPr>
            <w:tcW w:type="dxa" w:w="2424"/>
            <w:tcMar>
              <w:top w:w="70" w:type="dxa"/>
              <w:start w:w="90" w:type="dxa"/>
              <w:bottom w:w="70" w:type="dxa"/>
              <w:end w:w="90" w:type="dxa"/>
            </w:tcMar>
            <w:vAlign w:val="center"/>
          </w:tcPr>
          <w:p>
            <w:pPr>
              <w:spacing w:after="0"/>
            </w:pPr>
            <w:r>
              <w:rPr>
                <w:color w:val="1F2937"/>
                <w:sz w:val="14"/>
              </w:rPr>
              <w:t>Finance</w:t>
            </w:r>
          </w:p>
        </w:tc>
        <w:tc>
          <w:tcPr>
            <w:tcW w:type="dxa" w:w="2424"/>
            <w:tcMar>
              <w:top w:w="70" w:type="dxa"/>
              <w:start w:w="90" w:type="dxa"/>
              <w:bottom w:w="70" w:type="dxa"/>
              <w:end w:w="90" w:type="dxa"/>
            </w:tcMar>
            <w:vAlign w:val="center"/>
          </w:tcPr>
          <w:p>
            <w:pPr>
              <w:spacing w:after="0"/>
            </w:pPr>
            <w:r>
              <w:rPr>
                <w:color w:val="1F2937"/>
                <w:sz w:val="14"/>
              </w:rPr>
              <w:t>Desktop</w:t>
            </w:r>
          </w:p>
        </w:tc>
        <w:tc>
          <w:tcPr>
            <w:tcW w:type="dxa" w:w="2424"/>
            <w:tcMar>
              <w:top w:w="70" w:type="dxa"/>
              <w:start w:w="90" w:type="dxa"/>
              <w:bottom w:w="70" w:type="dxa"/>
              <w:end w:w="90" w:type="dxa"/>
            </w:tcMar>
            <w:vAlign w:val="center"/>
          </w:tcPr>
          <w:p>
            <w:pPr>
              <w:spacing w:after="0"/>
            </w:pPr>
            <w:r>
              <w:rPr>
                <w:color w:val="1F2937"/>
                <w:sz w:val="14"/>
              </w:rPr>
              <w:t>Submit Payment</w:t>
            </w:r>
          </w:p>
        </w:tc>
        <w:tc>
          <w:tcPr>
            <w:tcW w:type="dxa" w:w="2424"/>
            <w:tcMar>
              <w:top w:w="70" w:type="dxa"/>
              <w:start w:w="90" w:type="dxa"/>
              <w:bottom w:w="70" w:type="dxa"/>
              <w:end w:w="90" w:type="dxa"/>
            </w:tcMar>
            <w:vAlign w:val="center"/>
          </w:tcPr>
          <w:p>
            <w:pPr>
              <w:spacing w:after="0"/>
            </w:pPr>
            <w:r>
              <w:rPr>
                <w:color w:val="1F2937"/>
                <w:sz w:val="14"/>
              </w:rPr>
              <w:t>SubmitSupplierPayment</w:t>
            </w:r>
          </w:p>
        </w:tc>
      </w:tr>
      <w:tr>
        <w:tc>
          <w:tcPr>
            <w:tcW w:type="dxa" w:w="2424"/>
            <w:tcMar>
              <w:top w:w="70" w:type="dxa"/>
              <w:start w:w="90" w:type="dxa"/>
              <w:bottom w:w="70" w:type="dxa"/>
              <w:end w:w="90" w:type="dxa"/>
            </w:tcMar>
            <w:vAlign w:val="center"/>
          </w:tcPr>
          <w:p>
            <w:pPr>
              <w:spacing w:after="0"/>
            </w:pPr>
            <w:r>
              <w:rPr>
                <w:color w:val="1F2937"/>
                <w:sz w:val="14"/>
              </w:rPr>
              <w:t>WF-32</w:t>
            </w:r>
          </w:p>
        </w:tc>
        <w:tc>
          <w:tcPr>
            <w:tcW w:type="dxa" w:w="2424"/>
            <w:tcMar>
              <w:top w:w="70" w:type="dxa"/>
              <w:start w:w="90" w:type="dxa"/>
              <w:bottom w:w="70" w:type="dxa"/>
              <w:end w:w="90" w:type="dxa"/>
            </w:tcMar>
            <w:vAlign w:val="center"/>
          </w:tcPr>
          <w:p>
            <w:pPr>
              <w:spacing w:after="0"/>
            </w:pPr>
            <w:r>
              <w:rPr>
                <w:color w:val="1F2937"/>
                <w:sz w:val="14"/>
              </w:rPr>
              <w:t>Customer Account</w:t>
            </w:r>
          </w:p>
        </w:tc>
        <w:tc>
          <w:tcPr>
            <w:tcW w:type="dxa" w:w="2424"/>
            <w:tcMar>
              <w:top w:w="70" w:type="dxa"/>
              <w:start w:w="90" w:type="dxa"/>
              <w:bottom w:w="70" w:type="dxa"/>
              <w:end w:w="90" w:type="dxa"/>
            </w:tcMar>
            <w:vAlign w:val="center"/>
          </w:tcPr>
          <w:p>
            <w:pPr>
              <w:spacing w:after="0"/>
            </w:pPr>
            <w:r>
              <w:rPr>
                <w:color w:val="1F2937"/>
                <w:sz w:val="14"/>
              </w:rPr>
              <w:t>Finance</w:t>
            </w:r>
          </w:p>
        </w:tc>
        <w:tc>
          <w:tcPr>
            <w:tcW w:type="dxa" w:w="2424"/>
            <w:tcMar>
              <w:top w:w="70" w:type="dxa"/>
              <w:start w:w="90" w:type="dxa"/>
              <w:bottom w:w="70" w:type="dxa"/>
              <w:end w:w="90" w:type="dxa"/>
            </w:tcMar>
            <w:vAlign w:val="center"/>
          </w:tcPr>
          <w:p>
            <w:pPr>
              <w:spacing w:after="0"/>
            </w:pPr>
            <w:r>
              <w:rPr>
                <w:color w:val="1F2937"/>
                <w:sz w:val="14"/>
              </w:rPr>
              <w:t>Desktop</w:t>
            </w:r>
          </w:p>
        </w:tc>
        <w:tc>
          <w:tcPr>
            <w:tcW w:type="dxa" w:w="2424"/>
            <w:tcMar>
              <w:top w:w="70" w:type="dxa"/>
              <w:start w:w="90" w:type="dxa"/>
              <w:bottom w:w="70" w:type="dxa"/>
              <w:end w:w="90" w:type="dxa"/>
            </w:tcMar>
            <w:vAlign w:val="center"/>
          </w:tcPr>
          <w:p>
            <w:pPr>
              <w:spacing w:after="0"/>
            </w:pPr>
            <w:r>
              <w:rPr>
                <w:color w:val="1F2937"/>
                <w:sz w:val="14"/>
              </w:rPr>
              <w:t>Request limit change</w:t>
            </w:r>
          </w:p>
        </w:tc>
        <w:tc>
          <w:tcPr>
            <w:tcW w:type="dxa" w:w="2424"/>
            <w:tcMar>
              <w:top w:w="70" w:type="dxa"/>
              <w:start w:w="90" w:type="dxa"/>
              <w:bottom w:w="70" w:type="dxa"/>
              <w:end w:w="90" w:type="dxa"/>
            </w:tcMar>
            <w:vAlign w:val="center"/>
          </w:tcPr>
          <w:p>
            <w:pPr>
              <w:spacing w:after="0"/>
            </w:pPr>
            <w:r>
              <w:rPr>
                <w:color w:val="1F2937"/>
                <w:sz w:val="14"/>
              </w:rPr>
              <w:t>RequestCustomerLimitChange</w:t>
            </w:r>
          </w:p>
        </w:tc>
      </w:tr>
      <w:tr>
        <w:tc>
          <w:tcPr>
            <w:tcW w:type="dxa" w:w="2424"/>
            <w:tcMar>
              <w:top w:w="70" w:type="dxa"/>
              <w:start w:w="90" w:type="dxa"/>
              <w:bottom w:w="70" w:type="dxa"/>
              <w:end w:w="90" w:type="dxa"/>
            </w:tcMar>
            <w:vAlign w:val="center"/>
          </w:tcPr>
          <w:p>
            <w:pPr>
              <w:spacing w:after="0"/>
            </w:pPr>
            <w:r>
              <w:rPr>
                <w:color w:val="1F2937"/>
                <w:sz w:val="14"/>
              </w:rPr>
              <w:t>WF-33</w:t>
            </w:r>
          </w:p>
        </w:tc>
        <w:tc>
          <w:tcPr>
            <w:tcW w:type="dxa" w:w="2424"/>
            <w:tcMar>
              <w:top w:w="70" w:type="dxa"/>
              <w:start w:w="90" w:type="dxa"/>
              <w:bottom w:w="70" w:type="dxa"/>
              <w:end w:w="90" w:type="dxa"/>
            </w:tcMar>
            <w:vAlign w:val="center"/>
          </w:tcPr>
          <w:p>
            <w:pPr>
              <w:spacing w:after="0"/>
            </w:pPr>
            <w:r>
              <w:rPr>
                <w:color w:val="1F2937"/>
                <w:sz w:val="14"/>
              </w:rPr>
              <w:t>Owner Dashboard</w:t>
            </w:r>
          </w:p>
        </w:tc>
        <w:tc>
          <w:tcPr>
            <w:tcW w:type="dxa" w:w="2424"/>
            <w:tcMar>
              <w:top w:w="70" w:type="dxa"/>
              <w:start w:w="90" w:type="dxa"/>
              <w:bottom w:w="70" w:type="dxa"/>
              <w:end w:w="90" w:type="dxa"/>
            </w:tcMar>
            <w:vAlign w:val="center"/>
          </w:tcPr>
          <w:p>
            <w:pPr>
              <w:spacing w:after="0"/>
            </w:pPr>
            <w:r>
              <w:rPr>
                <w:color w:val="1F2937"/>
                <w:sz w:val="14"/>
              </w:rPr>
              <w:t>Owner</w:t>
            </w:r>
          </w:p>
        </w:tc>
        <w:tc>
          <w:tcPr>
            <w:tcW w:type="dxa" w:w="2424"/>
            <w:tcMar>
              <w:top w:w="70" w:type="dxa"/>
              <w:start w:w="90" w:type="dxa"/>
              <w:bottom w:w="70" w:type="dxa"/>
              <w:end w:w="90" w:type="dxa"/>
            </w:tcMar>
            <w:vAlign w:val="center"/>
          </w:tcPr>
          <w:p>
            <w:pPr>
              <w:spacing w:after="0"/>
            </w:pPr>
            <w:r>
              <w:rPr>
                <w:color w:val="1F2937"/>
                <w:sz w:val="14"/>
              </w:rPr>
              <w:t>Desktop</w:t>
            </w:r>
          </w:p>
        </w:tc>
        <w:tc>
          <w:tcPr>
            <w:tcW w:type="dxa" w:w="2424"/>
            <w:tcMar>
              <w:top w:w="70" w:type="dxa"/>
              <w:start w:w="90" w:type="dxa"/>
              <w:bottom w:w="70" w:type="dxa"/>
              <w:end w:w="90" w:type="dxa"/>
            </w:tcMar>
            <w:vAlign w:val="center"/>
          </w:tcPr>
          <w:p>
            <w:pPr>
              <w:spacing w:after="0"/>
            </w:pPr>
            <w:r>
              <w:rPr>
                <w:color w:val="1F2937"/>
                <w:sz w:val="14"/>
              </w:rPr>
              <w:t>Review Action Center</w:t>
            </w:r>
          </w:p>
        </w:tc>
        <w:tc>
          <w:tcPr>
            <w:tcW w:type="dxa" w:w="2424"/>
            <w:tcMar>
              <w:top w:w="70" w:type="dxa"/>
              <w:start w:w="90" w:type="dxa"/>
              <w:bottom w:w="70" w:type="dxa"/>
              <w:end w:w="90" w:type="dxa"/>
            </w:tcMar>
            <w:vAlign w:val="center"/>
          </w:tcPr>
          <w:p>
            <w:pPr>
              <w:spacing w:after="0"/>
            </w:pPr>
            <w:r>
              <w:rPr>
                <w:color w:val="1F2937"/>
                <w:sz w:val="14"/>
              </w:rPr>
              <w:t>—</w:t>
            </w:r>
          </w:p>
        </w:tc>
      </w:tr>
      <w:tr>
        <w:tc>
          <w:tcPr>
            <w:tcW w:type="dxa" w:w="2424"/>
            <w:tcMar>
              <w:top w:w="70" w:type="dxa"/>
              <w:start w:w="90" w:type="dxa"/>
              <w:bottom w:w="70" w:type="dxa"/>
              <w:end w:w="90" w:type="dxa"/>
            </w:tcMar>
            <w:vAlign w:val="center"/>
          </w:tcPr>
          <w:p>
            <w:pPr>
              <w:spacing w:after="0"/>
            </w:pPr>
            <w:r>
              <w:rPr>
                <w:color w:val="1F2937"/>
                <w:sz w:val="14"/>
              </w:rPr>
              <w:t>WF-34</w:t>
            </w:r>
          </w:p>
        </w:tc>
        <w:tc>
          <w:tcPr>
            <w:tcW w:type="dxa" w:w="2424"/>
            <w:tcMar>
              <w:top w:w="70" w:type="dxa"/>
              <w:start w:w="90" w:type="dxa"/>
              <w:bottom w:w="70" w:type="dxa"/>
              <w:end w:w="90" w:type="dxa"/>
            </w:tcMar>
            <w:vAlign w:val="center"/>
          </w:tcPr>
          <w:p>
            <w:pPr>
              <w:spacing w:after="0"/>
            </w:pPr>
            <w:r>
              <w:rPr>
                <w:color w:val="1F2937"/>
                <w:sz w:val="14"/>
              </w:rPr>
              <w:t>Approval Review</w:t>
            </w:r>
          </w:p>
        </w:tc>
        <w:tc>
          <w:tcPr>
            <w:tcW w:type="dxa" w:w="2424"/>
            <w:tcMar>
              <w:top w:w="70" w:type="dxa"/>
              <w:start w:w="90" w:type="dxa"/>
              <w:bottom w:w="70" w:type="dxa"/>
              <w:end w:w="90" w:type="dxa"/>
            </w:tcMar>
            <w:vAlign w:val="center"/>
          </w:tcPr>
          <w:p>
            <w:pPr>
              <w:spacing w:after="0"/>
            </w:pPr>
            <w:r>
              <w:rPr>
                <w:color w:val="1F2937"/>
                <w:sz w:val="14"/>
              </w:rPr>
              <w:t>Owner</w:t>
            </w:r>
          </w:p>
        </w:tc>
        <w:tc>
          <w:tcPr>
            <w:tcW w:type="dxa" w:w="2424"/>
            <w:tcMar>
              <w:top w:w="70" w:type="dxa"/>
              <w:start w:w="90" w:type="dxa"/>
              <w:bottom w:w="70" w:type="dxa"/>
              <w:end w:w="90" w:type="dxa"/>
            </w:tcMar>
            <w:vAlign w:val="center"/>
          </w:tcPr>
          <w:p>
            <w:pPr>
              <w:spacing w:after="0"/>
            </w:pPr>
            <w:r>
              <w:rPr>
                <w:color w:val="1F2937"/>
                <w:sz w:val="14"/>
              </w:rPr>
              <w:t>Desktop</w:t>
            </w:r>
          </w:p>
        </w:tc>
        <w:tc>
          <w:tcPr>
            <w:tcW w:type="dxa" w:w="2424"/>
            <w:tcMar>
              <w:top w:w="70" w:type="dxa"/>
              <w:start w:w="90" w:type="dxa"/>
              <w:bottom w:w="70" w:type="dxa"/>
              <w:end w:w="90" w:type="dxa"/>
            </w:tcMar>
            <w:vAlign w:val="center"/>
          </w:tcPr>
          <w:p>
            <w:pPr>
              <w:spacing w:after="0"/>
            </w:pPr>
            <w:r>
              <w:rPr>
                <w:color w:val="1F2937"/>
                <w:sz w:val="14"/>
              </w:rPr>
              <w:t>Approve / Return</w:t>
            </w:r>
          </w:p>
        </w:tc>
        <w:tc>
          <w:tcPr>
            <w:tcW w:type="dxa" w:w="2424"/>
            <w:tcMar>
              <w:top w:w="70" w:type="dxa"/>
              <w:start w:w="90" w:type="dxa"/>
              <w:bottom w:w="70" w:type="dxa"/>
              <w:end w:w="90" w:type="dxa"/>
            </w:tcMar>
            <w:vAlign w:val="center"/>
          </w:tcPr>
          <w:p>
            <w:pPr>
              <w:spacing w:after="0"/>
            </w:pPr>
            <w:r>
              <w:rPr>
                <w:color w:val="1F2937"/>
                <w:sz w:val="14"/>
              </w:rPr>
              <w:t>ApproveSupplierPayment / ReturnApproval</w:t>
            </w:r>
          </w:p>
        </w:tc>
      </w:tr>
      <w:tr>
        <w:tc>
          <w:tcPr>
            <w:tcW w:type="dxa" w:w="2424"/>
            <w:tcMar>
              <w:top w:w="70" w:type="dxa"/>
              <w:start w:w="90" w:type="dxa"/>
              <w:bottom w:w="70" w:type="dxa"/>
              <w:end w:w="90" w:type="dxa"/>
            </w:tcMar>
            <w:vAlign w:val="center"/>
          </w:tcPr>
          <w:p>
            <w:pPr>
              <w:spacing w:after="0"/>
            </w:pPr>
            <w:r>
              <w:rPr>
                <w:color w:val="1F2937"/>
                <w:sz w:val="14"/>
              </w:rPr>
              <w:t>WF-35</w:t>
            </w:r>
          </w:p>
        </w:tc>
        <w:tc>
          <w:tcPr>
            <w:tcW w:type="dxa" w:w="2424"/>
            <w:tcMar>
              <w:top w:w="70" w:type="dxa"/>
              <w:start w:w="90" w:type="dxa"/>
              <w:bottom w:w="70" w:type="dxa"/>
              <w:end w:w="90" w:type="dxa"/>
            </w:tcMar>
            <w:vAlign w:val="center"/>
          </w:tcPr>
          <w:p>
            <w:pPr>
              <w:spacing w:after="0"/>
            </w:pPr>
            <w:r>
              <w:rPr>
                <w:color w:val="1F2937"/>
                <w:sz w:val="14"/>
              </w:rPr>
              <w:t>Report View</w:t>
            </w:r>
          </w:p>
        </w:tc>
        <w:tc>
          <w:tcPr>
            <w:tcW w:type="dxa" w:w="2424"/>
            <w:tcMar>
              <w:top w:w="70" w:type="dxa"/>
              <w:start w:w="90" w:type="dxa"/>
              <w:bottom w:w="70" w:type="dxa"/>
              <w:end w:w="90" w:type="dxa"/>
            </w:tcMar>
            <w:vAlign w:val="center"/>
          </w:tcPr>
          <w:p>
            <w:pPr>
              <w:spacing w:after="0"/>
            </w:pPr>
            <w:r>
              <w:rPr>
                <w:color w:val="1F2937"/>
                <w:sz w:val="14"/>
              </w:rPr>
              <w:t>Owner / Finance</w:t>
            </w:r>
          </w:p>
        </w:tc>
        <w:tc>
          <w:tcPr>
            <w:tcW w:type="dxa" w:w="2424"/>
            <w:tcMar>
              <w:top w:w="70" w:type="dxa"/>
              <w:start w:w="90" w:type="dxa"/>
              <w:bottom w:w="70" w:type="dxa"/>
              <w:end w:w="90" w:type="dxa"/>
            </w:tcMar>
            <w:vAlign w:val="center"/>
          </w:tcPr>
          <w:p>
            <w:pPr>
              <w:spacing w:after="0"/>
            </w:pPr>
            <w:r>
              <w:rPr>
                <w:color w:val="1F2937"/>
                <w:sz w:val="14"/>
              </w:rPr>
              <w:t>Desktop</w:t>
            </w:r>
          </w:p>
        </w:tc>
        <w:tc>
          <w:tcPr>
            <w:tcW w:type="dxa" w:w="2424"/>
            <w:tcMar>
              <w:top w:w="70" w:type="dxa"/>
              <w:start w:w="90" w:type="dxa"/>
              <w:bottom w:w="70" w:type="dxa"/>
              <w:end w:w="90" w:type="dxa"/>
            </w:tcMar>
            <w:vAlign w:val="center"/>
          </w:tcPr>
          <w:p>
            <w:pPr>
              <w:spacing w:after="0"/>
            </w:pPr>
            <w:r>
              <w:rPr>
                <w:color w:val="1F2937"/>
                <w:sz w:val="14"/>
              </w:rPr>
              <w:t>Export / Explain</w:t>
            </w:r>
          </w:p>
        </w:tc>
        <w:tc>
          <w:tcPr>
            <w:tcW w:type="dxa" w:w="2424"/>
            <w:tcMar>
              <w:top w:w="70" w:type="dxa"/>
              <w:start w:w="90" w:type="dxa"/>
              <w:bottom w:w="70" w:type="dxa"/>
              <w:end w:w="90" w:type="dxa"/>
            </w:tcMar>
            <w:vAlign w:val="center"/>
          </w:tcPr>
          <w:p>
            <w:pPr>
              <w:spacing w:after="0"/>
            </w:pPr>
            <w:r>
              <w:rPr>
                <w:color w:val="1F2937"/>
                <w:sz w:val="14"/>
              </w:rPr>
              <w:t>GenerateReport / GenerateExport</w:t>
            </w:r>
          </w:p>
        </w:tc>
      </w:tr>
      <w:tr>
        <w:tc>
          <w:tcPr>
            <w:tcW w:type="dxa" w:w="2424"/>
            <w:tcMar>
              <w:top w:w="70" w:type="dxa"/>
              <w:start w:w="90" w:type="dxa"/>
              <w:bottom w:w="70" w:type="dxa"/>
              <w:end w:w="90" w:type="dxa"/>
            </w:tcMar>
            <w:vAlign w:val="center"/>
          </w:tcPr>
          <w:p>
            <w:pPr>
              <w:spacing w:after="0"/>
            </w:pPr>
            <w:r>
              <w:rPr>
                <w:color w:val="1F2937"/>
                <w:sz w:val="14"/>
              </w:rPr>
              <w:t>WF-36</w:t>
            </w:r>
          </w:p>
        </w:tc>
        <w:tc>
          <w:tcPr>
            <w:tcW w:type="dxa" w:w="2424"/>
            <w:tcMar>
              <w:top w:w="70" w:type="dxa"/>
              <w:start w:w="90" w:type="dxa"/>
              <w:bottom w:w="70" w:type="dxa"/>
              <w:end w:w="90" w:type="dxa"/>
            </w:tcMar>
            <w:vAlign w:val="center"/>
          </w:tcPr>
          <w:p>
            <w:pPr>
              <w:spacing w:after="0"/>
            </w:pPr>
            <w:r>
              <w:rPr>
                <w:color w:val="1F2937"/>
                <w:sz w:val="14"/>
              </w:rPr>
              <w:t>Setup Readiness</w:t>
            </w:r>
          </w:p>
        </w:tc>
        <w:tc>
          <w:tcPr>
            <w:tcW w:type="dxa" w:w="2424"/>
            <w:tcMar>
              <w:top w:w="70" w:type="dxa"/>
              <w:start w:w="90" w:type="dxa"/>
              <w:bottom w:w="70" w:type="dxa"/>
              <w:end w:w="90" w:type="dxa"/>
            </w:tcMar>
            <w:vAlign w:val="center"/>
          </w:tcPr>
          <w:p>
            <w:pPr>
              <w:spacing w:after="0"/>
            </w:pPr>
            <w:r>
              <w:rPr>
                <w:color w:val="1F2937"/>
                <w:sz w:val="14"/>
              </w:rPr>
              <w:t>Admin</w:t>
            </w:r>
          </w:p>
        </w:tc>
        <w:tc>
          <w:tcPr>
            <w:tcW w:type="dxa" w:w="2424"/>
            <w:tcMar>
              <w:top w:w="70" w:type="dxa"/>
              <w:start w:w="90" w:type="dxa"/>
              <w:bottom w:w="70" w:type="dxa"/>
              <w:end w:w="90" w:type="dxa"/>
            </w:tcMar>
            <w:vAlign w:val="center"/>
          </w:tcPr>
          <w:p>
            <w:pPr>
              <w:spacing w:after="0"/>
            </w:pPr>
            <w:r>
              <w:rPr>
                <w:color w:val="1F2937"/>
                <w:sz w:val="14"/>
              </w:rPr>
              <w:t>Desktop</w:t>
            </w:r>
          </w:p>
        </w:tc>
        <w:tc>
          <w:tcPr>
            <w:tcW w:type="dxa" w:w="2424"/>
            <w:tcMar>
              <w:top w:w="70" w:type="dxa"/>
              <w:start w:w="90" w:type="dxa"/>
              <w:bottom w:w="70" w:type="dxa"/>
              <w:end w:w="90" w:type="dxa"/>
            </w:tcMar>
            <w:vAlign w:val="center"/>
          </w:tcPr>
          <w:p>
            <w:pPr>
              <w:spacing w:after="0"/>
            </w:pPr>
            <w:r>
              <w:rPr>
                <w:color w:val="1F2937"/>
                <w:sz w:val="14"/>
              </w:rPr>
              <w:t>Configure missing item</w:t>
            </w:r>
          </w:p>
        </w:tc>
        <w:tc>
          <w:tcPr>
            <w:tcW w:type="dxa" w:w="2424"/>
            <w:tcMar>
              <w:top w:w="70" w:type="dxa"/>
              <w:start w:w="90" w:type="dxa"/>
              <w:bottom w:w="70" w:type="dxa"/>
              <w:end w:w="90" w:type="dxa"/>
            </w:tcMar>
            <w:vAlign w:val="center"/>
          </w:tcPr>
          <w:p>
            <w:pPr>
              <w:spacing w:after="0"/>
            </w:pPr>
            <w:r>
              <w:rPr>
                <w:color w:val="1F2937"/>
                <w:sz w:val="14"/>
              </w:rPr>
              <w:t>ValidateStationReadiness</w:t>
            </w:r>
          </w:p>
        </w:tc>
      </w:tr>
      <w:tr>
        <w:tc>
          <w:tcPr>
            <w:tcW w:type="dxa" w:w="2424"/>
            <w:tcMar>
              <w:top w:w="70" w:type="dxa"/>
              <w:start w:w="90" w:type="dxa"/>
              <w:bottom w:w="70" w:type="dxa"/>
              <w:end w:w="90" w:type="dxa"/>
            </w:tcMar>
            <w:vAlign w:val="center"/>
          </w:tcPr>
          <w:p>
            <w:pPr>
              <w:spacing w:after="0"/>
            </w:pPr>
            <w:r>
              <w:rPr>
                <w:color w:val="1F2937"/>
                <w:sz w:val="14"/>
              </w:rPr>
              <w:t>WF-37</w:t>
            </w:r>
          </w:p>
        </w:tc>
        <w:tc>
          <w:tcPr>
            <w:tcW w:type="dxa" w:w="2424"/>
            <w:tcMar>
              <w:top w:w="70" w:type="dxa"/>
              <w:start w:w="90" w:type="dxa"/>
              <w:bottom w:w="70" w:type="dxa"/>
              <w:end w:w="90" w:type="dxa"/>
            </w:tcMar>
            <w:vAlign w:val="center"/>
          </w:tcPr>
          <w:p>
            <w:pPr>
              <w:spacing w:after="0"/>
            </w:pPr>
            <w:r>
              <w:rPr>
                <w:color w:val="1F2937"/>
                <w:sz w:val="14"/>
              </w:rPr>
              <w:t>User Access</w:t>
            </w:r>
          </w:p>
        </w:tc>
        <w:tc>
          <w:tcPr>
            <w:tcW w:type="dxa" w:w="2424"/>
            <w:tcMar>
              <w:top w:w="70" w:type="dxa"/>
              <w:start w:w="90" w:type="dxa"/>
              <w:bottom w:w="70" w:type="dxa"/>
              <w:end w:w="90" w:type="dxa"/>
            </w:tcMar>
            <w:vAlign w:val="center"/>
          </w:tcPr>
          <w:p>
            <w:pPr>
              <w:spacing w:after="0"/>
            </w:pPr>
            <w:r>
              <w:rPr>
                <w:color w:val="1F2937"/>
                <w:sz w:val="14"/>
              </w:rPr>
              <w:t>Owner / Admin</w:t>
            </w:r>
          </w:p>
        </w:tc>
        <w:tc>
          <w:tcPr>
            <w:tcW w:type="dxa" w:w="2424"/>
            <w:tcMar>
              <w:top w:w="70" w:type="dxa"/>
              <w:start w:w="90" w:type="dxa"/>
              <w:bottom w:w="70" w:type="dxa"/>
              <w:end w:w="90" w:type="dxa"/>
            </w:tcMar>
            <w:vAlign w:val="center"/>
          </w:tcPr>
          <w:p>
            <w:pPr>
              <w:spacing w:after="0"/>
            </w:pPr>
            <w:r>
              <w:rPr>
                <w:color w:val="1F2937"/>
                <w:sz w:val="14"/>
              </w:rPr>
              <w:t>Desktop</w:t>
            </w:r>
          </w:p>
        </w:tc>
        <w:tc>
          <w:tcPr>
            <w:tcW w:type="dxa" w:w="2424"/>
            <w:tcMar>
              <w:top w:w="70" w:type="dxa"/>
              <w:start w:w="90" w:type="dxa"/>
              <w:bottom w:w="70" w:type="dxa"/>
              <w:end w:w="90" w:type="dxa"/>
            </w:tcMar>
            <w:vAlign w:val="center"/>
          </w:tcPr>
          <w:p>
            <w:pPr>
              <w:spacing w:after="0"/>
            </w:pPr>
            <w:r>
              <w:rPr>
                <w:color w:val="1F2937"/>
                <w:sz w:val="14"/>
              </w:rPr>
              <w:t>Edit Access / Disable</w:t>
            </w:r>
          </w:p>
        </w:tc>
        <w:tc>
          <w:tcPr>
            <w:tcW w:type="dxa" w:w="2424"/>
            <w:tcMar>
              <w:top w:w="70" w:type="dxa"/>
              <w:start w:w="90" w:type="dxa"/>
              <w:bottom w:w="70" w:type="dxa"/>
              <w:end w:w="90" w:type="dxa"/>
            </w:tcMar>
            <w:vAlign w:val="center"/>
          </w:tcPr>
          <w:p>
            <w:pPr>
              <w:spacing w:after="0"/>
            </w:pPr>
            <w:r>
              <w:rPr>
                <w:color w:val="1F2937"/>
                <w:sz w:val="14"/>
              </w:rPr>
              <w:t>ChangeMembershipAccess / DisableMembership</w:t>
            </w:r>
          </w:p>
        </w:tc>
      </w:tr>
      <w:tr>
        <w:tc>
          <w:tcPr>
            <w:tcW w:type="dxa" w:w="2424"/>
            <w:tcMar>
              <w:top w:w="70" w:type="dxa"/>
              <w:start w:w="90" w:type="dxa"/>
              <w:bottom w:w="70" w:type="dxa"/>
              <w:end w:w="90" w:type="dxa"/>
            </w:tcMar>
            <w:vAlign w:val="center"/>
          </w:tcPr>
          <w:p>
            <w:pPr>
              <w:spacing w:after="0"/>
            </w:pPr>
            <w:r>
              <w:rPr>
                <w:color w:val="1F2937"/>
                <w:sz w:val="14"/>
              </w:rPr>
              <w:t>WF-38</w:t>
            </w:r>
          </w:p>
        </w:tc>
        <w:tc>
          <w:tcPr>
            <w:tcW w:type="dxa" w:w="2424"/>
            <w:tcMar>
              <w:top w:w="70" w:type="dxa"/>
              <w:start w:w="90" w:type="dxa"/>
              <w:bottom w:w="70" w:type="dxa"/>
              <w:end w:w="90" w:type="dxa"/>
            </w:tcMar>
            <w:vAlign w:val="center"/>
          </w:tcPr>
          <w:p>
            <w:pPr>
              <w:spacing w:after="0"/>
            </w:pPr>
            <w:r>
              <w:rPr>
                <w:color w:val="1F2937"/>
                <w:sz w:val="14"/>
              </w:rPr>
              <w:t>Price Change</w:t>
            </w:r>
          </w:p>
        </w:tc>
        <w:tc>
          <w:tcPr>
            <w:tcW w:type="dxa" w:w="2424"/>
            <w:tcMar>
              <w:top w:w="70" w:type="dxa"/>
              <w:start w:w="90" w:type="dxa"/>
              <w:bottom w:w="70" w:type="dxa"/>
              <w:end w:w="90" w:type="dxa"/>
            </w:tcMar>
            <w:vAlign w:val="center"/>
          </w:tcPr>
          <w:p>
            <w:pPr>
              <w:spacing w:after="0"/>
            </w:pPr>
            <w:r>
              <w:rPr>
                <w:color w:val="1F2937"/>
                <w:sz w:val="14"/>
              </w:rPr>
              <w:t>Pricing authority</w:t>
            </w:r>
          </w:p>
        </w:tc>
        <w:tc>
          <w:tcPr>
            <w:tcW w:type="dxa" w:w="2424"/>
            <w:tcMar>
              <w:top w:w="70" w:type="dxa"/>
              <w:start w:w="90" w:type="dxa"/>
              <w:bottom w:w="70" w:type="dxa"/>
              <w:end w:w="90" w:type="dxa"/>
            </w:tcMar>
            <w:vAlign w:val="center"/>
          </w:tcPr>
          <w:p>
            <w:pPr>
              <w:spacing w:after="0"/>
            </w:pPr>
            <w:r>
              <w:rPr>
                <w:color w:val="1F2937"/>
                <w:sz w:val="14"/>
              </w:rPr>
              <w:t>Desktop</w:t>
            </w:r>
          </w:p>
        </w:tc>
        <w:tc>
          <w:tcPr>
            <w:tcW w:type="dxa" w:w="2424"/>
            <w:tcMar>
              <w:top w:w="70" w:type="dxa"/>
              <w:start w:w="90" w:type="dxa"/>
              <w:bottom w:w="70" w:type="dxa"/>
              <w:end w:w="90" w:type="dxa"/>
            </w:tcMar>
            <w:vAlign w:val="center"/>
          </w:tcPr>
          <w:p>
            <w:pPr>
              <w:spacing w:after="0"/>
            </w:pPr>
            <w:r>
              <w:rPr>
                <w:color w:val="1F2937"/>
                <w:sz w:val="14"/>
              </w:rPr>
              <w:t>Submit Price Change</w:t>
            </w:r>
          </w:p>
        </w:tc>
        <w:tc>
          <w:tcPr>
            <w:tcW w:type="dxa" w:w="2424"/>
            <w:tcMar>
              <w:top w:w="70" w:type="dxa"/>
              <w:start w:w="90" w:type="dxa"/>
              <w:bottom w:w="70" w:type="dxa"/>
              <w:end w:w="90" w:type="dxa"/>
            </w:tcMar>
            <w:vAlign w:val="center"/>
          </w:tcPr>
          <w:p>
            <w:pPr>
              <w:spacing w:after="0"/>
            </w:pPr>
            <w:r>
              <w:rPr>
                <w:color w:val="1F2937"/>
                <w:sz w:val="14"/>
              </w:rPr>
              <w:t>SubmitPriceChange</w:t>
            </w:r>
          </w:p>
        </w:tc>
      </w:tr>
    </w:tbl>
    <w:sectPr w:rsidR="00FC693F" w:rsidRPr="0006063C" w:rsidSect="00034616">
      <w:headerReference w:type="default" r:id="rId40"/>
      <w:footerReference w:type="default" r:id="rId41"/>
      <w:pgSz w:w="15840" w:h="12240" w:orient="landscape"/>
      <w:pgMar w:top="648" w:right="648" w:bottom="648" w:left="648"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5"/>
      </w:rPr>
      <w:t xml:space="preserve">Confidential working specification • Triumph Energy / TEI Oils pilot preparation • </w:t>
    </w:r>
    <w:r>
      <w:t xml:space="preserve">Page </w:t>
    </w:r>
    <w:fldSimple w:instr="PAGE">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5"/>
      </w:rPr>
      <w:t xml:space="preserve">Confidential working specification • Triumph Energy / TEI Oils pilot preparation • </w:t>
    </w:r>
    <w:r>
      <w:t xml:space="preserve">Page </w:t>
    </w:r>
    <w:fldSimple w:instr="PAGE">
      <w:r>
        <w:t>1</w:t>
      </w:r>
    </w:fldSimple>
    <w:r>
      <w:rPr>
        <w:color w:val="667085"/>
        <w:sz w:val="15"/>
      </w:rPr>
      <w:t xml:space="preserve"> • Appendix F — Wireframes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67085"/>
        <w:sz w:val="15"/>
      </w:rPr>
      <w:t>SHANDA FUEL | MASTER PRODUCT &amp; ENGINEERING BLUEPRINT | v1.2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67085"/>
        <w:sz w:val="15"/>
      </w:rPr>
      <w:t>SHANDA FUEL | MASTER PRODUCT &amp; ENGINEERING BLUEPRINT | v1.2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17324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0F76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header" Target="header2.xml"/><Relationship Id="rId4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Shanda Fuel Master Product &amp; Engineering Blueprint</dc:title>
  <dc:subject>Product, domain, engineering, security, UX and delivery specification</dc:subject>
  <dc:creator>Shanda Fuel Project</dc:creator>
  <cp:keywords>fuel station, reconciliation, inventory, cash, SaaS, TEI Oils, ShandaHR</cp:keywords>
  <dc:description>Version 1.0 implementation-ready logical blueprint.</dc:description>
  <cp:lastModifiedBy/>
  <cp:revision>1</cp:revision>
  <dcterms:created xsi:type="dcterms:W3CDTF">2013-12-23T23:15:00Z</dcterms:created>
  <dcterms:modified xsi:type="dcterms:W3CDTF">2013-12-23T23:15:00Z</dcterms:modified>
  <cp:category/>
</cp:coreProperties>
</file>