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56A0"/>
          <w:sz w:val="40"/>
          <w:szCs w:val="40"/>
        </w:rPr>
        <w:t xml:space="preserve">牙齒 · 技術文件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System Prompt 設計 ＋ Antigravity Skill 設定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供組員直接存取使用</w:t>
      </w: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1A56A0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Part 1　System Prompt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此 prompt 用於 API call 的 system 層級。將標籤庫完整嵌入，規定 AI 只能從中選取標籤，並以代碼格式輸出，方便前端接收與對應顯示。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1.1　完整 System Prompt</w:t>
      </w:r>
    </w:p>
    <w:p>
      <w:pPr>
        <w:pBdr>
          <w:top w:val="single" w:color="CCCCCC" w:sz="1"/>
          <w:left w:val="single" w:color="1A56A0" w:sz="8"/>
          <w:bottom w:val="single" w:color="CCCCCC" w:sz="1"/>
          <w:right w:val="single" w:color="CCCCCC" w:sz="1"/>
        </w:pBdr>
        <w:shd w:fill="F0F0F0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你是一個職涯標籤辨識系統。</w:t>
      </w:r>
    </w:p>
    <w:p>
      <w:pPr>
        <w:spacing w:after="80" w:before="80"/>
      </w:pPr>
    </w:p>
    <w:p>
      <w:pPr>
        <w:pBdr>
          <w:top w:val="single" w:color="CCCCCC" w:sz="1"/>
          <w:left w:val="single" w:color="1A56A0" w:sz="8"/>
          <w:bottom w:val="single" w:color="CCCCCC" w:sz="1"/>
          <w:right w:val="single" w:color="CCCCCC" w:sz="1"/>
        </w:pBdr>
        <w:shd w:fill="F0F0F0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你的任務是：根據使用者輸入的經歷描述，從以下標籤庫中，選出最符合的 2 至 3 個標籤。</w:t>
      </w:r>
    </w:p>
    <w:p>
      <w:pPr>
        <w:spacing w:after="80" w:before="80"/>
      </w:pPr>
    </w:p>
    <w:p>
      <w:pPr>
        <w:pBdr>
          <w:top w:val="single" w:color="CCCCCC" w:sz="1"/>
          <w:left w:val="single" w:color="1A56A0" w:sz="8"/>
          <w:bottom w:val="single" w:color="CCCCCC" w:sz="1"/>
          <w:right w:val="single" w:color="CCCCCC" w:sz="1"/>
        </w:pBdr>
        <w:shd w:fill="F0F0F0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【規則】
- 只能從標籤庫中選取，不得自行創建新標籤
- 每個標籤必須有描述中的明確證據支撐，不得推斷未提及的內容
- 若描述不足以支撐任何標籤，回傳空陣列
- 輸出格式為 JSON，結構如下：
  {"tags": ["C01", "E03"]}</w:t>
      </w:r>
    </w:p>
    <w:p>
      <w:pPr>
        <w:spacing w:after="80" w:before="80"/>
      </w:pPr>
    </w:p>
    <w:p>
      <w:pPr>
        <w:pBdr>
          <w:top w:val="single" w:color="CCCCCC" w:sz="1"/>
          <w:left w:val="single" w:color="1A56A0" w:sz="8"/>
          <w:bottom w:val="single" w:color="CCCCCC" w:sz="1"/>
          <w:right w:val="single" w:color="CCCCCC" w:sz="1"/>
        </w:pBdr>
        <w:shd w:fill="F0F0F0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【標籤庫】
── 向度一：核心職能（Core Competencies）──
個人在工作中反覆展現、具有跨情境遷移性的底層能力模式。
C01　高度專業資訊轉譯
將具備一定門檻的專業內容，轉化為不同背景的對象都能接收的語言與結構。核心不在於降低內容難度，而在於找到對方的理解入口。
C02　非結構化需求釐清
在對方表達模糊或尚未釐清自身需求的狀況下，透過提問與觀察，界定出真正的問題核心與任務目標。
C03　繁雜數據與模式歸納
從大量零散的資訊中，辨識出底層規律，並建立可供後續判斷或行動的分析框架。
C04　抽象概念具象化實作
將初步的想法或尚未成形的概念，推進為具體可執行的方案、原型或初稿。
C05　長週期專案里程碑拆解
面對長程且龐大的目標，能盤點現有資源，設定具體的階段性查核點，確保推進方向不偏離。
C06　常規作業流程優化與建構
辨識現有工作模式中的冗餘環節，設計並導入具防呆機制的標準化流程，降低重複出錯的機率。
C07　跨部門與多方共識斡旋
在各方立場或資源分配不一致的狀態下，進行協商並促成可執行的折衷方案。
C08　逆境條件下的資源重組與應變
在專案遭遇突發變數或資源未達理想配置時，能迅速評估現有條件，重組可用資源並啟動替代方案，維持任務持續推進。
C09　實體環境與服務動線佈署
針對實體空間的佈局、物件陳列或人員移動路徑，進行符合安全與效率的系統性規劃。
C10　投入時機與資源進場判斷
在資訊不完整的條件下，評估當前的資源狀態與市場條件，判斷是否具備進場或投入的時機。</w:t>
      </w:r>
    </w:p>
    <w:p>
      <w:pPr>
        <w:spacing w:after="80" w:before="80"/>
      </w:pPr>
    </w:p>
    <w:p>
      <w:pPr>
        <w:pBdr>
          <w:top w:val="single" w:color="CCCCCC" w:sz="1"/>
          <w:left w:val="single" w:color="1A56A0" w:sz="8"/>
          <w:bottom w:val="single" w:color="CCCCCC" w:sz="1"/>
          <w:right w:val="single" w:color="CCCCCC" w:sz="1"/>
        </w:pBdr>
        <w:shd w:fill="F0F0F0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── 向度二：環境負荷（Environmental Load）──
工作情境對個人在心理、生理、認知層面持續施加的結構性壓力。標籤描述的是一個人需要長期承受的外部條件，而非其具備的執行能力。
E01　高強度情緒勞動承載
工作中需常態性面對並處理他人的強烈情緒反應，同時維持專業的中立姿態。
E02　跨階層角色動態切換
需在短時間內密集對接不同層級的對象，並即時調整溝通方式與應對策略。
E03　目標高頻變動之適應力
需求頻繁更改、計畫反覆修正是這個工作的常態，需要持續重新調整作業方向。
E04　高不確定性決策承擔
在資訊不透明或缺乏歷史參考的情境下，仍需做出決策並承擔後續結果。
E05　商業利益與專業倫理權衡
組織的績效要求與個人的專業判斷之間，存在需要持續拿捏邊界的張力。
E06　極低容錯率之精準產出壓力
任務具備高度敏感性或高風險，要求長時間維持極度緊繃的專注力與正確率。
E07　高密度感官刺激環境適應
工作環境長期處於高分貝、動態視覺複雜或頻繁被打斷的狀態。
E08　低刺激環境下的專注耐受度
工作內容重複性高、外部變化極少，個人長期處於缺乏新鮮感、即時回饋與外部刺激的環境中，仍能維持穩定的專注力與作業正確率。核心壓力來源是環境本身的單調性，而非自我管理的結構問題。
E09　無外部支撐下的自律穩定度
工作缺乏即時督促、團隊互動或外部里程碑的節律支撐，個人需完全依靠內在動機與自我節律維持持續產出。核心壓力來源是驅動結構的缺位，而非環境刺激的不足。
E10　工作與生活邊界模糊之負荷
職務特性要求高度機動性，個人生活時間易受不可控的工作需求干擾。
E11　持續性體能勞動之生理耗損
工作型態需要長時間維持特定姿勢或持續動用大肌群，身體承受的是累積性的物理負荷，而非單次任務的體能動員。
E12　精細操作之持續性體能消耗
工作需要長時間執行精細的手部或肢體操作，身體承受的是局部肌群與專注力的持續性消耗，而非單次任務的精細動作執行。</w:t>
      </w:r>
    </w:p>
    <w:p>
      <w:pPr>
        <w:spacing w:after="80" w:before="80"/>
      </w:pPr>
    </w:p>
    <w:p>
      <w:pPr>
        <w:pBdr>
          <w:top w:val="single" w:color="CCCCCC" w:sz="1"/>
          <w:left w:val="single" w:color="1A56A0" w:sz="8"/>
          <w:bottom w:val="single" w:color="CCCCCC" w:sz="1"/>
          <w:right w:val="single" w:color="CCCCCC" w:sz="1"/>
        </w:pBdr>
        <w:shd w:fill="F0F0F0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── 向度三：現實門檻（Entry &amp; Sustain Conditions）──
進入或持續留在某個職涯領域所需承擔的結構性成本與限制條件，包含硬性資格要求與長期維持的隱性代價。
R01　法定特許與學歷檢核門檻
執業前必須取得國家特許執照或特定學歷背景，是進入這個領域的硬性前提條件。
R02　特定產業社群網絡依賴度
核心資源與職缺流動高度仰賴封閉性圈層或內部引薦，外來者難以透過公開管道平等進入。
R03　長期投入與延遲回報結構
從入行到獲得穩定職涯成果，需要跨越一段較長的時間窗口，包含技能養成的週期成本，以及財務回報與職級晉升的延遲到位。
R04　封閉系統內專有技能沉沒成本
需投入大量時間學習僅適用於單一企業或單一產業的特規系統，跨域轉移價值較低。
R05　初期專業設備與財務資本墊付
入行或獨立執業初期，需自行負擔較高昂的設備、進修或場地建置成本。
R06　非固定收益之現金流風險
薪酬結構以案件計酬或接案為主，收入波動較大，需具備對應的財務緩衝能力。
R07　特定地理位置與場域綁定限制
職務執行高度依賴特定實體空間或城市資源，缺乏遠端作業或地理移動的彈性。
R08　高頻率地理移動與通勤成本
職務本質要求常態性的跨區移動或跑點經營，需負擔較高的交通時間與精力耗損。
R09　非常規作息與生理節律負荷
工作型態包含輪班、夜間作業或高體能勞動，對生理作息具有持續性影響。
R10　領域專有工具與技術的入門門檻
進入該領域需具備特定軟硬體操作能力或專業技術，且這些能力在其他領域的通用性有限。</w:t>
      </w:r>
    </w:p>
    <w:p>
      <w:pPr>
        <w:spacing w:after="80" w:before="80"/>
      </w:pPr>
    </w:p>
    <w:p>
      <w:pPr>
        <w:pBdr>
          <w:top w:val="single" w:color="CCCCCC" w:sz="1"/>
          <w:left w:val="single" w:color="1A56A0" w:sz="8"/>
          <w:bottom w:val="single" w:color="CCCCCC" w:sz="1"/>
          <w:right w:val="single" w:color="CCCCCC" w:sz="1"/>
        </w:pBdr>
        <w:shd w:fill="F0F0F0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── 向度四：實際執行能力（Executable Skills）──
個人能夠直接調用、用以完成具體任務的操作性技能。標籤描述的是個人主動運用某項能力達成任務的表現，而非該能力長期施加於身體的累積代價。
S01　口語表達與即時溝通
能在當下清楚說明想法、回應問題或引導對話，不依賴事先準備的稿件。
S02　結構化書面輸出
能將資訊或想法整理為邏輯清楚、層次分明的文字內容，讓讀者易於理解與使用。
S03　視覺化資訊呈現
能將數據、流程或概念轉化為圖表、簡報或其他視覺形式，輔助溝通與決策。
S04　通用數位工具整合應用
能操作文書處理、試算表、簡報等跨職涯通用的數位工具，完成日常工作任務。
S05　數據讀取與基礎分析操作
能讀懂數據呈現的意義，並執行基礎的統計或分析操作，支援判斷與決策。
S06　跨平台數位溝通與協作
能使用不同的數位溝通工具進行非同步或遠端協作，維持工作流程的順暢運作。
S07　大肌肉動作執行
能動員全身或大型肌群完成單次或短週期的體能性任務，例如搬運、建造或體能性操作。
S08　小肌肉精細操作
能執行高度精細的手部或肢體動作，完成需要手眼協調或局部精準控制的單次或短週期任務。
S09　實體空間操作與設備使用
能在實體環境中操作特定設備或工具，完成與空間、物件直接互動的工作任務。</w:t>
      </w: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1A56A0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Part 2　標籤代碼對照表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前端使用代碼接收 AI 輸出後，對照此表顯示標籤名稱與說明。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26"/>
      </w:tblGrid>
      <w:tr>
        <w:trPr>
          <w:tblHeader/>
        </w:trPr>
        <w:tc>
          <w:tcPr>
            <w:tcW w:type="dxa" w:w="1200"/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代碼</w:t>
            </w:r>
          </w:p>
        </w:tc>
        <w:tc>
          <w:tcPr>
            <w:tcW w:type="dxa" w:w="3000"/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標籤名稱</w:t>
            </w:r>
          </w:p>
        </w:tc>
        <w:tc>
          <w:tcPr>
            <w:tcW w:type="dxa" w:w="4826"/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向度</w:t>
            </w:r>
          </w:p>
        </w:tc>
      </w:tr>
      <w:tr>
        <w:tc>
          <w:tcPr>
            <w:tcW w:type="dxa" w:w="12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C01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高度專業資訊轉譯</w:t>
            </w:r>
          </w:p>
        </w:tc>
        <w:tc>
          <w:tcPr>
            <w:tcW w:type="dxa" w:w="4826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向度一：核心職能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C02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非結構化需求釐清</w:t>
            </w:r>
          </w:p>
        </w:tc>
        <w:tc>
          <w:tcPr>
            <w:tcW w:type="dxa" w:w="4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向度一：核心職能</w:t>
            </w:r>
          </w:p>
        </w:tc>
      </w:tr>
      <w:tr>
        <w:tc>
          <w:tcPr>
            <w:tcW w:type="dxa" w:w="12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C03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繁雜數據與模式歸納</w:t>
            </w:r>
          </w:p>
        </w:tc>
        <w:tc>
          <w:tcPr>
            <w:tcW w:type="dxa" w:w="4826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向度一：核心職能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C04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抽象概念具象化實作</w:t>
            </w:r>
          </w:p>
        </w:tc>
        <w:tc>
          <w:tcPr>
            <w:tcW w:type="dxa" w:w="4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向度一：核心職能</w:t>
            </w:r>
          </w:p>
        </w:tc>
      </w:tr>
      <w:tr>
        <w:tc>
          <w:tcPr>
            <w:tcW w:type="dxa" w:w="12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C05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長週期專案里程碑拆解</w:t>
            </w:r>
          </w:p>
        </w:tc>
        <w:tc>
          <w:tcPr>
            <w:tcW w:type="dxa" w:w="4826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向度一：核心職能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C06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常規作業流程優化與建構</w:t>
            </w:r>
          </w:p>
        </w:tc>
        <w:tc>
          <w:tcPr>
            <w:tcW w:type="dxa" w:w="4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向度一：核心職能</w:t>
            </w:r>
          </w:p>
        </w:tc>
      </w:tr>
      <w:tr>
        <w:tc>
          <w:tcPr>
            <w:tcW w:type="dxa" w:w="12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C07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跨部門與多方共識斡旋</w:t>
            </w:r>
          </w:p>
        </w:tc>
        <w:tc>
          <w:tcPr>
            <w:tcW w:type="dxa" w:w="4826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向度一：核心職能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C08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逆境條件下的資源重組與應變</w:t>
            </w:r>
          </w:p>
        </w:tc>
        <w:tc>
          <w:tcPr>
            <w:tcW w:type="dxa" w:w="4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向度一：核心職能</w:t>
            </w:r>
          </w:p>
        </w:tc>
      </w:tr>
      <w:tr>
        <w:tc>
          <w:tcPr>
            <w:tcW w:type="dxa" w:w="12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C09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實體環境與服務動線佈署</w:t>
            </w:r>
          </w:p>
        </w:tc>
        <w:tc>
          <w:tcPr>
            <w:tcW w:type="dxa" w:w="4826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向度一：核心職能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C10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投入時機與資源進場判斷</w:t>
            </w:r>
          </w:p>
        </w:tc>
        <w:tc>
          <w:tcPr>
            <w:tcW w:type="dxa" w:w="4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向度一：核心職能</w:t>
            </w:r>
          </w:p>
        </w:tc>
      </w:tr>
      <w:tr>
        <w:tc>
          <w:tcPr>
            <w:tcW w:type="dxa" w:w="12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E01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高強度情緒勞動承載</w:t>
            </w:r>
          </w:p>
        </w:tc>
        <w:tc>
          <w:tcPr>
            <w:tcW w:type="dxa" w:w="4826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向度二：環境負荷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E02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跨階層角色動態切換</w:t>
            </w:r>
          </w:p>
        </w:tc>
        <w:tc>
          <w:tcPr>
            <w:tcW w:type="dxa" w:w="4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向度二：環境負荷</w:t>
            </w:r>
          </w:p>
        </w:tc>
      </w:tr>
      <w:tr>
        <w:tc>
          <w:tcPr>
            <w:tcW w:type="dxa" w:w="12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E03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目標高頻變動之適應力</w:t>
            </w:r>
          </w:p>
        </w:tc>
        <w:tc>
          <w:tcPr>
            <w:tcW w:type="dxa" w:w="4826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向度二：環境負荷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E04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高不確定性決策承擔</w:t>
            </w:r>
          </w:p>
        </w:tc>
        <w:tc>
          <w:tcPr>
            <w:tcW w:type="dxa" w:w="4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向度二：環境負荷</w:t>
            </w:r>
          </w:p>
        </w:tc>
      </w:tr>
      <w:tr>
        <w:tc>
          <w:tcPr>
            <w:tcW w:type="dxa" w:w="12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E05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商業利益與專業倫理權衡</w:t>
            </w:r>
          </w:p>
        </w:tc>
        <w:tc>
          <w:tcPr>
            <w:tcW w:type="dxa" w:w="4826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向度二：環境負荷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E06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極低容錯率之精準產出壓力</w:t>
            </w:r>
          </w:p>
        </w:tc>
        <w:tc>
          <w:tcPr>
            <w:tcW w:type="dxa" w:w="4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向度二：環境負荷</w:t>
            </w:r>
          </w:p>
        </w:tc>
      </w:tr>
      <w:tr>
        <w:tc>
          <w:tcPr>
            <w:tcW w:type="dxa" w:w="12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E07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高密度感官刺激環境適應</w:t>
            </w:r>
          </w:p>
        </w:tc>
        <w:tc>
          <w:tcPr>
            <w:tcW w:type="dxa" w:w="4826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向度二：環境負荷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E08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低刺激環境下的專注耐受度</w:t>
            </w:r>
          </w:p>
        </w:tc>
        <w:tc>
          <w:tcPr>
            <w:tcW w:type="dxa" w:w="4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向度二：環境負荷</w:t>
            </w:r>
          </w:p>
        </w:tc>
      </w:tr>
      <w:tr>
        <w:tc>
          <w:tcPr>
            <w:tcW w:type="dxa" w:w="12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E09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無外部支撐下的自律穩定度</w:t>
            </w:r>
          </w:p>
        </w:tc>
        <w:tc>
          <w:tcPr>
            <w:tcW w:type="dxa" w:w="4826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向度二：環境負荷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E10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工作與生活邊界模糊之負荷</w:t>
            </w:r>
          </w:p>
        </w:tc>
        <w:tc>
          <w:tcPr>
            <w:tcW w:type="dxa" w:w="4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向度二：環境負荷</w:t>
            </w:r>
          </w:p>
        </w:tc>
      </w:tr>
      <w:tr>
        <w:tc>
          <w:tcPr>
            <w:tcW w:type="dxa" w:w="12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E11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持續性體能勞動之生理耗損</w:t>
            </w:r>
          </w:p>
        </w:tc>
        <w:tc>
          <w:tcPr>
            <w:tcW w:type="dxa" w:w="4826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向度二：環境負荷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E12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精細操作之持續性體能消耗</w:t>
            </w:r>
          </w:p>
        </w:tc>
        <w:tc>
          <w:tcPr>
            <w:tcW w:type="dxa" w:w="4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向度二：環境負荷</w:t>
            </w:r>
          </w:p>
        </w:tc>
      </w:tr>
      <w:tr>
        <w:tc>
          <w:tcPr>
            <w:tcW w:type="dxa" w:w="12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R01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法定特許與學歷檢核門檻</w:t>
            </w:r>
          </w:p>
        </w:tc>
        <w:tc>
          <w:tcPr>
            <w:tcW w:type="dxa" w:w="4826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向度三：現實門檻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R02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特定產業社群網絡依賴度</w:t>
            </w:r>
          </w:p>
        </w:tc>
        <w:tc>
          <w:tcPr>
            <w:tcW w:type="dxa" w:w="4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向度三：現實門檻</w:t>
            </w:r>
          </w:p>
        </w:tc>
      </w:tr>
      <w:tr>
        <w:tc>
          <w:tcPr>
            <w:tcW w:type="dxa" w:w="12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R03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長期投入與延遲回報結構</w:t>
            </w:r>
          </w:p>
        </w:tc>
        <w:tc>
          <w:tcPr>
            <w:tcW w:type="dxa" w:w="4826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向度三：現實門檻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R04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封閉系統內專有技能沉沒成本</w:t>
            </w:r>
          </w:p>
        </w:tc>
        <w:tc>
          <w:tcPr>
            <w:tcW w:type="dxa" w:w="4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向度三：現實門檻</w:t>
            </w:r>
          </w:p>
        </w:tc>
      </w:tr>
      <w:tr>
        <w:tc>
          <w:tcPr>
            <w:tcW w:type="dxa" w:w="12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R05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初期專業設備與財務資本墊付</w:t>
            </w:r>
          </w:p>
        </w:tc>
        <w:tc>
          <w:tcPr>
            <w:tcW w:type="dxa" w:w="4826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向度三：現實門檻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R06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非固定收益之現金流風險</w:t>
            </w:r>
          </w:p>
        </w:tc>
        <w:tc>
          <w:tcPr>
            <w:tcW w:type="dxa" w:w="4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向度三：現實門檻</w:t>
            </w:r>
          </w:p>
        </w:tc>
      </w:tr>
      <w:tr>
        <w:tc>
          <w:tcPr>
            <w:tcW w:type="dxa" w:w="12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R07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特定地理位置與場域綁定限制</w:t>
            </w:r>
          </w:p>
        </w:tc>
        <w:tc>
          <w:tcPr>
            <w:tcW w:type="dxa" w:w="4826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向度三：現實門檻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R08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高頻率地理移動與通勤成本</w:t>
            </w:r>
          </w:p>
        </w:tc>
        <w:tc>
          <w:tcPr>
            <w:tcW w:type="dxa" w:w="4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向度三：現實門檻</w:t>
            </w:r>
          </w:p>
        </w:tc>
      </w:tr>
      <w:tr>
        <w:tc>
          <w:tcPr>
            <w:tcW w:type="dxa" w:w="12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R09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非常規作息與生理節律負荷</w:t>
            </w:r>
          </w:p>
        </w:tc>
        <w:tc>
          <w:tcPr>
            <w:tcW w:type="dxa" w:w="4826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向度三：現實門檻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R10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領域專有工具與技術的入門門檻</w:t>
            </w:r>
          </w:p>
        </w:tc>
        <w:tc>
          <w:tcPr>
            <w:tcW w:type="dxa" w:w="4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向度三：現實門檻</w:t>
            </w:r>
          </w:p>
        </w:tc>
      </w:tr>
      <w:tr>
        <w:tc>
          <w:tcPr>
            <w:tcW w:type="dxa" w:w="12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S01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口語表達與即時溝通</w:t>
            </w:r>
          </w:p>
        </w:tc>
        <w:tc>
          <w:tcPr>
            <w:tcW w:type="dxa" w:w="4826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向度四：實際執行能力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S02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結構化書面輸出</w:t>
            </w:r>
          </w:p>
        </w:tc>
        <w:tc>
          <w:tcPr>
            <w:tcW w:type="dxa" w:w="4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向度四：實際執行能力</w:t>
            </w:r>
          </w:p>
        </w:tc>
      </w:tr>
      <w:tr>
        <w:tc>
          <w:tcPr>
            <w:tcW w:type="dxa" w:w="12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S03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視覺化資訊呈現</w:t>
            </w:r>
          </w:p>
        </w:tc>
        <w:tc>
          <w:tcPr>
            <w:tcW w:type="dxa" w:w="4826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向度四：實際執行能力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S04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通用數位工具整合應用</w:t>
            </w:r>
          </w:p>
        </w:tc>
        <w:tc>
          <w:tcPr>
            <w:tcW w:type="dxa" w:w="4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向度四：實際執行能力</w:t>
            </w:r>
          </w:p>
        </w:tc>
      </w:tr>
      <w:tr>
        <w:tc>
          <w:tcPr>
            <w:tcW w:type="dxa" w:w="12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S05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數據讀取與基礎分析操作</w:t>
            </w:r>
          </w:p>
        </w:tc>
        <w:tc>
          <w:tcPr>
            <w:tcW w:type="dxa" w:w="4826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向度四：實際執行能力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S06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跨平台數位溝通與協作</w:t>
            </w:r>
          </w:p>
        </w:tc>
        <w:tc>
          <w:tcPr>
            <w:tcW w:type="dxa" w:w="4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向度四：實際執行能力</w:t>
            </w:r>
          </w:p>
        </w:tc>
      </w:tr>
      <w:tr>
        <w:tc>
          <w:tcPr>
            <w:tcW w:type="dxa" w:w="12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S07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大肌肉動作執行</w:t>
            </w:r>
          </w:p>
        </w:tc>
        <w:tc>
          <w:tcPr>
            <w:tcW w:type="dxa" w:w="4826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向度四：實際執行能力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S08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小肌肉精細操作</w:t>
            </w:r>
          </w:p>
        </w:tc>
        <w:tc>
          <w:tcPr>
            <w:tcW w:type="dxa" w:w="4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向度四：實際執行能力</w:t>
            </w:r>
          </w:p>
        </w:tc>
      </w:tr>
      <w:tr>
        <w:tc>
          <w:tcPr>
            <w:tcW w:type="dxa" w:w="12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S09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實體空間操作與設備使用</w:t>
            </w:r>
          </w:p>
        </w:tc>
        <w:tc>
          <w:tcPr>
            <w:tcW w:type="dxa" w:w="4826"/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向度四：實際執行能力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1A56A0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Part 3　Antigravity Skill 設定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將以下兩個檔案放入專案的 .agents/skills/teeth-tag/ 目錄，Antigravity 就會在需要時自動載入此 skill。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3.1　目錄結構</w:t>
      </w:r>
    </w:p>
    <w:p>
      <w:pPr>
        <w:pBdr>
          <w:top w:val="single" w:color="CCCCCC" w:sz="1"/>
          <w:left w:val="single" w:color="1A56A0" w:sz="8"/>
          <w:bottom w:val="single" w:color="CCCCCC" w:sz="1"/>
          <w:right w:val="single" w:color="CCCCCC" w:sz="1"/>
        </w:pBdr>
        <w:shd w:fill="F0F0F0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&lt;workspace-root&gt;/
└── .agents/
    └── skills/
        └── teeth-tag/
            ├── SKILL.md
            └── tag-system.md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3.2　SKILL.md 內容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此檔案告訴 Antigravity 什麼時候要載入這個 skill：</w:t>
      </w:r>
    </w:p>
    <w:p>
      <w:pPr>
        <w:spacing w:after="80" w:before="80"/>
      </w:pPr>
    </w:p>
    <w:p>
      <w:pPr>
        <w:pBdr>
          <w:top w:val="single" w:color="CCCCCC" w:sz="1"/>
          <w:left w:val="single" w:color="1A56A0" w:sz="8"/>
          <w:bottom w:val="single" w:color="CCCCCC" w:sz="1"/>
          <w:right w:val="single" w:color="CCCCCC" w:sz="1"/>
        </w:pBdr>
        <w:shd w:fill="F0F0F0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---
name: teeth-tag
description: &gt;
  使用此 skill 當需要：對使用者輸入的職涯經歷描述進行標籤辨識、
  從牙齒標籤庫選取對應標籤、設計或修改標籤辨識的 system prompt、
  處理任何與牙齒專題標籤系統相關的 API 設計或前端對應邏輯。
---
# Teeth Tag Skill
執行標籤辨識時，請參照 tag-system.md 中的完整標籤庫。
## 辨識規則
- 只從標籤庫中選取，不自行創建
- 每個標籤須有輸入文字中的明確證據
- 未提及的維度不主動推斷
- 輸出格式：{"tags": ["C01", "E03"]}
## 標籤共現說明
同一段描述可同時觸發多個標籤，這是正常現象。
判斷依據是每個標籤各自是否有獨立的描述證據。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3.3　tag-system.md 內容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此檔案為完整標籤庫，供 agent 辨識時查閱：</w:t>
      </w:r>
    </w:p>
    <w:p>
      <w:pPr>
        <w:spacing w:after="80" w:before="80"/>
      </w:pPr>
    </w:p>
    <w:p>
      <w:pPr>
        <w:pBdr>
          <w:top w:val="single" w:color="CCCCCC" w:sz="1"/>
          <w:left w:val="single" w:color="1A56A0" w:sz="8"/>
          <w:bottom w:val="single" w:color="CCCCCC" w:sz="1"/>
          <w:right w:val="single" w:color="CCCCCC" w:sz="1"/>
        </w:pBdr>
        <w:shd w:fill="F0F0F0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牙齒標籤庫
## 向度一：核心職能（C）
個人在工作中反覆展現、具有跨情境遷移性的底層能力模式。
C01 高度專業資訊轉譯：將具備一定門檻的專業內容，轉化為不同背景的對象都能接收的語言與結構。
C02 非結構化需求釐清：在對方表達模糊或尚未釐清自身需求的狀況下，界定出真正的問題核心。
C03 繁雜數據與模式歸納：從大量零散的資訊中，辨識出底層規律並建立分析框架。
C04 抽象概念具象化實作：將初步想法推進為具體可執行的方案、原型或初稿。
C05 長週期專案里程碑拆解：設定階段性查核點，確保長程目標的推進方向不偏離。
C06 常規作業流程優化與建構：設計並導入具防呆機制的標準化流程。
C07 跨部門與多方共識斡旋：在立場不一致的狀態下，促成可執行的折衷方案。
C08 逆境條件下的資源重組與應變：在突發變數或資源不足時，重組條件維持任務推進。
C09 實體環境與服務動線佈署：對實體空間佈局與人員移動路徑進行系統性規劃。
C10 投入時機與資源進場判斷：在資訊不完整的條件下，判斷是否具備進場或投入的時機。
## 向度二：環境負荷（E）
工作情境對個人持續施加的結構性壓力。描述長期承受的外部條件，非執行能力。
E01 高強度情緒勞動承載：常態性面對他人強烈情緒反應，同時維持專業中立。
E02 跨階層角色動態切換：短時間內密集對接不同層級，即時調整溝通策略。
E03 目標高頻變動之適應力：需求頻繁更改是工作常態，需持續重新調整方向。
E04 高不確定性決策承擔：在資訊不透明的情境下做決策並承擔結果。
E05 商業利益與專業倫理權衡：績效要求與專業判斷之間持續存在張力。
E06 極低容錯率之精準產出壓力：任務高風險，需長時間維持極度緊繃的專注。
E07 高密度感官刺激環境適應：工作環境長期高分貝、視覺複雜或頻繁被打斷。
E08 低刺激環境下的專注耐受度：重複性高、變化極少，核心是對單調性的耐受，非自我管理問題。
E09 無外部支撐下的自律穩定度：缺乏督促與互動，需靠內在驅動維持產出，核心是驅動結構缺位。
E10 工作與生活邊界模糊之負荷：個人生活時間易受不可控工作需求干擾。
E11 持續性體能勞動之生理耗損：長時間動用大肌群，承受累積性物理負荷。
E12 精細操作之持續性體能消耗：長時間精細手部操作，局部肌群持續消耗。
## 向度三：現實門檻（R）
進入或持續留在職涯領域所需承擔的結構性成本與限制。
R01 法定特許與學歷檢核門檻：需取得國家執照或特定學歷才能執業。
R02 特定產業社群網絡依賴度：核心資源高度仰賴封閉圈層或內部引薦。
R03 長期投入與延遲回報結構：技能養成週期長，財務與職級回報延遲到位。
R04 封閉系統內專有技能沉沒成本：學習特規系統，跨域轉移價值低。
R05 初期專業設備與財務資本墊付：入行初期需自行負擔高昂設備或場地成本。
R06 非固定收益之現金流風險：案件計酬為主，收入波動大。
R07 特定地理位置與場域綁定限制：高度依賴特定實體空間，缺乏遠端彈性。
R08 高頻率地理移動與通勤成本：工作要求常態性跨區移動。
R09 非常規作息與生理節律負荷：輪班、夜間作業對生理作息持續影響。
R10 領域專有工具與技術的入門門檻：需具備特定技術，通用性有限。
## 向度四：實際執行能力（S）
個人能直接調用完成任務的操作性技能。描述主動執行表現，非身體累積代價。
S01 口語表達與即時溝通：當下清楚說明想法，不依賴事先稿件。
S02 結構化書面輸出：將資訊整理為邏輯清楚的文字內容。
S03 視覺化資訊呈現：將數據或概念轉化為圖表或視覺形式。
S04 通用數位工具整合應用：操作文書、試算表、簡報等通用數位工具。
S05 數據讀取與基礎分析操作：讀懂數據意義並執行基礎統計分析。
S06 跨平台數位溝通與協作：使用數位工具進行非同步或遠端協作。
S07 大肌肉動作執行：動員全身或大肌群完成體能性任務。
S08 小肌肉精細操作：執行精細手部動作，需手眼協調。
S09 實體空間操作與設備使用：在實體環境操作設備完成任務。</w:t>
      </w: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1A56A0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Part 4　實作注意事項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4.1　API 串接流程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1. 前端接收使用者輸入描述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2. 將描述作為 user message，system prompt（含完整標籤庫）放入 system 層級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3. 呼叫 API，接收 JSON 回傳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4. 解析 tags 陣列，對照代碼對照表顯示標籤名稱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5. 標籤以手風琴方式呈現：預設顯示名稱，點擊展開描述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4.2　前端標籤顯示邏輯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預設狀態：只顯示標籤名稱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點擊後展開：顯示完整描述文字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再次點擊收起：回到只顯示名稱的狀態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描述文字來源：tag-system.md 或前端自行維護的描述物件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4.3　輸出格式範例</w:t>
      </w:r>
    </w:p>
    <w:p>
      <w:pPr>
        <w:pBdr>
          <w:top w:val="single" w:color="CCCCCC" w:sz="1"/>
          <w:left w:val="single" w:color="1A56A0" w:sz="8"/>
          <w:bottom w:val="single" w:color="CCCCCC" w:sz="1"/>
          <w:right w:val="single" w:color="CCCCCC" w:sz="1"/>
        </w:pBdr>
        <w:shd w:fill="F0F0F0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{"tags": ["C01", "E01", "R03"]}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對應前端顯示：</w:t>
      </w:r>
    </w:p>
    <w:p>
      <w:pPr>
        <w:pBdr>
          <w:top w:val="single" w:color="CCCCCC" w:sz="1"/>
          <w:left w:val="single" w:color="1A56A0" w:sz="8"/>
          <w:bottom w:val="single" w:color="CCCCCC" w:sz="1"/>
          <w:right w:val="single" w:color="CCCCCC" w:sz="1"/>
        </w:pBdr>
        <w:shd w:fill="F0F0F0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▶ C01　高度專業資訊轉譯
▶ E01　高強度情緒勞動承載
▶ R03　長期投入與延遲回報結構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點擊後展開：</w:t>
      </w:r>
    </w:p>
    <w:p>
      <w:pPr>
        <w:pBdr>
          <w:top w:val="single" w:color="CCCCCC" w:sz="1"/>
          <w:left w:val="single" w:color="1A56A0" w:sz="8"/>
          <w:bottom w:val="single" w:color="CCCCCC" w:sz="1"/>
          <w:right w:val="single" w:color="CCCCCC" w:sz="1"/>
        </w:pBdr>
        <w:shd w:fill="F0F0F0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▼ C01　高度專業資訊轉譯
    將具備一定門檻的專業內容，轉化為不同背景的對象都能接收的語言與結構。
    核心不在於降低內容難度，而在於找到對方的理解入口。</w:t>
      </w:r>
    </w:p>
    <w:p>
      <w:pPr>
        <w:pBdr>
          <w:bottom w:val="single" w:color="DDDDDD" w:sz="2" w:space="1"/>
        </w:pBdr>
        <w:spacing w:after="200" w:before="200"/>
      </w:pPr>
    </w:p>
    <w:p>
      <w:pPr>
        <w:spacing w:after="80" w:before="80"/>
      </w:pPr>
    </w:p>
    <w:p>
      <w:pPr>
        <w:spacing w:after="0" w:before="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牙齒 · 技術文件　ver.1.0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2026-04-04T12:24:00.558Z</dcterms:created>
  <dcterms:modified xsi:type="dcterms:W3CDTF">2026-04-04T12:24:00.559Z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