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8F671" w14:textId="77777777" w:rsidR="00FA55D6" w:rsidRDefault="00FA55D6" w:rsidP="00FA55D6">
      <w:r>
        <w:t xml:space="preserve">Do you want a return-to-duty / duty resumption workflow after leave approval, or is leave sanction enough for now? </w:t>
      </w:r>
    </w:p>
    <w:p w14:paraId="66C45E14" w14:textId="5F2DD59B" w:rsidR="00FA55D6" w:rsidRPr="002D68A3" w:rsidRDefault="00FA55D6" w:rsidP="00FA55D6">
      <w:pPr>
        <w:jc w:val="both"/>
        <w:rPr>
          <w:color w:val="0000FF"/>
        </w:rPr>
      </w:pPr>
      <w:r w:rsidRPr="002D68A3">
        <w:rPr>
          <w:color w:val="0000FF"/>
        </w:rPr>
        <w:t xml:space="preserve">Yes. The Joining Date shall be entered by the Employee through his/her login. The Joining Report PDF shall be pre-filled and generated by the Employee, duly signed, scanned, and submitted </w:t>
      </w:r>
      <w:r w:rsidR="002D68A3" w:rsidRPr="002D68A3">
        <w:rPr>
          <w:color w:val="0000FF"/>
        </w:rPr>
        <w:t>offline</w:t>
      </w:r>
      <w:r w:rsidRPr="002D68A3">
        <w:rPr>
          <w:color w:val="0000FF"/>
        </w:rPr>
        <w:t>. Since the Employee’s Digital Signature is not within the scope of the system, the signed Joining Report shall also be submitted in hard copy through the manual process.</w:t>
      </w:r>
    </w:p>
    <w:p w14:paraId="165A1C68" w14:textId="7A7C8C8D" w:rsidR="00FA55D6" w:rsidRDefault="00FA55D6" w:rsidP="00FA55D6">
      <w:r>
        <w:t xml:space="preserve">After medical leave / commuted leave / half pay leave, is a fitness certificate mandatory before rejoining duty? If yes, for which leave types? </w:t>
      </w:r>
    </w:p>
    <w:p w14:paraId="0DB94C28" w14:textId="5B236200" w:rsidR="00FA55D6" w:rsidRPr="002D68A3" w:rsidRDefault="002D68A3" w:rsidP="00FA55D6">
      <w:pPr>
        <w:rPr>
          <w:color w:val="0000FF"/>
        </w:rPr>
      </w:pPr>
      <w:r w:rsidRPr="002D68A3">
        <w:rPr>
          <w:color w:val="0000FF"/>
        </w:rPr>
        <w:t>No, Optional. File upload</w:t>
      </w:r>
      <w:r w:rsidR="006C6053">
        <w:rPr>
          <w:color w:val="0000FF"/>
        </w:rPr>
        <w:t xml:space="preserve"> feature to be made available by it’s not mandatory to upload</w:t>
      </w:r>
      <w:r w:rsidRPr="002D68A3">
        <w:rPr>
          <w:color w:val="0000FF"/>
        </w:rPr>
        <w:t>.</w:t>
      </w:r>
    </w:p>
    <w:p w14:paraId="1A006DEB" w14:textId="1728F75C" w:rsidR="00FA55D6" w:rsidRDefault="00FA55D6" w:rsidP="00FA55D6">
      <w:r>
        <w:t xml:space="preserve">If an employee joins earlier or later than the sanctioned leave period, should the system automatically adjust the leave balance/debit? </w:t>
      </w:r>
    </w:p>
    <w:p w14:paraId="4F9696A3" w14:textId="22B3F6FA" w:rsidR="002D68A3" w:rsidRPr="002D68A3" w:rsidRDefault="006C6053" w:rsidP="00FA55D6">
      <w:pPr>
        <w:rPr>
          <w:color w:val="0000FF"/>
        </w:rPr>
      </w:pPr>
      <w:r>
        <w:rPr>
          <w:color w:val="0000FF"/>
        </w:rPr>
        <w:t xml:space="preserve">No. </w:t>
      </w:r>
      <w:r w:rsidR="00422878">
        <w:rPr>
          <w:color w:val="0000FF"/>
        </w:rPr>
        <w:t xml:space="preserve">The Employee is required Apply for Fresh Leave Application, indicating the New Date and Selecting the Already sanctioned leave, so that a New Revised Order is issued and Subsequently the Leave balance is updated post approval of the Revised Leave. </w:t>
      </w:r>
    </w:p>
    <w:p w14:paraId="1D858353" w14:textId="15BE3C07" w:rsidR="00FA55D6" w:rsidRDefault="00FA55D6" w:rsidP="00FA55D6">
      <w:r>
        <w:t xml:space="preserve">Do you want separate printable leave application forms for each leave type like EL, CL, RH, SPL.H, ML, PL, Commuted Leave, etc., or is one common format enough? </w:t>
      </w:r>
      <w:r w:rsidR="002D68A3">
        <w:t>–</w:t>
      </w:r>
      <w:r>
        <w:t xml:space="preserve"> </w:t>
      </w:r>
    </w:p>
    <w:p w14:paraId="1B9C0D34" w14:textId="444E3F9B" w:rsidR="002D68A3" w:rsidRPr="002D68A3" w:rsidRDefault="002D68A3" w:rsidP="00FA55D6">
      <w:pPr>
        <w:rPr>
          <w:color w:val="0000FF"/>
        </w:rPr>
      </w:pPr>
      <w:r w:rsidRPr="002D68A3">
        <w:rPr>
          <w:color w:val="0000FF"/>
        </w:rPr>
        <w:t xml:space="preserve">Let the formats be separate each leave as provided. </w:t>
      </w:r>
    </w:p>
    <w:p w14:paraId="260BCE69" w14:textId="77777777" w:rsidR="00FA55D6" w:rsidRDefault="00FA55D6" w:rsidP="00FA55D6">
      <w:r>
        <w:t>For leave sanction orders, is the signatory always Secretary, or can it differ yard-wise / office-wise?</w:t>
      </w:r>
    </w:p>
    <w:p w14:paraId="26185F0D" w14:textId="6C58635E" w:rsidR="002D68A3" w:rsidRPr="002D68A3" w:rsidRDefault="002D68A3" w:rsidP="00FA55D6">
      <w:pPr>
        <w:rPr>
          <w:color w:val="0000FF"/>
        </w:rPr>
      </w:pPr>
      <w:r w:rsidRPr="002D68A3">
        <w:rPr>
          <w:color w:val="0000FF"/>
        </w:rPr>
        <w:t>Yes, Secretary. For the Full Office</w:t>
      </w:r>
      <w:r w:rsidR="00F222F6">
        <w:rPr>
          <w:color w:val="0000FF"/>
        </w:rPr>
        <w:t>.</w:t>
      </w:r>
      <w:r w:rsidRPr="002D68A3">
        <w:rPr>
          <w:color w:val="0000FF"/>
        </w:rPr>
        <w:t xml:space="preserve">  </w:t>
      </w:r>
    </w:p>
    <w:p w14:paraId="48F9BFFE" w14:textId="77777777" w:rsidR="00FA55D6" w:rsidRDefault="00FA55D6" w:rsidP="00FA55D6">
      <w:r>
        <w:t xml:space="preserve">Is system notification inside the software enough, or do you also require SMS / email / NIC message integration now? </w:t>
      </w:r>
    </w:p>
    <w:p w14:paraId="2DFA6205" w14:textId="7218AE3C" w:rsidR="00FA55D6" w:rsidRDefault="00FA55D6" w:rsidP="009A5ABC">
      <w:pPr>
        <w:jc w:val="both"/>
      </w:pPr>
      <w:r w:rsidRPr="00FA55D6">
        <w:rPr>
          <w:color w:val="0000FF"/>
        </w:rPr>
        <w:t>Email Notification required of Sanction Order PDF Generated to the Employee email.</w:t>
      </w:r>
      <w:r w:rsidR="009A5ABC">
        <w:rPr>
          <w:color w:val="0000FF"/>
        </w:rPr>
        <w:t xml:space="preserve">, Location Email ID, and Section-wise Email ID Head Office. In the Location Master, the email ID to be capture so it can be used based on the Location the Employee is posted. </w:t>
      </w:r>
      <w:r w:rsidR="0058723B">
        <w:rPr>
          <w:color w:val="0000FF"/>
        </w:rPr>
        <w:t>In case</w:t>
      </w:r>
      <w:r w:rsidR="009A5ABC">
        <w:rPr>
          <w:color w:val="0000FF"/>
        </w:rPr>
        <w:t>, Employee is post in Head Office, then in Location Master we can have the Section Name and their corresponding email ID recorded, so we can send automated email copy of Sanction Order Generated.</w:t>
      </w:r>
    </w:p>
    <w:p w14:paraId="798F256A" w14:textId="30474FF6" w:rsidR="00FA55D6" w:rsidRDefault="00FA55D6" w:rsidP="00FA55D6">
      <w:r>
        <w:t xml:space="preserve">Please confirm the opening balance cutover date for leave balances, and also the exact rule for EL set-off expiry/lapse. </w:t>
      </w:r>
    </w:p>
    <w:p w14:paraId="60EAA1B9" w14:textId="77777777" w:rsidR="0032258F" w:rsidRPr="0032258F" w:rsidRDefault="0032258F" w:rsidP="0032258F">
      <w:pPr>
        <w:rPr>
          <w:color w:val="0000FF"/>
        </w:rPr>
      </w:pPr>
      <w:r w:rsidRPr="0032258F">
        <w:rPr>
          <w:color w:val="0000FF"/>
        </w:rPr>
        <w:t xml:space="preserve">Yes. Based on the rule position, I would word the requirement carefully because </w:t>
      </w:r>
      <w:r w:rsidRPr="0032258F">
        <w:rPr>
          <w:b/>
          <w:bCs/>
          <w:color w:val="0000FF"/>
        </w:rPr>
        <w:t>“300 + 15 days” should not be treated as a 315-day accumulation limit</w:t>
      </w:r>
      <w:r w:rsidRPr="0032258F">
        <w:rPr>
          <w:color w:val="0000FF"/>
        </w:rPr>
        <w:t>.</w:t>
      </w:r>
    </w:p>
    <w:p w14:paraId="244B28D9" w14:textId="77777777" w:rsidR="0032258F" w:rsidRPr="0032258F" w:rsidRDefault="0032258F" w:rsidP="0032258F">
      <w:pPr>
        <w:rPr>
          <w:b/>
          <w:bCs/>
          <w:color w:val="0000FF"/>
        </w:rPr>
      </w:pPr>
      <w:r w:rsidRPr="0032258F">
        <w:rPr>
          <w:b/>
          <w:bCs/>
          <w:color w:val="0000FF"/>
        </w:rPr>
        <w:t>Confirmed rule for the Leave Management System</w:t>
      </w:r>
    </w:p>
    <w:p w14:paraId="726AE339" w14:textId="77777777" w:rsidR="0032258F" w:rsidRPr="0032258F" w:rsidRDefault="0032258F" w:rsidP="0032258F">
      <w:pPr>
        <w:rPr>
          <w:color w:val="0000FF"/>
        </w:rPr>
      </w:pPr>
      <w:r w:rsidRPr="0032258F">
        <w:rPr>
          <w:b/>
          <w:bCs/>
          <w:color w:val="0000FF"/>
        </w:rPr>
        <w:lastRenderedPageBreak/>
        <w:t>1. Opening Balance Cut-off Date</w:t>
      </w:r>
    </w:p>
    <w:p w14:paraId="099BEC1C" w14:textId="77777777" w:rsidR="0032258F" w:rsidRPr="0032258F" w:rsidRDefault="0032258F" w:rsidP="0032258F">
      <w:pPr>
        <w:rPr>
          <w:color w:val="0000FF"/>
        </w:rPr>
      </w:pPr>
      <w:r w:rsidRPr="0032258F">
        <w:rPr>
          <w:color w:val="0000FF"/>
        </w:rPr>
        <w:t xml:space="preserve">The </w:t>
      </w:r>
      <w:r w:rsidRPr="0032258F">
        <w:rPr>
          <w:b/>
          <w:bCs/>
          <w:color w:val="0000FF"/>
        </w:rPr>
        <w:t>Opening Leave Balance Cut-off Date shall be the Go-Live Date of the Leave Management System</w:t>
      </w:r>
      <w:r w:rsidRPr="0032258F">
        <w:rPr>
          <w:color w:val="0000FF"/>
        </w:rPr>
        <w:t>.</w:t>
      </w:r>
    </w:p>
    <w:p w14:paraId="3DBD9EF3" w14:textId="77777777" w:rsidR="0032258F" w:rsidRPr="0032258F" w:rsidRDefault="0032258F" w:rsidP="0032258F">
      <w:pPr>
        <w:numPr>
          <w:ilvl w:val="0"/>
          <w:numId w:val="1"/>
        </w:numPr>
        <w:jc w:val="both"/>
        <w:rPr>
          <w:color w:val="0000FF"/>
        </w:rPr>
      </w:pPr>
      <w:r w:rsidRPr="0032258F">
        <w:rPr>
          <w:color w:val="0000FF"/>
        </w:rPr>
        <w:t xml:space="preserve">On Go-Live, the existing leave balance of each employee shall be entered/imported as the </w:t>
      </w:r>
      <w:r w:rsidRPr="0032258F">
        <w:rPr>
          <w:b/>
          <w:bCs/>
          <w:color w:val="0000FF"/>
        </w:rPr>
        <w:t>Opening Balance</w:t>
      </w:r>
      <w:r w:rsidRPr="0032258F">
        <w:rPr>
          <w:color w:val="0000FF"/>
        </w:rPr>
        <w:t>.</w:t>
      </w:r>
    </w:p>
    <w:p w14:paraId="2E87B3A2" w14:textId="77777777" w:rsidR="0032258F" w:rsidRPr="0032258F" w:rsidRDefault="0032258F" w:rsidP="0032258F">
      <w:pPr>
        <w:numPr>
          <w:ilvl w:val="0"/>
          <w:numId w:val="1"/>
        </w:numPr>
        <w:jc w:val="both"/>
        <w:rPr>
          <w:color w:val="0000FF"/>
        </w:rPr>
      </w:pPr>
      <w:r w:rsidRPr="0032258F">
        <w:rPr>
          <w:color w:val="0000FF"/>
        </w:rPr>
        <w:t>The system shall thereafter calculate all subsequent credits, debits, carry-forward and adjustments from the Go-Live Date.</w:t>
      </w:r>
    </w:p>
    <w:p w14:paraId="27032226" w14:textId="77777777" w:rsidR="0032258F" w:rsidRPr="0032258F" w:rsidRDefault="0032258F" w:rsidP="0032258F">
      <w:pPr>
        <w:numPr>
          <w:ilvl w:val="0"/>
          <w:numId w:val="1"/>
        </w:numPr>
        <w:jc w:val="both"/>
        <w:rPr>
          <w:color w:val="0000FF"/>
        </w:rPr>
      </w:pPr>
      <w:r w:rsidRPr="0032258F">
        <w:rPr>
          <w:color w:val="0000FF"/>
        </w:rPr>
        <w:t>The opening balance should be treated as an authenticated balance transferred from the existing/manual leave records.</w:t>
      </w:r>
    </w:p>
    <w:p w14:paraId="3E41CC8B" w14:textId="77777777" w:rsidR="0032258F" w:rsidRPr="0032258F" w:rsidRDefault="0032258F" w:rsidP="0032258F">
      <w:pPr>
        <w:rPr>
          <w:b/>
          <w:bCs/>
          <w:color w:val="0000FF"/>
        </w:rPr>
      </w:pPr>
      <w:r w:rsidRPr="0032258F">
        <w:rPr>
          <w:b/>
          <w:bCs/>
          <w:color w:val="0000FF"/>
        </w:rPr>
        <w:t>2. EL Credit and Carry-forward</w:t>
      </w:r>
    </w:p>
    <w:p w14:paraId="7D50C7EF" w14:textId="1228D146" w:rsidR="0032258F" w:rsidRPr="0032258F" w:rsidRDefault="0032258F" w:rsidP="0032258F">
      <w:pPr>
        <w:rPr>
          <w:color w:val="0000FF"/>
        </w:rPr>
      </w:pPr>
      <w:r w:rsidRPr="0032258F">
        <w:rPr>
          <w:color w:val="0000FF"/>
        </w:rPr>
        <w:t xml:space="preserve">Earned Leave (EL) is credited in advance in two half-yearly instalments of </w:t>
      </w:r>
      <w:r w:rsidRPr="0032258F">
        <w:rPr>
          <w:b/>
          <w:bCs/>
          <w:color w:val="0000FF"/>
        </w:rPr>
        <w:t>15 days each</w:t>
      </w:r>
      <w:r w:rsidRPr="0032258F">
        <w:rPr>
          <w:color w:val="0000FF"/>
        </w:rPr>
        <w:t xml:space="preserve">, normally on </w:t>
      </w:r>
      <w:r w:rsidRPr="0032258F">
        <w:rPr>
          <w:b/>
          <w:bCs/>
          <w:color w:val="0000FF"/>
        </w:rPr>
        <w:t>1 January and 1 July</w:t>
      </w:r>
      <w:r w:rsidRPr="0032258F">
        <w:rPr>
          <w:color w:val="0000FF"/>
        </w:rPr>
        <w:t xml:space="preserve">. The leave standing to the employee's credit is carried forward to the next half-year, subject to the prescribed ceiling. </w:t>
      </w:r>
      <w:r w:rsidR="00790981">
        <w:rPr>
          <w:color w:val="0000FF"/>
        </w:rPr>
        <w:t>T</w:t>
      </w:r>
      <w:r w:rsidRPr="0032258F">
        <w:rPr>
          <w:color w:val="0000FF"/>
        </w:rPr>
        <w:t xml:space="preserve">he ceiling for accumulation of EL </w:t>
      </w:r>
      <w:r w:rsidR="00790981">
        <w:rPr>
          <w:color w:val="0000FF"/>
        </w:rPr>
        <w:t>is</w:t>
      </w:r>
      <w:r w:rsidRPr="0032258F">
        <w:rPr>
          <w:color w:val="0000FF"/>
        </w:rPr>
        <w:t xml:space="preserve"> </w:t>
      </w:r>
      <w:r w:rsidRPr="0032258F">
        <w:rPr>
          <w:b/>
          <w:bCs/>
          <w:color w:val="0000FF"/>
        </w:rPr>
        <w:t>300 days</w:t>
      </w:r>
      <w:r w:rsidRPr="0032258F">
        <w:rPr>
          <w:color w:val="0000FF"/>
        </w:rPr>
        <w:t>.</w:t>
      </w:r>
    </w:p>
    <w:p w14:paraId="1F131B0E" w14:textId="648AFD13" w:rsidR="0032258F" w:rsidRPr="0032258F" w:rsidRDefault="0032258F" w:rsidP="0032258F">
      <w:pPr>
        <w:rPr>
          <w:b/>
          <w:bCs/>
          <w:color w:val="0000FF"/>
        </w:rPr>
      </w:pPr>
      <w:r w:rsidRPr="0032258F">
        <w:rPr>
          <w:b/>
          <w:bCs/>
          <w:color w:val="0000FF"/>
        </w:rPr>
        <w:t xml:space="preserve">3. </w:t>
      </w:r>
      <w:r w:rsidR="003D5F20">
        <w:rPr>
          <w:b/>
          <w:bCs/>
          <w:color w:val="0000FF"/>
        </w:rPr>
        <w:t>C</w:t>
      </w:r>
      <w:r w:rsidRPr="0032258F">
        <w:rPr>
          <w:b/>
          <w:bCs/>
          <w:color w:val="0000FF"/>
        </w:rPr>
        <w:t>larification regarding “300 + 15 days”</w:t>
      </w:r>
    </w:p>
    <w:p w14:paraId="7EE400E1" w14:textId="5BA9F9ED" w:rsidR="0032258F" w:rsidRPr="0032258F" w:rsidRDefault="0032258F" w:rsidP="003D5F20">
      <w:pPr>
        <w:jc w:val="both"/>
        <w:rPr>
          <w:color w:val="0000FF"/>
        </w:rPr>
      </w:pPr>
      <w:r w:rsidRPr="0032258F">
        <w:rPr>
          <w:color w:val="0000FF"/>
        </w:rPr>
        <w:t xml:space="preserve">Instead, where an employee has </w:t>
      </w:r>
      <w:r w:rsidRPr="0032258F">
        <w:rPr>
          <w:b/>
          <w:bCs/>
          <w:color w:val="0000FF"/>
        </w:rPr>
        <w:t>more than 285 days but less than 300 days</w:t>
      </w:r>
      <w:r w:rsidRPr="0032258F">
        <w:rPr>
          <w:color w:val="0000FF"/>
        </w:rPr>
        <w:t xml:space="preserve"> of EL at the end of a half-year, the </w:t>
      </w:r>
      <w:r w:rsidRPr="0032258F">
        <w:rPr>
          <w:b/>
          <w:bCs/>
          <w:color w:val="0000FF"/>
        </w:rPr>
        <w:t>next 15-day credit is kept separately</w:t>
      </w:r>
      <w:r w:rsidRPr="0032258F">
        <w:rPr>
          <w:color w:val="0000FF"/>
        </w:rPr>
        <w:t xml:space="preserve"> and is first adjusted against EL availed during that half-year. Only the unutilised portion, if any, is subsequently credited, subject to the </w:t>
      </w:r>
      <w:r w:rsidRPr="0032258F">
        <w:rPr>
          <w:b/>
          <w:bCs/>
          <w:color w:val="0000FF"/>
        </w:rPr>
        <w:t>maximum balance of 300 days</w:t>
      </w:r>
      <w:r w:rsidRPr="0032258F">
        <w:rPr>
          <w:color w:val="0000FF"/>
        </w:rPr>
        <w:t>.</w:t>
      </w:r>
    </w:p>
    <w:p w14:paraId="0C02B206" w14:textId="77777777" w:rsidR="0032258F" w:rsidRPr="0032258F" w:rsidRDefault="0032258F" w:rsidP="0032258F">
      <w:pPr>
        <w:rPr>
          <w:color w:val="0000FF"/>
        </w:rPr>
      </w:pPr>
      <w:r w:rsidRPr="0032258F">
        <w:rPr>
          <w:color w:val="0000FF"/>
        </w:rPr>
        <w:t>Therefore:</w:t>
      </w:r>
    </w:p>
    <w:p w14:paraId="5E745470" w14:textId="77777777" w:rsidR="0032258F" w:rsidRPr="0032258F" w:rsidRDefault="0032258F" w:rsidP="0032258F">
      <w:pPr>
        <w:rPr>
          <w:color w:val="0000FF"/>
        </w:rPr>
      </w:pPr>
      <w:r w:rsidRPr="0032258F">
        <w:rPr>
          <w:b/>
          <w:bCs/>
          <w:color w:val="0000FF"/>
        </w:rPr>
        <w:t>300 days = maximum EL balance that can be carried/accumulated.</w:t>
      </w:r>
    </w:p>
    <w:p w14:paraId="2FD838BC" w14:textId="77777777" w:rsidR="0032258F" w:rsidRPr="0032258F" w:rsidRDefault="0032258F" w:rsidP="003D5F20">
      <w:pPr>
        <w:jc w:val="both"/>
        <w:rPr>
          <w:color w:val="0000FF"/>
        </w:rPr>
      </w:pPr>
      <w:r w:rsidRPr="0032258F">
        <w:rPr>
          <w:b/>
          <w:bCs/>
          <w:color w:val="0000FF"/>
        </w:rPr>
        <w:t>15 days = advance half-yearly credit which may be kept separately when the employee is already above 285 days. It is not an additional permanent 15-day accumulation over the 300-day ceiling.</w:t>
      </w:r>
    </w:p>
    <w:p w14:paraId="15055B4B" w14:textId="77777777" w:rsidR="0032258F" w:rsidRPr="0032258F" w:rsidRDefault="0032258F" w:rsidP="0032258F">
      <w:pPr>
        <w:rPr>
          <w:b/>
          <w:bCs/>
          <w:color w:val="0000FF"/>
        </w:rPr>
      </w:pPr>
      <w:r w:rsidRPr="0032258F">
        <w:rPr>
          <w:b/>
          <w:bCs/>
          <w:color w:val="0000FF"/>
        </w:rPr>
        <w:t>4. EL Set-off / Lapse Rule</w:t>
      </w:r>
    </w:p>
    <w:p w14:paraId="098BFB4E" w14:textId="77777777" w:rsidR="0032258F" w:rsidRPr="0032258F" w:rsidRDefault="0032258F" w:rsidP="0032258F">
      <w:pPr>
        <w:rPr>
          <w:color w:val="0000FF"/>
        </w:rPr>
      </w:pPr>
      <w:r w:rsidRPr="0032258F">
        <w:rPr>
          <w:color w:val="0000FF"/>
        </w:rPr>
        <w:t>For system purposes, I recommend defining the rule as follows:</w:t>
      </w:r>
    </w:p>
    <w:p w14:paraId="5A349582" w14:textId="77777777" w:rsidR="0032258F" w:rsidRPr="0032258F" w:rsidRDefault="0032258F" w:rsidP="0032258F">
      <w:pPr>
        <w:jc w:val="both"/>
        <w:rPr>
          <w:color w:val="0000FF"/>
        </w:rPr>
      </w:pPr>
      <w:r w:rsidRPr="0032258F">
        <w:rPr>
          <w:b/>
          <w:bCs/>
          <w:color w:val="0000FF"/>
        </w:rPr>
        <w:t>If an employee has 285 days or less of EL at the end of a half-year, the normal 15-day EL credit is added to the leave account, subject to the maximum ceiling of 300 days.</w:t>
      </w:r>
    </w:p>
    <w:p w14:paraId="2E588294" w14:textId="7246236D" w:rsidR="0032258F" w:rsidRPr="0032258F" w:rsidRDefault="0032258F" w:rsidP="0032258F">
      <w:pPr>
        <w:jc w:val="both"/>
        <w:rPr>
          <w:color w:val="0000FF"/>
        </w:rPr>
      </w:pPr>
      <w:r w:rsidRPr="0032258F">
        <w:rPr>
          <w:b/>
          <w:bCs/>
          <w:color w:val="0000FF"/>
        </w:rPr>
        <w:t>If the employee has more than 285 days but less than 300 days of EL at the end of a half-year, the 15-day advance credit for the succeeding half-year shall be maintained separately and shall first be set off against EL availed during that succeeding half-year. The balance, if any, shall be credited to the employee's EL account at the end of that half-year, subject to the maximum accumulation limit of 300 days.</w:t>
      </w:r>
      <w:r w:rsidRPr="0032258F">
        <w:rPr>
          <w:color w:val="0000FF"/>
        </w:rPr>
        <w:t xml:space="preserve"> </w:t>
      </w:r>
    </w:p>
    <w:p w14:paraId="14964641" w14:textId="77777777" w:rsidR="0032258F" w:rsidRPr="0032258F" w:rsidRDefault="0032258F" w:rsidP="0032258F">
      <w:pPr>
        <w:rPr>
          <w:color w:val="0000FF"/>
        </w:rPr>
      </w:pPr>
      <w:r w:rsidRPr="0032258F">
        <w:rPr>
          <w:b/>
          <w:bCs/>
          <w:color w:val="0000FF"/>
        </w:rPr>
        <w:lastRenderedPageBreak/>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5"/>
        <w:gridCol w:w="1620"/>
        <w:gridCol w:w="1913"/>
        <w:gridCol w:w="3698"/>
      </w:tblGrid>
      <w:tr w:rsidR="003D5F20" w:rsidRPr="0032258F" w14:paraId="3FC2B9B3" w14:textId="77777777" w:rsidTr="0032258F">
        <w:trPr>
          <w:tblHeader/>
          <w:tblCellSpacing w:w="15" w:type="dxa"/>
        </w:trPr>
        <w:tc>
          <w:tcPr>
            <w:tcW w:w="0" w:type="auto"/>
            <w:vAlign w:val="center"/>
            <w:hideMark/>
          </w:tcPr>
          <w:p w14:paraId="6411E0F6" w14:textId="77777777" w:rsidR="0032258F" w:rsidRPr="0032258F" w:rsidRDefault="0032258F" w:rsidP="0032258F">
            <w:pPr>
              <w:rPr>
                <w:b/>
                <w:bCs/>
                <w:color w:val="0000FF"/>
              </w:rPr>
            </w:pPr>
            <w:r w:rsidRPr="0032258F">
              <w:rPr>
                <w:b/>
                <w:bCs/>
                <w:color w:val="0000FF"/>
              </w:rPr>
              <w:t>EL Balance at Half-Year End</w:t>
            </w:r>
          </w:p>
        </w:tc>
        <w:tc>
          <w:tcPr>
            <w:tcW w:w="0" w:type="auto"/>
            <w:vAlign w:val="center"/>
            <w:hideMark/>
          </w:tcPr>
          <w:p w14:paraId="1CF023CC" w14:textId="77777777" w:rsidR="0032258F" w:rsidRPr="0032258F" w:rsidRDefault="0032258F" w:rsidP="0032258F">
            <w:pPr>
              <w:rPr>
                <w:b/>
                <w:bCs/>
                <w:color w:val="0000FF"/>
              </w:rPr>
            </w:pPr>
            <w:r w:rsidRPr="0032258F">
              <w:rPr>
                <w:b/>
                <w:bCs/>
                <w:color w:val="0000FF"/>
              </w:rPr>
              <w:t>Next Half-Year Credit</w:t>
            </w:r>
          </w:p>
        </w:tc>
        <w:tc>
          <w:tcPr>
            <w:tcW w:w="0" w:type="auto"/>
            <w:vAlign w:val="center"/>
            <w:hideMark/>
          </w:tcPr>
          <w:p w14:paraId="439A0833" w14:textId="77777777" w:rsidR="0032258F" w:rsidRPr="0032258F" w:rsidRDefault="0032258F" w:rsidP="0032258F">
            <w:pPr>
              <w:rPr>
                <w:b/>
                <w:bCs/>
                <w:color w:val="0000FF"/>
              </w:rPr>
            </w:pPr>
            <w:r w:rsidRPr="0032258F">
              <w:rPr>
                <w:b/>
                <w:bCs/>
                <w:color w:val="0000FF"/>
              </w:rPr>
              <w:t>EL Availed During Next Half-Year</w:t>
            </w:r>
          </w:p>
        </w:tc>
        <w:tc>
          <w:tcPr>
            <w:tcW w:w="0" w:type="auto"/>
            <w:vAlign w:val="center"/>
            <w:hideMark/>
          </w:tcPr>
          <w:p w14:paraId="0739641F" w14:textId="77777777" w:rsidR="0032258F" w:rsidRPr="0032258F" w:rsidRDefault="0032258F" w:rsidP="0032258F">
            <w:pPr>
              <w:rPr>
                <w:b/>
                <w:bCs/>
                <w:color w:val="0000FF"/>
              </w:rPr>
            </w:pPr>
            <w:r w:rsidRPr="0032258F">
              <w:rPr>
                <w:b/>
                <w:bCs/>
                <w:color w:val="0000FF"/>
              </w:rPr>
              <w:t>Treatment</w:t>
            </w:r>
          </w:p>
        </w:tc>
      </w:tr>
      <w:tr w:rsidR="003D5F20" w:rsidRPr="0032258F" w14:paraId="2E01E2CB" w14:textId="77777777" w:rsidTr="0032258F">
        <w:trPr>
          <w:tblCellSpacing w:w="15" w:type="dxa"/>
        </w:trPr>
        <w:tc>
          <w:tcPr>
            <w:tcW w:w="0" w:type="auto"/>
            <w:vAlign w:val="center"/>
            <w:hideMark/>
          </w:tcPr>
          <w:p w14:paraId="2C5AE9F6" w14:textId="77777777" w:rsidR="0032258F" w:rsidRPr="0032258F" w:rsidRDefault="0032258F" w:rsidP="0032258F">
            <w:pPr>
              <w:rPr>
                <w:color w:val="0000FF"/>
              </w:rPr>
            </w:pPr>
            <w:r w:rsidRPr="0032258F">
              <w:rPr>
                <w:color w:val="0000FF"/>
              </w:rPr>
              <w:t>280</w:t>
            </w:r>
          </w:p>
        </w:tc>
        <w:tc>
          <w:tcPr>
            <w:tcW w:w="0" w:type="auto"/>
            <w:vAlign w:val="center"/>
            <w:hideMark/>
          </w:tcPr>
          <w:p w14:paraId="36CE455B" w14:textId="77777777" w:rsidR="0032258F" w:rsidRPr="0032258F" w:rsidRDefault="0032258F" w:rsidP="0032258F">
            <w:pPr>
              <w:rPr>
                <w:color w:val="0000FF"/>
              </w:rPr>
            </w:pPr>
            <w:r w:rsidRPr="0032258F">
              <w:rPr>
                <w:color w:val="0000FF"/>
              </w:rPr>
              <w:t>15</w:t>
            </w:r>
          </w:p>
        </w:tc>
        <w:tc>
          <w:tcPr>
            <w:tcW w:w="0" w:type="auto"/>
            <w:vAlign w:val="center"/>
            <w:hideMark/>
          </w:tcPr>
          <w:p w14:paraId="2247765F" w14:textId="77777777" w:rsidR="0032258F" w:rsidRPr="0032258F" w:rsidRDefault="0032258F" w:rsidP="0032258F">
            <w:pPr>
              <w:rPr>
                <w:color w:val="0000FF"/>
              </w:rPr>
            </w:pPr>
            <w:r w:rsidRPr="0032258F">
              <w:rPr>
                <w:color w:val="0000FF"/>
              </w:rPr>
              <w:t>0</w:t>
            </w:r>
          </w:p>
        </w:tc>
        <w:tc>
          <w:tcPr>
            <w:tcW w:w="0" w:type="auto"/>
            <w:vAlign w:val="center"/>
            <w:hideMark/>
          </w:tcPr>
          <w:p w14:paraId="2A94EAD6" w14:textId="77777777" w:rsidR="0032258F" w:rsidRPr="0032258F" w:rsidRDefault="0032258F" w:rsidP="0032258F">
            <w:pPr>
              <w:rPr>
                <w:color w:val="0000FF"/>
              </w:rPr>
            </w:pPr>
            <w:r w:rsidRPr="0032258F">
              <w:rPr>
                <w:color w:val="0000FF"/>
              </w:rPr>
              <w:t>Balance becomes 295</w:t>
            </w:r>
          </w:p>
        </w:tc>
      </w:tr>
      <w:tr w:rsidR="003D5F20" w:rsidRPr="0032258F" w14:paraId="765EB16A" w14:textId="77777777" w:rsidTr="0032258F">
        <w:trPr>
          <w:tblCellSpacing w:w="15" w:type="dxa"/>
        </w:trPr>
        <w:tc>
          <w:tcPr>
            <w:tcW w:w="0" w:type="auto"/>
            <w:vAlign w:val="center"/>
            <w:hideMark/>
          </w:tcPr>
          <w:p w14:paraId="1966516D" w14:textId="77777777" w:rsidR="0032258F" w:rsidRPr="0032258F" w:rsidRDefault="0032258F" w:rsidP="0032258F">
            <w:pPr>
              <w:rPr>
                <w:color w:val="0000FF"/>
              </w:rPr>
            </w:pPr>
            <w:r w:rsidRPr="0032258F">
              <w:rPr>
                <w:color w:val="0000FF"/>
              </w:rPr>
              <w:t>290</w:t>
            </w:r>
          </w:p>
        </w:tc>
        <w:tc>
          <w:tcPr>
            <w:tcW w:w="0" w:type="auto"/>
            <w:vAlign w:val="center"/>
            <w:hideMark/>
          </w:tcPr>
          <w:p w14:paraId="054E879C" w14:textId="77777777" w:rsidR="0032258F" w:rsidRPr="0032258F" w:rsidRDefault="0032258F" w:rsidP="0032258F">
            <w:pPr>
              <w:rPr>
                <w:color w:val="0000FF"/>
              </w:rPr>
            </w:pPr>
            <w:r w:rsidRPr="0032258F">
              <w:rPr>
                <w:color w:val="0000FF"/>
              </w:rPr>
              <w:t>15 kept separately</w:t>
            </w:r>
          </w:p>
        </w:tc>
        <w:tc>
          <w:tcPr>
            <w:tcW w:w="0" w:type="auto"/>
            <w:vAlign w:val="center"/>
            <w:hideMark/>
          </w:tcPr>
          <w:p w14:paraId="30B52A50" w14:textId="77777777" w:rsidR="0032258F" w:rsidRPr="0032258F" w:rsidRDefault="0032258F" w:rsidP="0032258F">
            <w:pPr>
              <w:rPr>
                <w:color w:val="0000FF"/>
              </w:rPr>
            </w:pPr>
            <w:r w:rsidRPr="0032258F">
              <w:rPr>
                <w:color w:val="0000FF"/>
              </w:rPr>
              <w:t>5</w:t>
            </w:r>
          </w:p>
        </w:tc>
        <w:tc>
          <w:tcPr>
            <w:tcW w:w="0" w:type="auto"/>
            <w:vAlign w:val="center"/>
            <w:hideMark/>
          </w:tcPr>
          <w:p w14:paraId="31251335" w14:textId="77777777" w:rsidR="0032258F" w:rsidRPr="0032258F" w:rsidRDefault="0032258F" w:rsidP="0032258F">
            <w:pPr>
              <w:rPr>
                <w:color w:val="0000FF"/>
              </w:rPr>
            </w:pPr>
            <w:r w:rsidRPr="0032258F">
              <w:rPr>
                <w:color w:val="0000FF"/>
              </w:rPr>
              <w:t>5 set off from the 15; remaining 10 credited → 300</w:t>
            </w:r>
          </w:p>
        </w:tc>
      </w:tr>
      <w:tr w:rsidR="003D5F20" w:rsidRPr="0032258F" w14:paraId="19D46B59" w14:textId="77777777" w:rsidTr="0032258F">
        <w:trPr>
          <w:tblCellSpacing w:w="15" w:type="dxa"/>
        </w:trPr>
        <w:tc>
          <w:tcPr>
            <w:tcW w:w="0" w:type="auto"/>
            <w:vAlign w:val="center"/>
            <w:hideMark/>
          </w:tcPr>
          <w:p w14:paraId="29C9358E" w14:textId="77777777" w:rsidR="0032258F" w:rsidRPr="0032258F" w:rsidRDefault="0032258F" w:rsidP="0032258F">
            <w:pPr>
              <w:rPr>
                <w:color w:val="0000FF"/>
              </w:rPr>
            </w:pPr>
            <w:r w:rsidRPr="0032258F">
              <w:rPr>
                <w:color w:val="0000FF"/>
              </w:rPr>
              <w:t>290</w:t>
            </w:r>
          </w:p>
        </w:tc>
        <w:tc>
          <w:tcPr>
            <w:tcW w:w="0" w:type="auto"/>
            <w:vAlign w:val="center"/>
            <w:hideMark/>
          </w:tcPr>
          <w:p w14:paraId="271860C7" w14:textId="77777777" w:rsidR="0032258F" w:rsidRPr="0032258F" w:rsidRDefault="0032258F" w:rsidP="0032258F">
            <w:pPr>
              <w:rPr>
                <w:color w:val="0000FF"/>
              </w:rPr>
            </w:pPr>
            <w:r w:rsidRPr="0032258F">
              <w:rPr>
                <w:color w:val="0000FF"/>
              </w:rPr>
              <w:t>15 kept separately</w:t>
            </w:r>
          </w:p>
        </w:tc>
        <w:tc>
          <w:tcPr>
            <w:tcW w:w="0" w:type="auto"/>
            <w:vAlign w:val="center"/>
            <w:hideMark/>
          </w:tcPr>
          <w:p w14:paraId="6D45841D" w14:textId="77777777" w:rsidR="0032258F" w:rsidRPr="0032258F" w:rsidRDefault="0032258F" w:rsidP="0032258F">
            <w:pPr>
              <w:rPr>
                <w:color w:val="0000FF"/>
              </w:rPr>
            </w:pPr>
            <w:r w:rsidRPr="0032258F">
              <w:rPr>
                <w:color w:val="0000FF"/>
              </w:rPr>
              <w:t>15</w:t>
            </w:r>
          </w:p>
        </w:tc>
        <w:tc>
          <w:tcPr>
            <w:tcW w:w="0" w:type="auto"/>
            <w:vAlign w:val="center"/>
            <w:hideMark/>
          </w:tcPr>
          <w:p w14:paraId="1EEA33DD" w14:textId="77777777" w:rsidR="0032258F" w:rsidRPr="0032258F" w:rsidRDefault="0032258F" w:rsidP="0032258F">
            <w:pPr>
              <w:rPr>
                <w:color w:val="0000FF"/>
              </w:rPr>
            </w:pPr>
            <w:r w:rsidRPr="0032258F">
              <w:rPr>
                <w:color w:val="0000FF"/>
              </w:rPr>
              <w:t>Entire 15 set off; balance remains 290</w:t>
            </w:r>
          </w:p>
        </w:tc>
      </w:tr>
      <w:tr w:rsidR="003D5F20" w:rsidRPr="0032258F" w14:paraId="32BC2655" w14:textId="77777777" w:rsidTr="0032258F">
        <w:trPr>
          <w:tblCellSpacing w:w="15" w:type="dxa"/>
        </w:trPr>
        <w:tc>
          <w:tcPr>
            <w:tcW w:w="0" w:type="auto"/>
            <w:vAlign w:val="center"/>
            <w:hideMark/>
          </w:tcPr>
          <w:p w14:paraId="0526E271" w14:textId="77777777" w:rsidR="0032258F" w:rsidRPr="0032258F" w:rsidRDefault="0032258F" w:rsidP="0032258F">
            <w:pPr>
              <w:rPr>
                <w:color w:val="0000FF"/>
              </w:rPr>
            </w:pPr>
            <w:r w:rsidRPr="0032258F">
              <w:rPr>
                <w:color w:val="0000FF"/>
              </w:rPr>
              <w:t>295</w:t>
            </w:r>
          </w:p>
        </w:tc>
        <w:tc>
          <w:tcPr>
            <w:tcW w:w="0" w:type="auto"/>
            <w:vAlign w:val="center"/>
            <w:hideMark/>
          </w:tcPr>
          <w:p w14:paraId="3FC9C9DD" w14:textId="77777777" w:rsidR="0032258F" w:rsidRPr="0032258F" w:rsidRDefault="0032258F" w:rsidP="0032258F">
            <w:pPr>
              <w:rPr>
                <w:color w:val="0000FF"/>
              </w:rPr>
            </w:pPr>
            <w:r w:rsidRPr="0032258F">
              <w:rPr>
                <w:color w:val="0000FF"/>
              </w:rPr>
              <w:t>15 kept separately</w:t>
            </w:r>
          </w:p>
        </w:tc>
        <w:tc>
          <w:tcPr>
            <w:tcW w:w="0" w:type="auto"/>
            <w:vAlign w:val="center"/>
            <w:hideMark/>
          </w:tcPr>
          <w:p w14:paraId="3B5201B2" w14:textId="77777777" w:rsidR="0032258F" w:rsidRPr="0032258F" w:rsidRDefault="0032258F" w:rsidP="0032258F">
            <w:pPr>
              <w:rPr>
                <w:color w:val="0000FF"/>
              </w:rPr>
            </w:pPr>
            <w:r w:rsidRPr="0032258F">
              <w:rPr>
                <w:color w:val="0000FF"/>
              </w:rPr>
              <w:t>5</w:t>
            </w:r>
          </w:p>
        </w:tc>
        <w:tc>
          <w:tcPr>
            <w:tcW w:w="0" w:type="auto"/>
            <w:vAlign w:val="center"/>
            <w:hideMark/>
          </w:tcPr>
          <w:p w14:paraId="5417DE68" w14:textId="77777777" w:rsidR="0032258F" w:rsidRPr="0032258F" w:rsidRDefault="0032258F" w:rsidP="0032258F">
            <w:pPr>
              <w:rPr>
                <w:color w:val="0000FF"/>
              </w:rPr>
            </w:pPr>
            <w:r w:rsidRPr="0032258F">
              <w:rPr>
                <w:color w:val="0000FF"/>
              </w:rPr>
              <w:t>5 set off; remaining 10 cannot increase balance beyond 300 → balance 300</w:t>
            </w:r>
          </w:p>
        </w:tc>
      </w:tr>
      <w:tr w:rsidR="003D5F20" w:rsidRPr="0032258F" w14:paraId="17830558" w14:textId="77777777" w:rsidTr="0032258F">
        <w:trPr>
          <w:tblCellSpacing w:w="15" w:type="dxa"/>
        </w:trPr>
        <w:tc>
          <w:tcPr>
            <w:tcW w:w="0" w:type="auto"/>
            <w:vAlign w:val="center"/>
            <w:hideMark/>
          </w:tcPr>
          <w:p w14:paraId="77174997" w14:textId="77777777" w:rsidR="0032258F" w:rsidRPr="0032258F" w:rsidRDefault="0032258F" w:rsidP="0032258F">
            <w:pPr>
              <w:rPr>
                <w:color w:val="0000FF"/>
              </w:rPr>
            </w:pPr>
            <w:r w:rsidRPr="0032258F">
              <w:rPr>
                <w:color w:val="0000FF"/>
              </w:rPr>
              <w:t>300</w:t>
            </w:r>
          </w:p>
        </w:tc>
        <w:tc>
          <w:tcPr>
            <w:tcW w:w="0" w:type="auto"/>
            <w:vAlign w:val="center"/>
            <w:hideMark/>
          </w:tcPr>
          <w:p w14:paraId="536F2755" w14:textId="77777777" w:rsidR="0032258F" w:rsidRPr="0032258F" w:rsidRDefault="0032258F" w:rsidP="0032258F">
            <w:pPr>
              <w:rPr>
                <w:color w:val="0000FF"/>
              </w:rPr>
            </w:pPr>
            <w:r w:rsidRPr="0032258F">
              <w:rPr>
                <w:color w:val="0000FF"/>
              </w:rPr>
              <w:t>15 kept separately</w:t>
            </w:r>
          </w:p>
        </w:tc>
        <w:tc>
          <w:tcPr>
            <w:tcW w:w="0" w:type="auto"/>
            <w:vAlign w:val="center"/>
            <w:hideMark/>
          </w:tcPr>
          <w:p w14:paraId="6A44BCEC" w14:textId="77777777" w:rsidR="0032258F" w:rsidRPr="0032258F" w:rsidRDefault="0032258F" w:rsidP="0032258F">
            <w:pPr>
              <w:rPr>
                <w:color w:val="0000FF"/>
              </w:rPr>
            </w:pPr>
            <w:r w:rsidRPr="0032258F">
              <w:rPr>
                <w:color w:val="0000FF"/>
              </w:rPr>
              <w:t>0</w:t>
            </w:r>
          </w:p>
        </w:tc>
        <w:tc>
          <w:tcPr>
            <w:tcW w:w="0" w:type="auto"/>
            <w:vAlign w:val="center"/>
            <w:hideMark/>
          </w:tcPr>
          <w:p w14:paraId="6A1089CA" w14:textId="77777777" w:rsidR="0032258F" w:rsidRPr="0032258F" w:rsidRDefault="0032258F" w:rsidP="0032258F">
            <w:pPr>
              <w:rPr>
                <w:color w:val="0000FF"/>
              </w:rPr>
            </w:pPr>
            <w:r w:rsidRPr="0032258F">
              <w:rPr>
                <w:color w:val="0000FF"/>
              </w:rPr>
              <w:t>No addition to balance; remains 300</w:t>
            </w:r>
          </w:p>
        </w:tc>
      </w:tr>
      <w:tr w:rsidR="003D5F20" w:rsidRPr="0032258F" w14:paraId="59709E6B" w14:textId="77777777" w:rsidTr="0032258F">
        <w:trPr>
          <w:tblCellSpacing w:w="15" w:type="dxa"/>
        </w:trPr>
        <w:tc>
          <w:tcPr>
            <w:tcW w:w="0" w:type="auto"/>
            <w:vAlign w:val="center"/>
            <w:hideMark/>
          </w:tcPr>
          <w:p w14:paraId="1870B738" w14:textId="77777777" w:rsidR="0032258F" w:rsidRPr="0032258F" w:rsidRDefault="0032258F" w:rsidP="0032258F">
            <w:pPr>
              <w:rPr>
                <w:color w:val="0000FF"/>
              </w:rPr>
            </w:pPr>
            <w:r w:rsidRPr="0032258F">
              <w:rPr>
                <w:color w:val="0000FF"/>
              </w:rPr>
              <w:t>300</w:t>
            </w:r>
          </w:p>
        </w:tc>
        <w:tc>
          <w:tcPr>
            <w:tcW w:w="0" w:type="auto"/>
            <w:vAlign w:val="center"/>
            <w:hideMark/>
          </w:tcPr>
          <w:p w14:paraId="3731A64D" w14:textId="77777777" w:rsidR="0032258F" w:rsidRPr="0032258F" w:rsidRDefault="0032258F" w:rsidP="0032258F">
            <w:pPr>
              <w:rPr>
                <w:color w:val="0000FF"/>
              </w:rPr>
            </w:pPr>
            <w:r w:rsidRPr="0032258F">
              <w:rPr>
                <w:color w:val="0000FF"/>
              </w:rPr>
              <w:t>15 kept separately</w:t>
            </w:r>
          </w:p>
        </w:tc>
        <w:tc>
          <w:tcPr>
            <w:tcW w:w="0" w:type="auto"/>
            <w:vAlign w:val="center"/>
            <w:hideMark/>
          </w:tcPr>
          <w:p w14:paraId="06C5B257" w14:textId="77777777" w:rsidR="0032258F" w:rsidRPr="0032258F" w:rsidRDefault="0032258F" w:rsidP="0032258F">
            <w:pPr>
              <w:rPr>
                <w:color w:val="0000FF"/>
              </w:rPr>
            </w:pPr>
            <w:r w:rsidRPr="0032258F">
              <w:rPr>
                <w:color w:val="0000FF"/>
              </w:rPr>
              <w:t>10</w:t>
            </w:r>
          </w:p>
        </w:tc>
        <w:tc>
          <w:tcPr>
            <w:tcW w:w="0" w:type="auto"/>
            <w:vAlign w:val="center"/>
            <w:hideMark/>
          </w:tcPr>
          <w:p w14:paraId="69576954" w14:textId="77777777" w:rsidR="0032258F" w:rsidRPr="0032258F" w:rsidRDefault="0032258F" w:rsidP="0032258F">
            <w:pPr>
              <w:rPr>
                <w:color w:val="0000FF"/>
              </w:rPr>
            </w:pPr>
            <w:r w:rsidRPr="0032258F">
              <w:rPr>
                <w:color w:val="0000FF"/>
              </w:rPr>
              <w:t>10 set off; remaining 5 is not added if it would exceed 300</w:t>
            </w:r>
          </w:p>
        </w:tc>
      </w:tr>
    </w:tbl>
    <w:p w14:paraId="69F5CD46" w14:textId="77777777" w:rsidR="0032258F" w:rsidRPr="003D5F20" w:rsidRDefault="0032258F" w:rsidP="0032258F">
      <w:pPr>
        <w:rPr>
          <w:b/>
          <w:bCs/>
          <w:color w:val="0000FF"/>
        </w:rPr>
      </w:pPr>
    </w:p>
    <w:p w14:paraId="02AB0D19" w14:textId="07C9F62D" w:rsidR="0032258F" w:rsidRPr="0032258F" w:rsidRDefault="0032258F" w:rsidP="003D5F20">
      <w:pPr>
        <w:jc w:val="both"/>
        <w:rPr>
          <w:color w:val="0000FF"/>
        </w:rPr>
      </w:pPr>
      <w:r w:rsidRPr="0032258F">
        <w:rPr>
          <w:b/>
          <w:bCs/>
          <w:color w:val="0000FF"/>
        </w:rPr>
        <w:t>Opening Balance:</w:t>
      </w:r>
      <w:r w:rsidRPr="0032258F">
        <w:rPr>
          <w:color w:val="0000FF"/>
        </w:rPr>
        <w:t xml:space="preserve"> The Opening Leave Balance for each employee shall be captured as on the </w:t>
      </w:r>
      <w:r w:rsidRPr="0032258F">
        <w:rPr>
          <w:b/>
          <w:bCs/>
          <w:color w:val="0000FF"/>
        </w:rPr>
        <w:t>Go-Live Date</w:t>
      </w:r>
      <w:r w:rsidRPr="0032258F">
        <w:rPr>
          <w:color w:val="0000FF"/>
        </w:rPr>
        <w:t xml:space="preserve"> of the Leave Management System. The opening balance shall be treated as the employee's existing authenticated leave balance and shall form the starting balance for subsequent system-based leave accounting.</w:t>
      </w:r>
    </w:p>
    <w:p w14:paraId="772226E9" w14:textId="15D0E7B9" w:rsidR="0032258F" w:rsidRPr="0032258F" w:rsidRDefault="0032258F" w:rsidP="003D5F20">
      <w:pPr>
        <w:jc w:val="both"/>
        <w:rPr>
          <w:color w:val="0000FF"/>
        </w:rPr>
      </w:pPr>
      <w:r w:rsidRPr="0032258F">
        <w:rPr>
          <w:b/>
          <w:bCs/>
          <w:color w:val="0000FF"/>
        </w:rPr>
        <w:t>Earned Leave (EL) – Half-Yearly Credit and Set-off:</w:t>
      </w:r>
      <w:r w:rsidRPr="0032258F">
        <w:rPr>
          <w:color w:val="0000FF"/>
        </w:rPr>
        <w:t xml:space="preserve"> Earned Leave shall be credited at the prescribed rate of 15 days for each half-year. The maximum accumulation/carry-forward of EL shall be </w:t>
      </w:r>
      <w:r w:rsidRPr="0032258F">
        <w:rPr>
          <w:b/>
          <w:bCs/>
          <w:color w:val="0000FF"/>
        </w:rPr>
        <w:t>300 days</w:t>
      </w:r>
      <w:r w:rsidRPr="0032258F">
        <w:rPr>
          <w:color w:val="0000FF"/>
        </w:rPr>
        <w:t xml:space="preserve">. Where the EL balance at the end of a half-year is more than 285 days but less than 300 days, the 15-day advance credit for the succeeding half-year shall be maintained separately and shall first be set off against EL availed during that half-year. Any remaining portion shall be credited at the end of the half-year, subject to the maximum balance of 300 days. </w:t>
      </w:r>
      <w:r w:rsidRPr="0032258F">
        <w:rPr>
          <w:b/>
          <w:bCs/>
          <w:color w:val="0000FF"/>
        </w:rPr>
        <w:t>The system shall not treat 315 days as the permissible EL accumulation limit.</w:t>
      </w:r>
      <w:r w:rsidRPr="0032258F">
        <w:rPr>
          <w:color w:val="0000FF"/>
        </w:rPr>
        <w:t xml:space="preserve"> </w:t>
      </w:r>
    </w:p>
    <w:p w14:paraId="7A9A9A92" w14:textId="11C06889" w:rsidR="008B4CE4" w:rsidRDefault="00FA55D6" w:rsidP="00FA55D6">
      <w:r>
        <w:t xml:space="preserve">In the service book, should the system record only the leave sanction, or also the employee’s rejoining / duty resumption entry? </w:t>
      </w:r>
    </w:p>
    <w:p w14:paraId="3A9058E3" w14:textId="53A730D7" w:rsidR="002D68A3" w:rsidRPr="002D68A3" w:rsidRDefault="002D68A3" w:rsidP="00FA55D6">
      <w:pPr>
        <w:rPr>
          <w:color w:val="0000FF"/>
        </w:rPr>
      </w:pPr>
      <w:r w:rsidRPr="002D68A3">
        <w:rPr>
          <w:color w:val="0000FF"/>
        </w:rPr>
        <w:t xml:space="preserve">Yes, both Leave sanction and also employee rejoining Date to be recorded. </w:t>
      </w:r>
    </w:p>
    <w:sectPr w:rsidR="002D68A3" w:rsidRPr="002D68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0F43F7"/>
    <w:multiLevelType w:val="multilevel"/>
    <w:tmpl w:val="2394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347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5D6"/>
    <w:rsid w:val="002A6926"/>
    <w:rsid w:val="002D68A3"/>
    <w:rsid w:val="0032258F"/>
    <w:rsid w:val="003A1A60"/>
    <w:rsid w:val="003D5F20"/>
    <w:rsid w:val="00422878"/>
    <w:rsid w:val="005259DF"/>
    <w:rsid w:val="0058723B"/>
    <w:rsid w:val="006C6053"/>
    <w:rsid w:val="00790981"/>
    <w:rsid w:val="00874866"/>
    <w:rsid w:val="008B4CE4"/>
    <w:rsid w:val="009A5ABC"/>
    <w:rsid w:val="00E43C7C"/>
    <w:rsid w:val="00F222F6"/>
    <w:rsid w:val="00FA55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CF68D"/>
  <w15:chartTrackingRefBased/>
  <w15:docId w15:val="{EFB14F3A-D78A-41BC-8B9F-4A983A7B2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5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55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55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55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5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5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5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5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5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5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55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55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55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5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5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5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5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5D6"/>
    <w:rPr>
      <w:rFonts w:eastAsiaTheme="majorEastAsia" w:cstheme="majorBidi"/>
      <w:color w:val="272727" w:themeColor="text1" w:themeTint="D8"/>
    </w:rPr>
  </w:style>
  <w:style w:type="paragraph" w:styleId="Title">
    <w:name w:val="Title"/>
    <w:basedOn w:val="Normal"/>
    <w:next w:val="Normal"/>
    <w:link w:val="TitleChar"/>
    <w:uiPriority w:val="10"/>
    <w:qFormat/>
    <w:rsid w:val="00FA55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5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5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5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5D6"/>
    <w:pPr>
      <w:spacing w:before="160"/>
      <w:jc w:val="center"/>
    </w:pPr>
    <w:rPr>
      <w:i/>
      <w:iCs/>
      <w:color w:val="404040" w:themeColor="text1" w:themeTint="BF"/>
    </w:rPr>
  </w:style>
  <w:style w:type="character" w:customStyle="1" w:styleId="QuoteChar">
    <w:name w:val="Quote Char"/>
    <w:basedOn w:val="DefaultParagraphFont"/>
    <w:link w:val="Quote"/>
    <w:uiPriority w:val="29"/>
    <w:rsid w:val="00FA55D6"/>
    <w:rPr>
      <w:i/>
      <w:iCs/>
      <w:color w:val="404040" w:themeColor="text1" w:themeTint="BF"/>
    </w:rPr>
  </w:style>
  <w:style w:type="paragraph" w:styleId="ListParagraph">
    <w:name w:val="List Paragraph"/>
    <w:basedOn w:val="Normal"/>
    <w:uiPriority w:val="34"/>
    <w:qFormat/>
    <w:rsid w:val="00FA55D6"/>
    <w:pPr>
      <w:ind w:left="720"/>
      <w:contextualSpacing/>
    </w:pPr>
  </w:style>
  <w:style w:type="character" w:styleId="IntenseEmphasis">
    <w:name w:val="Intense Emphasis"/>
    <w:basedOn w:val="DefaultParagraphFont"/>
    <w:uiPriority w:val="21"/>
    <w:qFormat/>
    <w:rsid w:val="00FA55D6"/>
    <w:rPr>
      <w:i/>
      <w:iCs/>
      <w:color w:val="0F4761" w:themeColor="accent1" w:themeShade="BF"/>
    </w:rPr>
  </w:style>
  <w:style w:type="paragraph" w:styleId="IntenseQuote">
    <w:name w:val="Intense Quote"/>
    <w:basedOn w:val="Normal"/>
    <w:next w:val="Normal"/>
    <w:link w:val="IntenseQuoteChar"/>
    <w:uiPriority w:val="30"/>
    <w:qFormat/>
    <w:rsid w:val="00FA55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5D6"/>
    <w:rPr>
      <w:i/>
      <w:iCs/>
      <w:color w:val="0F4761" w:themeColor="accent1" w:themeShade="BF"/>
    </w:rPr>
  </w:style>
  <w:style w:type="character" w:styleId="IntenseReference">
    <w:name w:val="Intense Reference"/>
    <w:basedOn w:val="DefaultParagraphFont"/>
    <w:uiPriority w:val="32"/>
    <w:qFormat/>
    <w:rsid w:val="00FA55D6"/>
    <w:rPr>
      <w:b/>
      <w:bCs/>
      <w:smallCaps/>
      <w:color w:val="0F4761" w:themeColor="accent1" w:themeShade="BF"/>
      <w:spacing w:val="5"/>
    </w:rPr>
  </w:style>
  <w:style w:type="character" w:styleId="Hyperlink">
    <w:name w:val="Hyperlink"/>
    <w:basedOn w:val="DefaultParagraphFont"/>
    <w:uiPriority w:val="99"/>
    <w:unhideWhenUsed/>
    <w:rsid w:val="0032258F"/>
    <w:rPr>
      <w:color w:val="467886" w:themeColor="hyperlink"/>
      <w:u w:val="single"/>
    </w:rPr>
  </w:style>
  <w:style w:type="character" w:styleId="UnresolvedMention">
    <w:name w:val="Unresolved Mention"/>
    <w:basedOn w:val="DefaultParagraphFont"/>
    <w:uiPriority w:val="99"/>
    <w:semiHidden/>
    <w:unhideWhenUsed/>
    <w:rsid w:val="003225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TotalTime>
  <Pages>3</Pages>
  <Words>917</Words>
  <Characters>5228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aap</dc:creator>
  <cp:keywords/>
  <dc:description/>
  <cp:lastModifiedBy>aap</cp:lastModifiedBy>
  <cp:revision>7</cp:revision>
  <dcterms:created xsi:type="dcterms:W3CDTF">2026-08-19T11:27:00Z</dcterms:created>
  <dcterms:modified xsi:type="dcterms:W3CDTF">2026-08-20T07:21:00Z</dcterms:modified>
</cp:coreProperties>
</file>