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and Needs Analysis for ERP Implementation</w:t>
      </w:r>
    </w:p>
    <w:p>
      <w:pPr>
        <w:spacing w:after="240"/>
      </w:pPr>
      <w:r>
        <w:rPr>
          <w:color w:val="5D6F76"/>
          <w:sz w:val="20"/>
        </w:rPr>
        <w:t>Project ERP Implementation Consultant  |  Week 1  |  30 October 2026</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174A5B"/>
          </w:tcPr>
          <w:p>
            <w:pPr>
              <w:spacing w:after="0"/>
            </w:pPr>
            <w:r/>
            <w:r>
              <w:rPr>
                <w:rFonts w:ascii="Aptos" w:hAnsi="Aptos"/>
                <w:b/>
                <w:color w:val="FFFFFF"/>
                <w:sz w:val="18"/>
              </w:rPr>
              <w:t>Case basis</w:t>
            </w:r>
          </w:p>
        </w:tc>
        <w:tc>
          <w:tcPr>
            <w:tcW w:type="dxa" w:w="8352"/>
            <w:vAlign w:val="center"/>
            <w:shd w:fill="174A5B"/>
          </w:tcPr>
          <w:p>
            <w:pPr>
              <w:spacing w:after="0"/>
            </w:pPr>
            <w:r/>
            <w:r>
              <w:rPr>
                <w:rFonts w:ascii="Aptos" w:hAnsi="Aptos"/>
                <w:b/>
                <w:color w:val="FFFFFF"/>
                <w:sz w:val="18"/>
              </w:rPr>
              <w:t>Planning position</w:t>
            </w:r>
          </w:p>
        </w:tc>
      </w:tr>
      <w:tr>
        <w:tc>
          <w:tcPr>
            <w:tcW w:type="dxa" w:w="2088"/>
            <w:vAlign w:val="center"/>
            <w:shd w:fill="F1F6F6"/>
          </w:tcPr>
          <w:p>
            <w:pPr>
              <w:spacing w:after="0"/>
            </w:pPr>
            <w:r/>
            <w:r>
              <w:rPr>
                <w:rFonts w:ascii="Aptos" w:hAnsi="Aptos"/>
                <w:b w:val="0"/>
                <w:color w:val="232D34"/>
                <w:sz w:val="18"/>
              </w:rPr>
              <w:t>Business</w:t>
            </w:r>
          </w:p>
        </w:tc>
        <w:tc>
          <w:tcPr>
            <w:tcW w:type="dxa" w:w="8352"/>
            <w:vAlign w:val="center"/>
            <w:shd w:fill="F1F6F6"/>
          </w:tcPr>
          <w:p>
            <w:pPr>
              <w:spacing w:after="0"/>
            </w:pPr>
            <w:r/>
            <w:r>
              <w:rPr>
                <w:rFonts w:ascii="Aptos" w:hAnsi="Aptos"/>
                <w:b w:val="0"/>
                <w:color w:val="232D34"/>
                <w:sz w:val="18"/>
              </w:rPr>
              <w:t>Horizon Foods Ltd. is a hypothetical mid-sized packaged-food manufacturer with two plants, three distribution centres, and finance, procurement, inventory, sales, and production teams.</w:t>
            </w:r>
          </w:p>
        </w:tc>
      </w:tr>
      <w:tr>
        <w:tc>
          <w:tcPr>
            <w:tcW w:type="dxa" w:w="2088"/>
            <w:vAlign w:val="center"/>
          </w:tcPr>
          <w:p>
            <w:pPr>
              <w:spacing w:after="0"/>
            </w:pPr>
            <w:r/>
            <w:r>
              <w:rPr>
                <w:rFonts w:ascii="Aptos" w:hAnsi="Aptos"/>
                <w:b w:val="0"/>
                <w:color w:val="232D34"/>
                <w:sz w:val="18"/>
              </w:rPr>
              <w:t>Current-state assumption</w:t>
            </w:r>
          </w:p>
        </w:tc>
        <w:tc>
          <w:tcPr>
            <w:tcW w:type="dxa" w:w="8352"/>
            <w:vAlign w:val="center"/>
          </w:tcPr>
          <w:p>
            <w:pPr>
              <w:spacing w:after="0"/>
            </w:pPr>
            <w:r/>
            <w:r>
              <w:rPr>
                <w:rFonts w:ascii="Aptos" w:hAnsi="Aptos"/>
                <w:b w:val="0"/>
                <w:color w:val="232D34"/>
                <w:sz w:val="18"/>
              </w:rPr>
              <w:t>The teams use separate spreadsheets and departmental tools. Repeated entry, inconsistent product/supplier records, delayed stock visibility, and slow month-end reconciliation are planning assumptions for this exercise, not observed company facts.</w:t>
            </w:r>
          </w:p>
        </w:tc>
      </w:tr>
      <w:tr>
        <w:tc>
          <w:tcPr>
            <w:tcW w:type="dxa" w:w="2088"/>
            <w:vAlign w:val="center"/>
            <w:shd w:fill="F1F6F6"/>
          </w:tcPr>
          <w:p>
            <w:pPr>
              <w:spacing w:after="0"/>
            </w:pPr>
            <w:r/>
            <w:r>
              <w:rPr>
                <w:rFonts w:ascii="Aptos" w:hAnsi="Aptos"/>
                <w:b w:val="0"/>
                <w:color w:val="232D34"/>
                <w:sz w:val="18"/>
              </w:rPr>
              <w:t>Recommendation</w:t>
            </w:r>
          </w:p>
        </w:tc>
        <w:tc>
          <w:tcPr>
            <w:tcW w:type="dxa" w:w="8352"/>
            <w:vAlign w:val="center"/>
            <w:shd w:fill="F1F6F6"/>
          </w:tcPr>
          <w:p>
            <w:pPr>
              <w:spacing w:after="0"/>
            </w:pPr>
            <w:r/>
            <w:r>
              <w:rPr>
                <w:rFonts w:ascii="Aptos" w:hAnsi="Aptos"/>
                <w:b w:val="0"/>
                <w:color w:val="232D34"/>
                <w:sz w:val="18"/>
              </w:rPr>
              <w:t>Proceed to a time-boxed discovery and fit-to-standard assessment before selecting a platform or approving full implementation funding.</w:t>
            </w:r>
          </w:p>
        </w:tc>
      </w:tr>
    </w:tbl>
    <w:p>
      <w:pPr>
        <w:spacing w:after="0"/>
      </w:pPr>
    </w:p>
    <w:p>
      <w:pPr>
        <w:pStyle w:val="Heading1"/>
        <w:keepNext/>
      </w:pPr>
      <w:r>
        <w:t>Executive summary</w:t>
      </w:r>
    </w:p>
    <w:p>
      <w:r>
        <w:t>This strategic plan frames an ERP implementation as a business-change programme with clear ownership, data controls, process decisions, testing, training, and post-launch support. In the hypothetical Horizon Foods scenario, separate departmental records make it difficult to answer a basic operating question consistently: which customer orders, material balances, purchase commitments, production plans, and financial postings are current? A shared ERP process and governed master data could reduce duplicate entry and improve traceability, but software alone will not resolve unclear ownership or poor data.</w:t>
      </w:r>
    </w:p>
    <w:p>
      <w:r>
        <w:t>The proposed approach follows SAP Activate’s six-phase structure—Discover, Prepare, Explore, Realize, Deploy, and Run—as a planning reference. The schedule below is an indicative 24-week plan, not a vendor commitment or an executed project. Each phase ends with a decision gate so the sponsor can stop, adjust, or proceed based on evidence. [1][2]</w:t>
      </w:r>
    </w:p>
    <w:p>
      <w:pPr>
        <w:pStyle w:val="Heading1"/>
        <w:keepNext/>
      </w:pPr>
      <w:r>
        <w:t>1. Introduction and business need</w:t>
      </w:r>
    </w:p>
    <w:p>
      <w:r>
        <w:t>Horizon Foods is modeled as a growing manufacturer whose teams maintain separate order, purchasing, warehouse, production, and finance records. The resulting risks include multiple versions of the same supplier or product, late notice of shortages, rekeyed orders, weak audit trails, and reconciliation effort at period close. The case does not claim these issues were measured in a real company; discovery interviews and sample-document reviews would be needed to validate them.</w:t>
      </w:r>
    </w:p>
    <w:p>
      <w:r>
        <w:t>An ERP programme is justified only if a process and data assessment confirms that the business benefits exceed the implementation and change costs. The first decision is therefore not ‘which software?’ but ‘which processes, controls, data owners, and outcomes must be improved?’ A fit-to-standard review should test whether established processes meet the need before custom development is considered.</w:t>
      </w:r>
    </w:p>
    <w:p>
      <w:pPr>
        <w:pStyle w:val="Heading1"/>
        <w:keepNext/>
      </w:pPr>
      <w:r>
        <w:t>2. Scope and boundaries</w:t>
      </w:r>
    </w:p>
    <w:tbl>
      <w:tblPr>
        <w:tblStyle w:val="TableGrid"/>
        <w:tblW w:type="auto" w:w="0"/>
        <w:jc w:val="center"/>
        <w:tblLook w:firstColumn="1" w:firstRow="1" w:lastColumn="0" w:lastRow="0" w:noHBand="0" w:noVBand="1" w:val="04A0"/>
      </w:tblPr>
      <w:tblGrid>
        <w:gridCol w:w="4997"/>
        <w:gridCol w:w="4997"/>
      </w:tblGrid>
      <w:tr>
        <w:tc>
          <w:tcPr>
            <w:tcW w:type="dxa" w:w="5256"/>
            <w:vAlign w:val="center"/>
            <w:shd w:fill="174A5B"/>
          </w:tcPr>
          <w:p>
            <w:pPr>
              <w:spacing w:after="0"/>
            </w:pPr>
            <w:r/>
            <w:r>
              <w:rPr>
                <w:rFonts w:ascii="Aptos" w:hAnsi="Aptos"/>
                <w:b/>
                <w:color w:val="FFFFFF"/>
                <w:sz w:val="17"/>
              </w:rPr>
              <w:t>In scope for discovery and planning</w:t>
            </w:r>
          </w:p>
        </w:tc>
        <w:tc>
          <w:tcPr>
            <w:tcW w:type="dxa" w:w="5184"/>
            <w:vAlign w:val="center"/>
            <w:shd w:fill="174A5B"/>
          </w:tcPr>
          <w:p>
            <w:pPr>
              <w:spacing w:after="0"/>
            </w:pPr>
            <w:r/>
            <w:r>
              <w:rPr>
                <w:rFonts w:ascii="Aptos" w:hAnsi="Aptos"/>
                <w:b/>
                <w:color w:val="FFFFFF"/>
                <w:sz w:val="17"/>
              </w:rPr>
              <w:t>Out of scope until approved</w:t>
            </w:r>
          </w:p>
        </w:tc>
      </w:tr>
      <w:tr>
        <w:tc>
          <w:tcPr>
            <w:tcW w:type="dxa" w:w="5256"/>
            <w:vAlign w:val="center"/>
            <w:shd w:fill="F1F6F6"/>
          </w:tcPr>
          <w:p>
            <w:pPr>
              <w:spacing w:after="0"/>
            </w:pPr>
            <w:r/>
            <w:r>
              <w:rPr>
                <w:rFonts w:ascii="Aptos" w:hAnsi="Aptos"/>
                <w:b w:val="0"/>
                <w:color w:val="232D34"/>
                <w:sz w:val="17"/>
              </w:rPr>
              <w:t>Order-to-cash, procure-to-pay, record-to-report, inventory management, and production planning across two plants and three distribution centres.</w:t>
            </w:r>
          </w:p>
        </w:tc>
        <w:tc>
          <w:tcPr>
            <w:tcW w:type="dxa" w:w="5184"/>
            <w:vAlign w:val="center"/>
            <w:shd w:fill="F1F6F6"/>
          </w:tcPr>
          <w:p>
            <w:pPr>
              <w:spacing w:after="0"/>
            </w:pPr>
            <w:r/>
            <w:r>
              <w:rPr>
                <w:rFonts w:ascii="Aptos" w:hAnsi="Aptos"/>
                <w:b w:val="0"/>
                <w:color w:val="232D34"/>
                <w:sz w:val="17"/>
              </w:rPr>
              <w:t>Selecting or purchasing a specific ERP product, signing a vendor contract, or committing a production go-live date.</w:t>
            </w:r>
          </w:p>
        </w:tc>
      </w:tr>
      <w:tr>
        <w:tc>
          <w:tcPr>
            <w:tcW w:type="dxa" w:w="5256"/>
            <w:vAlign w:val="center"/>
          </w:tcPr>
          <w:p>
            <w:pPr>
              <w:spacing w:after="0"/>
            </w:pPr>
            <w:r/>
            <w:r>
              <w:rPr>
                <w:rFonts w:ascii="Aptos" w:hAnsi="Aptos"/>
                <w:b w:val="0"/>
                <w:color w:val="232D34"/>
                <w:sz w:val="17"/>
              </w:rPr>
              <w:t>Process ownership, role/access needs, master-data domains, reporting, integration inventory, migration approach, and change/training needs.</w:t>
            </w:r>
          </w:p>
        </w:tc>
        <w:tc>
          <w:tcPr>
            <w:tcW w:type="dxa" w:w="5184"/>
            <w:vAlign w:val="center"/>
          </w:tcPr>
          <w:p>
            <w:pPr>
              <w:spacing w:after="0"/>
            </w:pPr>
            <w:r/>
            <w:r>
              <w:rPr>
                <w:rFonts w:ascii="Aptos" w:hAnsi="Aptos"/>
                <w:b w:val="0"/>
                <w:color w:val="232D34"/>
                <w:sz w:val="17"/>
              </w:rPr>
              <w:t>Replacing specialist systems or redesigning every business process before fit-to-standard workshops.</w:t>
            </w:r>
          </w:p>
        </w:tc>
      </w:tr>
      <w:tr>
        <w:tc>
          <w:tcPr>
            <w:tcW w:type="dxa" w:w="5256"/>
            <w:vAlign w:val="center"/>
            <w:shd w:fill="F1F6F6"/>
          </w:tcPr>
          <w:p>
            <w:pPr>
              <w:spacing w:after="0"/>
            </w:pPr>
            <w:r/>
            <w:r>
              <w:rPr>
                <w:rFonts w:ascii="Aptos" w:hAnsi="Aptos"/>
                <w:b w:val="0"/>
                <w:color w:val="232D34"/>
                <w:sz w:val="17"/>
              </w:rPr>
              <w:t>Indicative success measures, risks, governance, phased timeline, and decision gates.</w:t>
            </w:r>
          </w:p>
        </w:tc>
        <w:tc>
          <w:tcPr>
            <w:tcW w:type="dxa" w:w="5184"/>
            <w:vAlign w:val="center"/>
            <w:shd w:fill="F1F6F6"/>
          </w:tcPr>
          <w:p>
            <w:pPr>
              <w:spacing w:after="0"/>
            </w:pPr>
            <w:r/>
            <w:r>
              <w:rPr>
                <w:rFonts w:ascii="Aptos" w:hAnsi="Aptos"/>
                <w:b w:val="0"/>
                <w:color w:val="232D34"/>
                <w:sz w:val="17"/>
              </w:rPr>
              <w:t>Claiming live configuration, system testing, measured savings, or completed implementation work.</w:t>
            </w:r>
          </w:p>
        </w:tc>
      </w:tr>
    </w:tbl>
    <w:p>
      <w:pPr>
        <w:spacing w:after="0"/>
      </w:pPr>
    </w:p>
    <w:p>
      <w:pPr>
        <w:pStyle w:val="Heading1"/>
        <w:keepNext/>
      </w:pPr>
      <w:r>
        <w:t>3. Strategic workstreams and success factors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4A5B"/>
          </w:tcPr>
          <w:p>
            <w:pPr>
              <w:spacing w:after="0"/>
            </w:pPr>
            <w:r/>
            <w:r>
              <w:rPr>
                <w:rFonts w:ascii="Aptos" w:hAnsi="Aptos"/>
                <w:b/>
                <w:color w:val="FFFFFF"/>
                <w:sz w:val="16"/>
              </w:rPr>
              <w:t>Workstream</w:t>
            </w:r>
          </w:p>
        </w:tc>
        <w:tc>
          <w:tcPr>
            <w:tcW w:type="dxa" w:w="3744"/>
            <w:vAlign w:val="center"/>
            <w:shd w:fill="174A5B"/>
          </w:tcPr>
          <w:p>
            <w:pPr>
              <w:spacing w:after="0"/>
            </w:pPr>
            <w:r/>
            <w:r>
              <w:rPr>
                <w:rFonts w:ascii="Aptos" w:hAnsi="Aptos"/>
                <w:b/>
                <w:color w:val="FFFFFF"/>
                <w:sz w:val="16"/>
              </w:rPr>
              <w:t>Critical success factor</w:t>
            </w:r>
          </w:p>
        </w:tc>
        <w:tc>
          <w:tcPr>
            <w:tcW w:type="dxa" w:w="4896"/>
            <w:vAlign w:val="center"/>
            <w:shd w:fill="174A5B"/>
          </w:tcPr>
          <w:p>
            <w:pPr>
              <w:spacing w:after="0"/>
            </w:pPr>
            <w:r/>
            <w:r>
              <w:rPr>
                <w:rFonts w:ascii="Aptos" w:hAnsi="Aptos"/>
                <w:b/>
                <w:color w:val="FFFFFF"/>
                <w:sz w:val="16"/>
              </w:rPr>
              <w:t>Evidence / proposed acceptance measure</w:t>
            </w:r>
          </w:p>
        </w:tc>
      </w:tr>
      <w:tr>
        <w:tc>
          <w:tcPr>
            <w:tcW w:type="dxa" w:w="1800"/>
            <w:vAlign w:val="center"/>
            <w:shd w:fill="F1F6F6"/>
          </w:tcPr>
          <w:p>
            <w:pPr>
              <w:spacing w:after="0"/>
            </w:pPr>
            <w:r/>
            <w:r>
              <w:rPr>
                <w:rFonts w:ascii="Aptos" w:hAnsi="Aptos"/>
                <w:b w:val="0"/>
                <w:color w:val="232D34"/>
                <w:sz w:val="16"/>
              </w:rPr>
              <w:t>Leadership and governance</w:t>
            </w:r>
          </w:p>
        </w:tc>
        <w:tc>
          <w:tcPr>
            <w:tcW w:type="dxa" w:w="3744"/>
            <w:vAlign w:val="center"/>
            <w:shd w:fill="F1F6F6"/>
          </w:tcPr>
          <w:p>
            <w:pPr>
              <w:spacing w:after="0"/>
            </w:pPr>
            <w:r/>
            <w:r>
              <w:rPr>
                <w:rFonts w:ascii="Aptos" w:hAnsi="Aptos"/>
                <w:b w:val="0"/>
                <w:color w:val="232D34"/>
                <w:sz w:val="16"/>
              </w:rPr>
              <w:t>A sponsor resolves cross-functional decisions and protects key-user time.</w:t>
            </w:r>
          </w:p>
        </w:tc>
        <w:tc>
          <w:tcPr>
            <w:tcW w:type="dxa" w:w="4896"/>
            <w:vAlign w:val="center"/>
            <w:shd w:fill="F1F6F6"/>
          </w:tcPr>
          <w:p>
            <w:pPr>
              <w:spacing w:after="0"/>
            </w:pPr>
            <w:r/>
            <w:r>
              <w:rPr>
                <w:rFonts w:ascii="Aptos" w:hAnsi="Aptos"/>
                <w:b w:val="0"/>
                <w:color w:val="232D34"/>
                <w:sz w:val="16"/>
              </w:rPr>
              <w:t>Named sponsor, steering group, decision log, and one accountable owner per process.</w:t>
            </w:r>
          </w:p>
        </w:tc>
      </w:tr>
      <w:tr>
        <w:tc>
          <w:tcPr>
            <w:tcW w:type="dxa" w:w="1800"/>
            <w:vAlign w:val="center"/>
          </w:tcPr>
          <w:p>
            <w:pPr>
              <w:spacing w:after="0"/>
            </w:pPr>
            <w:r/>
            <w:r>
              <w:rPr>
                <w:rFonts w:ascii="Aptos" w:hAnsi="Aptos"/>
                <w:b w:val="0"/>
                <w:color w:val="232D34"/>
                <w:sz w:val="16"/>
              </w:rPr>
              <w:t>Process design</w:t>
            </w:r>
          </w:p>
        </w:tc>
        <w:tc>
          <w:tcPr>
            <w:tcW w:type="dxa" w:w="3744"/>
            <w:vAlign w:val="center"/>
          </w:tcPr>
          <w:p>
            <w:pPr>
              <w:spacing w:after="0"/>
            </w:pPr>
            <w:r/>
            <w:r>
              <w:rPr>
                <w:rFonts w:ascii="Aptos" w:hAnsi="Aptos"/>
                <w:b w:val="0"/>
                <w:color w:val="232D34"/>
                <w:sz w:val="16"/>
              </w:rPr>
              <w:t>Fit-to-standard is used before customization; exceptions have a business reason and owner.</w:t>
            </w:r>
          </w:p>
        </w:tc>
        <w:tc>
          <w:tcPr>
            <w:tcW w:type="dxa" w:w="4896"/>
            <w:vAlign w:val="center"/>
          </w:tcPr>
          <w:p>
            <w:pPr>
              <w:spacing w:after="0"/>
            </w:pPr>
            <w:r/>
            <w:r>
              <w:rPr>
                <w:rFonts w:ascii="Aptos" w:hAnsi="Aptos"/>
                <w:b w:val="0"/>
                <w:color w:val="232D34"/>
                <w:sz w:val="16"/>
              </w:rPr>
              <w:t>Signed process decisions and approved list of gaps/extensions.</w:t>
            </w:r>
          </w:p>
        </w:tc>
      </w:tr>
      <w:tr>
        <w:tc>
          <w:tcPr>
            <w:tcW w:type="dxa" w:w="1800"/>
            <w:vAlign w:val="center"/>
            <w:shd w:fill="F1F6F6"/>
          </w:tcPr>
          <w:p>
            <w:pPr>
              <w:spacing w:after="0"/>
            </w:pPr>
            <w:r/>
            <w:r>
              <w:rPr>
                <w:rFonts w:ascii="Aptos" w:hAnsi="Aptos"/>
                <w:b w:val="0"/>
                <w:color w:val="232D34"/>
                <w:sz w:val="16"/>
              </w:rPr>
              <w:t>Data readiness</w:t>
            </w:r>
          </w:p>
        </w:tc>
        <w:tc>
          <w:tcPr>
            <w:tcW w:type="dxa" w:w="3744"/>
            <w:vAlign w:val="center"/>
            <w:shd w:fill="F1F6F6"/>
          </w:tcPr>
          <w:p>
            <w:pPr>
              <w:spacing w:after="0"/>
            </w:pPr>
            <w:r/>
            <w:r>
              <w:rPr>
                <w:rFonts w:ascii="Aptos" w:hAnsi="Aptos"/>
                <w:b w:val="0"/>
                <w:color w:val="232D34"/>
                <w:sz w:val="16"/>
              </w:rPr>
              <w:t>Data owners define quality rules, cleansing, mapping, and reconciliation before migration.</w:t>
            </w:r>
          </w:p>
        </w:tc>
        <w:tc>
          <w:tcPr>
            <w:tcW w:type="dxa" w:w="4896"/>
            <w:vAlign w:val="center"/>
            <w:shd w:fill="F1F6F6"/>
          </w:tcPr>
          <w:p>
            <w:pPr>
              <w:spacing w:after="0"/>
            </w:pPr>
            <w:r/>
            <w:r>
              <w:rPr>
                <w:rFonts w:ascii="Aptos" w:hAnsi="Aptos"/>
                <w:b w:val="0"/>
                <w:color w:val="232D34"/>
                <w:sz w:val="16"/>
              </w:rPr>
              <w:t>Critical fields have owners; sample records pass agreed completeness and validity checks.</w:t>
            </w:r>
          </w:p>
        </w:tc>
      </w:tr>
      <w:tr>
        <w:tc>
          <w:tcPr>
            <w:tcW w:type="dxa" w:w="1800"/>
            <w:vAlign w:val="center"/>
          </w:tcPr>
          <w:p>
            <w:pPr>
              <w:spacing w:after="0"/>
            </w:pPr>
            <w:r/>
            <w:r>
              <w:rPr>
                <w:rFonts w:ascii="Aptos" w:hAnsi="Aptos"/>
                <w:b w:val="0"/>
                <w:color w:val="232D34"/>
                <w:sz w:val="16"/>
              </w:rPr>
              <w:t>Testing and controls</w:t>
            </w:r>
          </w:p>
        </w:tc>
        <w:tc>
          <w:tcPr>
            <w:tcW w:type="dxa" w:w="3744"/>
            <w:vAlign w:val="center"/>
          </w:tcPr>
          <w:p>
            <w:pPr>
              <w:spacing w:after="0"/>
            </w:pPr>
            <w:r/>
            <w:r>
              <w:rPr>
                <w:rFonts w:ascii="Aptos" w:hAnsi="Aptos"/>
                <w:b w:val="0"/>
                <w:color w:val="232D34"/>
                <w:sz w:val="16"/>
              </w:rPr>
              <w:t>End-to-end scenarios cover normal, exception, security, and financial reconciliation paths.</w:t>
            </w:r>
          </w:p>
        </w:tc>
        <w:tc>
          <w:tcPr>
            <w:tcW w:type="dxa" w:w="4896"/>
            <w:vAlign w:val="center"/>
          </w:tcPr>
          <w:p>
            <w:pPr>
              <w:spacing w:after="0"/>
            </w:pPr>
            <w:r/>
            <w:r>
              <w:rPr>
                <w:rFonts w:ascii="Aptos" w:hAnsi="Aptos"/>
                <w:b w:val="0"/>
                <w:color w:val="232D34"/>
                <w:sz w:val="16"/>
              </w:rPr>
              <w:t>Critical tests pass; defects have severity, owner, due date, and retest evidence.</w:t>
            </w:r>
          </w:p>
        </w:tc>
      </w:tr>
      <w:tr>
        <w:tc>
          <w:tcPr>
            <w:tcW w:type="dxa" w:w="1800"/>
            <w:vAlign w:val="center"/>
            <w:shd w:fill="F1F6F6"/>
          </w:tcPr>
          <w:p>
            <w:pPr>
              <w:spacing w:after="0"/>
            </w:pPr>
            <w:r/>
            <w:r>
              <w:rPr>
                <w:rFonts w:ascii="Aptos" w:hAnsi="Aptos"/>
                <w:b w:val="0"/>
                <w:color w:val="232D34"/>
                <w:sz w:val="16"/>
              </w:rPr>
              <w:t>People and language</w:t>
            </w:r>
          </w:p>
        </w:tc>
        <w:tc>
          <w:tcPr>
            <w:tcW w:type="dxa" w:w="3744"/>
            <w:vAlign w:val="center"/>
            <w:shd w:fill="F1F6F6"/>
          </w:tcPr>
          <w:p>
            <w:pPr>
              <w:spacing w:after="0"/>
            </w:pPr>
            <w:r/>
            <w:r>
              <w:rPr>
                <w:rFonts w:ascii="Aptos" w:hAnsi="Aptos"/>
                <w:b w:val="0"/>
                <w:color w:val="232D34"/>
                <w:sz w:val="16"/>
              </w:rPr>
              <w:t>Role-based training and bilingual support reach affected users before cutover.</w:t>
            </w:r>
          </w:p>
        </w:tc>
        <w:tc>
          <w:tcPr>
            <w:tcW w:type="dxa" w:w="4896"/>
            <w:vAlign w:val="center"/>
            <w:shd w:fill="F1F6F6"/>
          </w:tcPr>
          <w:p>
            <w:pPr>
              <w:spacing w:after="0"/>
            </w:pPr>
            <w:r/>
            <w:r>
              <w:rPr>
                <w:rFonts w:ascii="Aptos" w:hAnsi="Aptos"/>
                <w:b w:val="0"/>
                <w:color w:val="232D34"/>
                <w:sz w:val="16"/>
              </w:rPr>
              <w:t>Attendance, task-based practice, comprehension checks, and a support/escalation channel.</w:t>
            </w:r>
          </w:p>
        </w:tc>
      </w:tr>
      <w:tr>
        <w:tc>
          <w:tcPr>
            <w:tcW w:type="dxa" w:w="1800"/>
            <w:vAlign w:val="center"/>
          </w:tcPr>
          <w:p>
            <w:pPr>
              <w:spacing w:after="0"/>
            </w:pPr>
            <w:r/>
            <w:r>
              <w:rPr>
                <w:rFonts w:ascii="Aptos" w:hAnsi="Aptos"/>
                <w:b w:val="0"/>
                <w:color w:val="232D34"/>
                <w:sz w:val="16"/>
              </w:rPr>
              <w:t>Operations readiness</w:t>
            </w:r>
          </w:p>
        </w:tc>
        <w:tc>
          <w:tcPr>
            <w:tcW w:type="dxa" w:w="3744"/>
            <w:vAlign w:val="center"/>
          </w:tcPr>
          <w:p>
            <w:pPr>
              <w:spacing w:after="0"/>
            </w:pPr>
            <w:r/>
            <w:r>
              <w:rPr>
                <w:rFonts w:ascii="Aptos" w:hAnsi="Aptos"/>
                <w:b w:val="0"/>
                <w:color w:val="232D34"/>
                <w:sz w:val="16"/>
              </w:rPr>
              <w:t>Support, monitoring, access, backup, cutover, and rollback decisions are explicit.</w:t>
            </w:r>
          </w:p>
        </w:tc>
        <w:tc>
          <w:tcPr>
            <w:tcW w:type="dxa" w:w="4896"/>
            <w:vAlign w:val="center"/>
          </w:tcPr>
          <w:p>
            <w:pPr>
              <w:spacing w:after="0"/>
            </w:pPr>
            <w:r/>
            <w:r>
              <w:rPr>
                <w:rFonts w:ascii="Aptos" w:hAnsi="Aptos"/>
                <w:b w:val="0"/>
                <w:color w:val="232D34"/>
                <w:sz w:val="16"/>
              </w:rPr>
              <w:t>Readiness checklist approved by business, IT, and process owners.</w:t>
            </w:r>
          </w:p>
        </w:tc>
      </w:tr>
    </w:tbl>
    <w:p>
      <w:pPr>
        <w:spacing w:after="0"/>
      </w:pPr>
    </w:p>
    <w:p>
      <w:pPr>
        <w:pStyle w:val="Heading1"/>
        <w:keepNext/>
      </w:pPr>
      <w:r>
        <w:t>4. Indicative 24-week implementation roadmap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224"/>
            <w:vAlign w:val="center"/>
            <w:shd w:fill="174A5B"/>
          </w:tcPr>
          <w:p>
            <w:pPr>
              <w:spacing w:after="0"/>
            </w:pPr>
            <w:r/>
            <w:r>
              <w:rPr>
                <w:rFonts w:ascii="Aptos" w:hAnsi="Aptos"/>
                <w:b/>
                <w:color w:val="FFFFFF"/>
                <w:sz w:val="16"/>
              </w:rPr>
              <w:t>Phase</w:t>
            </w:r>
          </w:p>
        </w:tc>
        <w:tc>
          <w:tcPr>
            <w:tcW w:type="dxa" w:w="893"/>
            <w:vAlign w:val="center"/>
            <w:shd w:fill="174A5B"/>
          </w:tcPr>
          <w:p>
            <w:pPr>
              <w:spacing w:after="0"/>
            </w:pPr>
            <w:r/>
            <w:r>
              <w:rPr>
                <w:rFonts w:ascii="Aptos" w:hAnsi="Aptos"/>
                <w:b/>
                <w:color w:val="FFFFFF"/>
                <w:sz w:val="16"/>
              </w:rPr>
              <w:t>Weeks</w:t>
            </w:r>
          </w:p>
        </w:tc>
        <w:tc>
          <w:tcPr>
            <w:tcW w:type="dxa" w:w="5472"/>
            <w:vAlign w:val="center"/>
            <w:shd w:fill="174A5B"/>
          </w:tcPr>
          <w:p>
            <w:pPr>
              <w:spacing w:after="0"/>
            </w:pPr>
            <w:r/>
            <w:r>
              <w:rPr>
                <w:rFonts w:ascii="Aptos" w:hAnsi="Aptos"/>
                <w:b/>
                <w:color w:val="FFFFFF"/>
                <w:sz w:val="16"/>
              </w:rPr>
              <w:t>Main activities</w:t>
            </w:r>
          </w:p>
        </w:tc>
        <w:tc>
          <w:tcPr>
            <w:tcW w:type="dxa" w:w="2880"/>
            <w:vAlign w:val="center"/>
            <w:shd w:fill="174A5B"/>
          </w:tcPr>
          <w:p>
            <w:pPr>
              <w:spacing w:after="0"/>
            </w:pPr>
            <w:r/>
            <w:r>
              <w:rPr>
                <w:rFonts w:ascii="Aptos" w:hAnsi="Aptos"/>
                <w:b/>
                <w:color w:val="FFFFFF"/>
                <w:sz w:val="16"/>
              </w:rPr>
              <w:t>Milestone / gate</w:t>
            </w:r>
          </w:p>
        </w:tc>
      </w:tr>
      <w:tr>
        <w:tc>
          <w:tcPr>
            <w:tcW w:type="dxa" w:w="1224"/>
            <w:vAlign w:val="center"/>
            <w:shd w:fill="F1F6F6"/>
          </w:tcPr>
          <w:p>
            <w:pPr>
              <w:spacing w:after="0"/>
            </w:pPr>
            <w:r/>
            <w:r>
              <w:rPr>
                <w:rFonts w:ascii="Aptos" w:hAnsi="Aptos"/>
                <w:b w:val="0"/>
                <w:color w:val="232D34"/>
                <w:sz w:val="16"/>
              </w:rPr>
              <w:t>Discover</w:t>
            </w:r>
          </w:p>
        </w:tc>
        <w:tc>
          <w:tcPr>
            <w:tcW w:type="dxa" w:w="893"/>
            <w:vAlign w:val="center"/>
            <w:shd w:fill="F1F6F6"/>
          </w:tcPr>
          <w:p>
            <w:pPr>
              <w:spacing w:after="0"/>
            </w:pPr>
            <w:r/>
            <w:r>
              <w:rPr>
                <w:rFonts w:ascii="Aptos" w:hAnsi="Aptos"/>
                <w:b w:val="0"/>
                <w:color w:val="232D34"/>
                <w:sz w:val="16"/>
              </w:rPr>
              <w:t>1–2</w:t>
            </w:r>
          </w:p>
        </w:tc>
        <w:tc>
          <w:tcPr>
            <w:tcW w:type="dxa" w:w="5472"/>
            <w:vAlign w:val="center"/>
            <w:shd w:fill="F1F6F6"/>
          </w:tcPr>
          <w:p>
            <w:pPr>
              <w:spacing w:after="0"/>
            </w:pPr>
            <w:r/>
            <w:r>
              <w:rPr>
                <w:rFonts w:ascii="Aptos" w:hAnsi="Aptos"/>
                <w:b w:val="0"/>
                <w:color w:val="232D34"/>
                <w:sz w:val="16"/>
              </w:rPr>
              <w:t>Confirm business case, scope, outcomes, solution options, and key constraints.</w:t>
            </w:r>
          </w:p>
        </w:tc>
        <w:tc>
          <w:tcPr>
            <w:tcW w:type="dxa" w:w="2880"/>
            <w:vAlign w:val="center"/>
            <w:shd w:fill="F1F6F6"/>
          </w:tcPr>
          <w:p>
            <w:pPr>
              <w:spacing w:after="0"/>
            </w:pPr>
            <w:r/>
            <w:r>
              <w:rPr>
                <w:rFonts w:ascii="Aptos" w:hAnsi="Aptos"/>
                <w:b w:val="0"/>
                <w:color w:val="232D34"/>
                <w:sz w:val="16"/>
              </w:rPr>
              <w:t>Sponsor approves discovery findings and whether to prepare.</w:t>
            </w:r>
          </w:p>
        </w:tc>
      </w:tr>
      <w:tr>
        <w:tc>
          <w:tcPr>
            <w:tcW w:type="dxa" w:w="1224"/>
            <w:vAlign w:val="center"/>
          </w:tcPr>
          <w:p>
            <w:pPr>
              <w:spacing w:after="0"/>
            </w:pPr>
            <w:r/>
            <w:r>
              <w:rPr>
                <w:rFonts w:ascii="Aptos" w:hAnsi="Aptos"/>
                <w:b w:val="0"/>
                <w:color w:val="232D34"/>
                <w:sz w:val="16"/>
              </w:rPr>
              <w:t>Prepare</w:t>
            </w:r>
          </w:p>
        </w:tc>
        <w:tc>
          <w:tcPr>
            <w:tcW w:type="dxa" w:w="893"/>
            <w:vAlign w:val="center"/>
          </w:tcPr>
          <w:p>
            <w:pPr>
              <w:spacing w:after="0"/>
            </w:pPr>
            <w:r/>
            <w:r>
              <w:rPr>
                <w:rFonts w:ascii="Aptos" w:hAnsi="Aptos"/>
                <w:b w:val="0"/>
                <w:color w:val="232D34"/>
                <w:sz w:val="16"/>
              </w:rPr>
              <w:t>3–5</w:t>
            </w:r>
          </w:p>
        </w:tc>
        <w:tc>
          <w:tcPr>
            <w:tcW w:type="dxa" w:w="5472"/>
            <w:vAlign w:val="center"/>
          </w:tcPr>
          <w:p>
            <w:pPr>
              <w:spacing w:after="0"/>
            </w:pPr>
            <w:r/>
            <w:r>
              <w:rPr>
                <w:rFonts w:ascii="Aptos" w:hAnsi="Aptos"/>
                <w:b w:val="0"/>
                <w:color w:val="232D34"/>
                <w:sz w:val="16"/>
              </w:rPr>
              <w:t>Set governance, team roles, plan, environment strategy, risk log, and communication cadence.</w:t>
            </w:r>
          </w:p>
        </w:tc>
        <w:tc>
          <w:tcPr>
            <w:tcW w:type="dxa" w:w="2880"/>
            <w:vAlign w:val="center"/>
          </w:tcPr>
          <w:p>
            <w:pPr>
              <w:spacing w:after="0"/>
            </w:pPr>
            <w:r/>
            <w:r>
              <w:rPr>
                <w:rFonts w:ascii="Aptos" w:hAnsi="Aptos"/>
                <w:b w:val="0"/>
                <w:color w:val="232D34"/>
                <w:sz w:val="16"/>
              </w:rPr>
              <w:t>Project charter and mobilization plan approved.</w:t>
            </w:r>
          </w:p>
        </w:tc>
      </w:tr>
      <w:tr>
        <w:tc>
          <w:tcPr>
            <w:tcW w:type="dxa" w:w="1224"/>
            <w:vAlign w:val="center"/>
            <w:shd w:fill="F1F6F6"/>
          </w:tcPr>
          <w:p>
            <w:pPr>
              <w:spacing w:after="0"/>
            </w:pPr>
            <w:r/>
            <w:r>
              <w:rPr>
                <w:rFonts w:ascii="Aptos" w:hAnsi="Aptos"/>
                <w:b w:val="0"/>
                <w:color w:val="232D34"/>
                <w:sz w:val="16"/>
              </w:rPr>
              <w:t>Explore</w:t>
            </w:r>
          </w:p>
        </w:tc>
        <w:tc>
          <w:tcPr>
            <w:tcW w:type="dxa" w:w="893"/>
            <w:vAlign w:val="center"/>
            <w:shd w:fill="F1F6F6"/>
          </w:tcPr>
          <w:p>
            <w:pPr>
              <w:spacing w:after="0"/>
            </w:pPr>
            <w:r/>
            <w:r>
              <w:rPr>
                <w:rFonts w:ascii="Aptos" w:hAnsi="Aptos"/>
                <w:b w:val="0"/>
                <w:color w:val="232D34"/>
                <w:sz w:val="16"/>
              </w:rPr>
              <w:t>6–9</w:t>
            </w:r>
          </w:p>
        </w:tc>
        <w:tc>
          <w:tcPr>
            <w:tcW w:type="dxa" w:w="5472"/>
            <w:vAlign w:val="center"/>
            <w:shd w:fill="F1F6F6"/>
          </w:tcPr>
          <w:p>
            <w:pPr>
              <w:spacing w:after="0"/>
            </w:pPr>
            <w:r/>
            <w:r>
              <w:rPr>
                <w:rFonts w:ascii="Aptos" w:hAnsi="Aptos"/>
                <w:b w:val="0"/>
                <w:color w:val="232D34"/>
                <w:sz w:val="16"/>
              </w:rPr>
              <w:t>Run fit-to-standard workshops; map current/future processes; define data, integration, security, and reporting needs.</w:t>
            </w:r>
          </w:p>
        </w:tc>
        <w:tc>
          <w:tcPr>
            <w:tcW w:type="dxa" w:w="2880"/>
            <w:vAlign w:val="center"/>
            <w:shd w:fill="F1F6F6"/>
          </w:tcPr>
          <w:p>
            <w:pPr>
              <w:spacing w:after="0"/>
            </w:pPr>
            <w:r/>
            <w:r>
              <w:rPr>
                <w:rFonts w:ascii="Aptos" w:hAnsi="Aptos"/>
                <w:b w:val="0"/>
                <w:color w:val="232D34"/>
                <w:sz w:val="16"/>
              </w:rPr>
              <w:t>Design decisions and prioritized gaps signed off.</w:t>
            </w:r>
          </w:p>
        </w:tc>
      </w:tr>
      <w:tr>
        <w:tc>
          <w:tcPr>
            <w:tcW w:type="dxa" w:w="1224"/>
            <w:vAlign w:val="center"/>
          </w:tcPr>
          <w:p>
            <w:pPr>
              <w:spacing w:after="0"/>
            </w:pPr>
            <w:r/>
            <w:r>
              <w:rPr>
                <w:rFonts w:ascii="Aptos" w:hAnsi="Aptos"/>
                <w:b w:val="0"/>
                <w:color w:val="232D34"/>
                <w:sz w:val="16"/>
              </w:rPr>
              <w:t>Realize</w:t>
            </w:r>
          </w:p>
        </w:tc>
        <w:tc>
          <w:tcPr>
            <w:tcW w:type="dxa" w:w="893"/>
            <w:vAlign w:val="center"/>
          </w:tcPr>
          <w:p>
            <w:pPr>
              <w:spacing w:after="0"/>
            </w:pPr>
            <w:r/>
            <w:r>
              <w:rPr>
                <w:rFonts w:ascii="Aptos" w:hAnsi="Aptos"/>
                <w:b w:val="0"/>
                <w:color w:val="232D34"/>
                <w:sz w:val="16"/>
              </w:rPr>
              <w:t>10–17</w:t>
            </w:r>
          </w:p>
        </w:tc>
        <w:tc>
          <w:tcPr>
            <w:tcW w:type="dxa" w:w="5472"/>
            <w:vAlign w:val="center"/>
          </w:tcPr>
          <w:p>
            <w:pPr>
              <w:spacing w:after="0"/>
            </w:pPr>
            <w:r/>
            <w:r>
              <w:rPr>
                <w:rFonts w:ascii="Aptos" w:hAnsi="Aptos"/>
                <w:b w:val="0"/>
                <w:color w:val="232D34"/>
                <w:sz w:val="16"/>
              </w:rPr>
              <w:t>Configure in iterations; cleanse and map sample data; build integrations; test process scenarios and train super-users.</w:t>
            </w:r>
          </w:p>
        </w:tc>
        <w:tc>
          <w:tcPr>
            <w:tcW w:type="dxa" w:w="2880"/>
            <w:vAlign w:val="center"/>
          </w:tcPr>
          <w:p>
            <w:pPr>
              <w:spacing w:after="0"/>
            </w:pPr>
            <w:r/>
            <w:r>
              <w:rPr>
                <w:rFonts w:ascii="Aptos" w:hAnsi="Aptos"/>
                <w:b w:val="0"/>
                <w:color w:val="232D34"/>
                <w:sz w:val="16"/>
              </w:rPr>
              <w:t>End-to-end test exit criteria met; critical defects closed or accepted.</w:t>
            </w:r>
          </w:p>
        </w:tc>
      </w:tr>
      <w:tr>
        <w:tc>
          <w:tcPr>
            <w:tcW w:type="dxa" w:w="1224"/>
            <w:vAlign w:val="center"/>
            <w:shd w:fill="F1F6F6"/>
          </w:tcPr>
          <w:p>
            <w:pPr>
              <w:spacing w:after="0"/>
            </w:pPr>
            <w:r/>
            <w:r>
              <w:rPr>
                <w:rFonts w:ascii="Aptos" w:hAnsi="Aptos"/>
                <w:b w:val="0"/>
                <w:color w:val="232D34"/>
                <w:sz w:val="16"/>
              </w:rPr>
              <w:t>Deploy</w:t>
            </w:r>
          </w:p>
        </w:tc>
        <w:tc>
          <w:tcPr>
            <w:tcW w:type="dxa" w:w="893"/>
            <w:vAlign w:val="center"/>
            <w:shd w:fill="F1F6F6"/>
          </w:tcPr>
          <w:p>
            <w:pPr>
              <w:spacing w:after="0"/>
            </w:pPr>
            <w:r/>
            <w:r>
              <w:rPr>
                <w:rFonts w:ascii="Aptos" w:hAnsi="Aptos"/>
                <w:b w:val="0"/>
                <w:color w:val="232D34"/>
                <w:sz w:val="16"/>
              </w:rPr>
              <w:t>18–21</w:t>
            </w:r>
          </w:p>
        </w:tc>
        <w:tc>
          <w:tcPr>
            <w:tcW w:type="dxa" w:w="5472"/>
            <w:vAlign w:val="center"/>
            <w:shd w:fill="F1F6F6"/>
          </w:tcPr>
          <w:p>
            <w:pPr>
              <w:spacing w:after="0"/>
            </w:pPr>
            <w:r/>
            <w:r>
              <w:rPr>
                <w:rFonts w:ascii="Aptos" w:hAnsi="Aptos"/>
                <w:b w:val="0"/>
                <w:color w:val="232D34"/>
                <w:sz w:val="16"/>
              </w:rPr>
              <w:t>Rehearse cutover, complete role-based training, verify data reconciliation, obtain readiness approvals, and move to production only after go/no-go.</w:t>
            </w:r>
          </w:p>
        </w:tc>
        <w:tc>
          <w:tcPr>
            <w:tcW w:type="dxa" w:w="2880"/>
            <w:vAlign w:val="center"/>
            <w:shd w:fill="F1F6F6"/>
          </w:tcPr>
          <w:p>
            <w:pPr>
              <w:spacing w:after="0"/>
            </w:pPr>
            <w:r/>
            <w:r>
              <w:rPr>
                <w:rFonts w:ascii="Aptos" w:hAnsi="Aptos"/>
                <w:b w:val="0"/>
                <w:color w:val="232D34"/>
                <w:sz w:val="16"/>
              </w:rPr>
              <w:t>Go/no-go decision and business-owner sign-off.</w:t>
            </w:r>
          </w:p>
        </w:tc>
      </w:tr>
      <w:tr>
        <w:tc>
          <w:tcPr>
            <w:tcW w:type="dxa" w:w="1224"/>
            <w:vAlign w:val="center"/>
          </w:tcPr>
          <w:p>
            <w:pPr>
              <w:spacing w:after="0"/>
            </w:pPr>
            <w:r/>
            <w:r>
              <w:rPr>
                <w:rFonts w:ascii="Aptos" w:hAnsi="Aptos"/>
                <w:b w:val="0"/>
                <w:color w:val="232D34"/>
                <w:sz w:val="16"/>
              </w:rPr>
              <w:t>Run</w:t>
            </w:r>
          </w:p>
        </w:tc>
        <w:tc>
          <w:tcPr>
            <w:tcW w:type="dxa" w:w="893"/>
            <w:vAlign w:val="center"/>
          </w:tcPr>
          <w:p>
            <w:pPr>
              <w:spacing w:after="0"/>
            </w:pPr>
            <w:r/>
            <w:r>
              <w:rPr>
                <w:rFonts w:ascii="Aptos" w:hAnsi="Aptos"/>
                <w:b w:val="0"/>
                <w:color w:val="232D34"/>
                <w:sz w:val="16"/>
              </w:rPr>
              <w:t>22–24</w:t>
            </w:r>
          </w:p>
        </w:tc>
        <w:tc>
          <w:tcPr>
            <w:tcW w:type="dxa" w:w="5472"/>
            <w:vAlign w:val="center"/>
          </w:tcPr>
          <w:p>
            <w:pPr>
              <w:spacing w:after="0"/>
            </w:pPr>
            <w:r/>
            <w:r>
              <w:rPr>
                <w:rFonts w:ascii="Aptos" w:hAnsi="Aptos"/>
                <w:b w:val="0"/>
                <w:color w:val="232D34"/>
                <w:sz w:val="16"/>
              </w:rPr>
              <w:t>Provide hypercare, triage issues, monitor service and data quality, transfer ownership to support, and review lessons.</w:t>
            </w:r>
          </w:p>
        </w:tc>
        <w:tc>
          <w:tcPr>
            <w:tcW w:type="dxa" w:w="2880"/>
            <w:vAlign w:val="center"/>
          </w:tcPr>
          <w:p>
            <w:pPr>
              <w:spacing w:after="0"/>
            </w:pPr>
            <w:r/>
            <w:r>
              <w:rPr>
                <w:rFonts w:ascii="Aptos" w:hAnsi="Aptos"/>
                <w:b w:val="0"/>
                <w:color w:val="232D34"/>
                <w:sz w:val="16"/>
              </w:rPr>
              <w:t>Support handover and first post-launch review completed.</w:t>
            </w:r>
          </w:p>
        </w:tc>
      </w:tr>
    </w:tbl>
    <w:p>
      <w:pPr>
        <w:spacing w:after="0"/>
      </w:pPr>
    </w:p>
    <w:p>
      <w:r>
        <w:t>The phase order reflects SAP Activate guidance; durations, activities, and decision gates above are tailored planning assumptions for this hypothetical case and must be re-estimated after scope, product, deployment model, and resource availability are known.</w:t>
      </w:r>
    </w:p>
    <w:p>
      <w:pPr>
        <w:pStyle w:val="Heading1"/>
        <w:keepNext/>
      </w:pPr>
      <w:r>
        <w:t>5. Roles and decision ownership</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4A5B"/>
          </w:tcPr>
          <w:p>
            <w:pPr>
              <w:spacing w:after="0"/>
            </w:pPr>
            <w:r/>
            <w:r>
              <w:rPr>
                <w:rFonts w:ascii="Aptos" w:hAnsi="Aptos"/>
                <w:b/>
                <w:color w:val="FFFFFF"/>
                <w:sz w:val="17"/>
              </w:rPr>
              <w:t>Role</w:t>
            </w:r>
          </w:p>
        </w:tc>
        <w:tc>
          <w:tcPr>
            <w:tcW w:type="dxa" w:w="7560"/>
            <w:vAlign w:val="center"/>
            <w:shd w:fill="174A5B"/>
          </w:tcPr>
          <w:p>
            <w:pPr>
              <w:spacing w:after="0"/>
            </w:pPr>
            <w:r/>
            <w:r>
              <w:rPr>
                <w:rFonts w:ascii="Aptos" w:hAnsi="Aptos"/>
                <w:b/>
                <w:color w:val="FFFFFF"/>
                <w:sz w:val="17"/>
              </w:rPr>
              <w:t>Core responsibility</w:t>
            </w:r>
          </w:p>
        </w:tc>
      </w:tr>
      <w:tr>
        <w:tc>
          <w:tcPr>
            <w:tcW w:type="dxa" w:w="2880"/>
            <w:vAlign w:val="center"/>
            <w:shd w:fill="F1F6F6"/>
          </w:tcPr>
          <w:p>
            <w:pPr>
              <w:spacing w:after="0"/>
            </w:pPr>
            <w:r/>
            <w:r>
              <w:rPr>
                <w:rFonts w:ascii="Aptos" w:hAnsi="Aptos"/>
                <w:b w:val="0"/>
                <w:color w:val="232D34"/>
                <w:sz w:val="17"/>
              </w:rPr>
              <w:t>Executive sponsor</w:t>
            </w:r>
          </w:p>
        </w:tc>
        <w:tc>
          <w:tcPr>
            <w:tcW w:type="dxa" w:w="7560"/>
            <w:vAlign w:val="center"/>
            <w:shd w:fill="F1F6F6"/>
          </w:tcPr>
          <w:p>
            <w:pPr>
              <w:spacing w:after="0"/>
            </w:pPr>
            <w:r/>
            <w:r>
              <w:rPr>
                <w:rFonts w:ascii="Aptos" w:hAnsi="Aptos"/>
                <w:b w:val="0"/>
                <w:color w:val="232D34"/>
                <w:sz w:val="17"/>
              </w:rPr>
              <w:t>Owns business case, funding gate, priority conflicts, and go/no-go decision.</w:t>
            </w:r>
          </w:p>
        </w:tc>
      </w:tr>
      <w:tr>
        <w:tc>
          <w:tcPr>
            <w:tcW w:type="dxa" w:w="2880"/>
            <w:vAlign w:val="center"/>
          </w:tcPr>
          <w:p>
            <w:pPr>
              <w:spacing w:after="0"/>
            </w:pPr>
            <w:r/>
            <w:r>
              <w:rPr>
                <w:rFonts w:ascii="Aptos" w:hAnsi="Aptos"/>
                <w:b w:val="0"/>
                <w:color w:val="232D34"/>
                <w:sz w:val="17"/>
              </w:rPr>
              <w:t>Project manager</w:t>
            </w:r>
          </w:p>
        </w:tc>
        <w:tc>
          <w:tcPr>
            <w:tcW w:type="dxa" w:w="7560"/>
            <w:vAlign w:val="center"/>
          </w:tcPr>
          <w:p>
            <w:pPr>
              <w:spacing w:after="0"/>
            </w:pPr>
            <w:r/>
            <w:r>
              <w:rPr>
                <w:rFonts w:ascii="Aptos" w:hAnsi="Aptos"/>
                <w:b w:val="0"/>
                <w:color w:val="232D34"/>
                <w:sz w:val="17"/>
              </w:rPr>
              <w:t>Maintains integrated plan, dependencies, risks, decisions, and status reporting.</w:t>
            </w:r>
          </w:p>
        </w:tc>
      </w:tr>
      <w:tr>
        <w:tc>
          <w:tcPr>
            <w:tcW w:type="dxa" w:w="2880"/>
            <w:vAlign w:val="center"/>
            <w:shd w:fill="F1F6F6"/>
          </w:tcPr>
          <w:p>
            <w:pPr>
              <w:spacing w:after="0"/>
            </w:pPr>
            <w:r/>
            <w:r>
              <w:rPr>
                <w:rFonts w:ascii="Aptos" w:hAnsi="Aptos"/>
                <w:b w:val="0"/>
                <w:color w:val="232D34"/>
                <w:sz w:val="17"/>
              </w:rPr>
              <w:t>Process owners / key users</w:t>
            </w:r>
          </w:p>
        </w:tc>
        <w:tc>
          <w:tcPr>
            <w:tcW w:type="dxa" w:w="7560"/>
            <w:vAlign w:val="center"/>
            <w:shd w:fill="F1F6F6"/>
          </w:tcPr>
          <w:p>
            <w:pPr>
              <w:spacing w:after="0"/>
            </w:pPr>
            <w:r/>
            <w:r>
              <w:rPr>
                <w:rFonts w:ascii="Aptos" w:hAnsi="Aptos"/>
                <w:b w:val="0"/>
                <w:color w:val="232D34"/>
                <w:sz w:val="17"/>
              </w:rPr>
              <w:t>Approve process design, data definitions, test scenarios, training content, and readiness.</w:t>
            </w:r>
          </w:p>
        </w:tc>
      </w:tr>
      <w:tr>
        <w:tc>
          <w:tcPr>
            <w:tcW w:type="dxa" w:w="2880"/>
            <w:vAlign w:val="center"/>
          </w:tcPr>
          <w:p>
            <w:pPr>
              <w:spacing w:after="0"/>
            </w:pPr>
            <w:r/>
            <w:r>
              <w:rPr>
                <w:rFonts w:ascii="Aptos" w:hAnsi="Aptos"/>
                <w:b w:val="0"/>
                <w:color w:val="232D34"/>
                <w:sz w:val="17"/>
              </w:rPr>
              <w:t>ERP functional and technical leads</w:t>
            </w:r>
          </w:p>
        </w:tc>
        <w:tc>
          <w:tcPr>
            <w:tcW w:type="dxa" w:w="7560"/>
            <w:vAlign w:val="center"/>
          </w:tcPr>
          <w:p>
            <w:pPr>
              <w:spacing w:after="0"/>
            </w:pPr>
            <w:r/>
            <w:r>
              <w:rPr>
                <w:rFonts w:ascii="Aptos" w:hAnsi="Aptos"/>
                <w:b w:val="0"/>
                <w:color w:val="232D34"/>
                <w:sz w:val="17"/>
              </w:rPr>
              <w:t>Translate approved requirements into solution design; manage configuration, integration, security, and technical quality.</w:t>
            </w:r>
          </w:p>
        </w:tc>
      </w:tr>
      <w:tr>
        <w:tc>
          <w:tcPr>
            <w:tcW w:type="dxa" w:w="2880"/>
            <w:vAlign w:val="center"/>
            <w:shd w:fill="F1F6F6"/>
          </w:tcPr>
          <w:p>
            <w:pPr>
              <w:spacing w:after="0"/>
            </w:pPr>
            <w:r/>
            <w:r>
              <w:rPr>
                <w:rFonts w:ascii="Aptos" w:hAnsi="Aptos"/>
                <w:b w:val="0"/>
                <w:color w:val="232D34"/>
                <w:sz w:val="17"/>
              </w:rPr>
              <w:t>Data owners / migration lead</w:t>
            </w:r>
          </w:p>
        </w:tc>
        <w:tc>
          <w:tcPr>
            <w:tcW w:type="dxa" w:w="7560"/>
            <w:vAlign w:val="center"/>
            <w:shd w:fill="F1F6F6"/>
          </w:tcPr>
          <w:p>
            <w:pPr>
              <w:spacing w:after="0"/>
            </w:pPr>
            <w:r/>
            <w:r>
              <w:rPr>
                <w:rFonts w:ascii="Aptos" w:hAnsi="Aptos"/>
                <w:b w:val="0"/>
                <w:color w:val="232D34"/>
                <w:sz w:val="17"/>
              </w:rPr>
              <w:t>Profile, cleanse, map, load, reconcile, and obtain business approval for data.</w:t>
            </w:r>
          </w:p>
        </w:tc>
      </w:tr>
      <w:tr>
        <w:tc>
          <w:tcPr>
            <w:tcW w:type="dxa" w:w="2880"/>
            <w:vAlign w:val="center"/>
          </w:tcPr>
          <w:p>
            <w:pPr>
              <w:spacing w:after="0"/>
            </w:pPr>
            <w:r/>
            <w:r>
              <w:rPr>
                <w:rFonts w:ascii="Aptos" w:hAnsi="Aptos"/>
                <w:b w:val="0"/>
                <w:color w:val="232D34"/>
                <w:sz w:val="17"/>
              </w:rPr>
              <w:t>Change and language lead</w:t>
            </w:r>
          </w:p>
        </w:tc>
        <w:tc>
          <w:tcPr>
            <w:tcW w:type="dxa" w:w="7560"/>
            <w:vAlign w:val="center"/>
          </w:tcPr>
          <w:p>
            <w:pPr>
              <w:spacing w:after="0"/>
            </w:pPr>
            <w:r/>
            <w:r>
              <w:rPr>
                <w:rFonts w:ascii="Aptos" w:hAnsi="Aptos"/>
                <w:b w:val="0"/>
                <w:color w:val="232D34"/>
                <w:sz w:val="17"/>
              </w:rPr>
              <w:t>Assess role impacts, prepare bilingual communications, coordinate training, and collect feedback.</w:t>
            </w:r>
          </w:p>
        </w:tc>
      </w:tr>
    </w:tbl>
    <w:p>
      <w:pPr>
        <w:spacing w:after="0"/>
      </w:pPr>
    </w:p>
    <w:p>
      <w:pPr>
        <w:pStyle w:val="Heading1"/>
        <w:keepNext/>
      </w:pPr>
      <w:r>
        <w:t>6. Risk assessment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vAlign w:val="center"/>
            <w:shd w:fill="174A5B"/>
          </w:tcPr>
          <w:p>
            <w:pPr>
              <w:spacing w:after="0"/>
            </w:pPr>
            <w:r/>
            <w:r>
              <w:rPr>
                <w:rFonts w:ascii="Aptos" w:hAnsi="Aptos"/>
                <w:b/>
                <w:color w:val="FFFFFF"/>
                <w:sz w:val="15"/>
              </w:rPr>
              <w:t>Risk</w:t>
            </w:r>
          </w:p>
        </w:tc>
        <w:tc>
          <w:tcPr>
            <w:tcW w:type="dxa" w:w="1656"/>
            <w:vAlign w:val="center"/>
            <w:shd w:fill="174A5B"/>
          </w:tcPr>
          <w:p>
            <w:pPr>
              <w:spacing w:after="0"/>
            </w:pPr>
            <w:r/>
            <w:r>
              <w:rPr>
                <w:rFonts w:ascii="Aptos" w:hAnsi="Aptos"/>
                <w:b/>
                <w:color w:val="FFFFFF"/>
                <w:sz w:val="15"/>
              </w:rPr>
              <w:t>Likelihood / impact</w:t>
            </w:r>
          </w:p>
        </w:tc>
        <w:tc>
          <w:tcPr>
            <w:tcW w:type="dxa" w:w="5472"/>
            <w:vAlign w:val="center"/>
            <w:shd w:fill="174A5B"/>
          </w:tcPr>
          <w:p>
            <w:pPr>
              <w:spacing w:after="0"/>
            </w:pPr>
            <w:r/>
            <w:r>
              <w:rPr>
                <w:rFonts w:ascii="Aptos" w:hAnsi="Aptos"/>
                <w:b/>
                <w:color w:val="FFFFFF"/>
                <w:sz w:val="15"/>
              </w:rPr>
              <w:t>Mitigation and early warning</w:t>
            </w:r>
          </w:p>
        </w:tc>
        <w:tc>
          <w:tcPr>
            <w:tcW w:type="dxa" w:w="1080"/>
            <w:vAlign w:val="center"/>
            <w:shd w:fill="174A5B"/>
          </w:tcPr>
          <w:p>
            <w:pPr>
              <w:spacing w:after="0"/>
            </w:pPr>
            <w:r/>
            <w:r>
              <w:rPr>
                <w:rFonts w:ascii="Aptos" w:hAnsi="Aptos"/>
                <w:b/>
                <w:color w:val="FFFFFF"/>
                <w:sz w:val="15"/>
              </w:rPr>
              <w:t>Owner</w:t>
            </w:r>
          </w:p>
        </w:tc>
      </w:tr>
      <w:tr>
        <w:tc>
          <w:tcPr>
            <w:tcW w:type="dxa" w:w="2232"/>
            <w:vAlign w:val="center"/>
            <w:shd w:fill="F1F6F6"/>
          </w:tcPr>
          <w:p>
            <w:pPr>
              <w:spacing w:after="0"/>
            </w:pPr>
            <w:r/>
            <w:r>
              <w:rPr>
                <w:rFonts w:ascii="Aptos" w:hAnsi="Aptos"/>
                <w:b w:val="0"/>
                <w:color w:val="232D34"/>
                <w:sz w:val="15"/>
              </w:rPr>
              <w:t>Uncontrolled scope growth</w:t>
            </w:r>
          </w:p>
        </w:tc>
        <w:tc>
          <w:tcPr>
            <w:tcW w:type="dxa" w:w="1656"/>
            <w:vAlign w:val="center"/>
            <w:shd w:fill="F1F6F6"/>
          </w:tcPr>
          <w:p>
            <w:pPr>
              <w:spacing w:after="0"/>
            </w:pPr>
            <w:r/>
            <w:r>
              <w:rPr>
                <w:rFonts w:ascii="Aptos" w:hAnsi="Aptos"/>
                <w:b w:val="0"/>
                <w:color w:val="232D34"/>
                <w:sz w:val="15"/>
              </w:rPr>
              <w:t>Medium / High</w:t>
            </w:r>
          </w:p>
        </w:tc>
        <w:tc>
          <w:tcPr>
            <w:tcW w:type="dxa" w:w="5472"/>
            <w:vAlign w:val="center"/>
            <w:shd w:fill="F1F6F6"/>
          </w:tcPr>
          <w:p>
            <w:pPr>
              <w:spacing w:after="0"/>
            </w:pPr>
            <w:r/>
            <w:r>
              <w:rPr>
                <w:rFonts w:ascii="Aptos" w:hAnsi="Aptos"/>
                <w:b w:val="0"/>
                <w:color w:val="232D34"/>
                <w:sz w:val="15"/>
              </w:rPr>
              <w:t>Baseline process scope; route changes through impact review; track unapproved requests.</w:t>
            </w:r>
          </w:p>
        </w:tc>
        <w:tc>
          <w:tcPr>
            <w:tcW w:type="dxa" w:w="1080"/>
            <w:vAlign w:val="center"/>
            <w:shd w:fill="F1F6F6"/>
          </w:tcPr>
          <w:p>
            <w:pPr>
              <w:spacing w:after="0"/>
            </w:pPr>
            <w:r/>
            <w:r>
              <w:rPr>
                <w:rFonts w:ascii="Aptos" w:hAnsi="Aptos"/>
                <w:b w:val="0"/>
                <w:color w:val="232D34"/>
                <w:sz w:val="15"/>
              </w:rPr>
              <w:t>Sponsor + PM</w:t>
            </w:r>
          </w:p>
        </w:tc>
      </w:tr>
      <w:tr>
        <w:tc>
          <w:tcPr>
            <w:tcW w:type="dxa" w:w="2232"/>
            <w:vAlign w:val="center"/>
          </w:tcPr>
          <w:p>
            <w:pPr>
              <w:spacing w:after="0"/>
            </w:pPr>
            <w:r/>
            <w:r>
              <w:rPr>
                <w:rFonts w:ascii="Aptos" w:hAnsi="Aptos"/>
                <w:b w:val="0"/>
                <w:color w:val="232D34"/>
                <w:sz w:val="15"/>
              </w:rPr>
              <w:t>Poor or duplicated master data</w:t>
            </w:r>
          </w:p>
        </w:tc>
        <w:tc>
          <w:tcPr>
            <w:tcW w:type="dxa" w:w="1656"/>
            <w:vAlign w:val="center"/>
          </w:tcPr>
          <w:p>
            <w:pPr>
              <w:spacing w:after="0"/>
            </w:pPr>
            <w:r/>
            <w:r>
              <w:rPr>
                <w:rFonts w:ascii="Aptos" w:hAnsi="Aptos"/>
                <w:b w:val="0"/>
                <w:color w:val="232D34"/>
                <w:sz w:val="15"/>
              </w:rPr>
              <w:t>High / High</w:t>
            </w:r>
          </w:p>
        </w:tc>
        <w:tc>
          <w:tcPr>
            <w:tcW w:type="dxa" w:w="5472"/>
            <w:vAlign w:val="center"/>
          </w:tcPr>
          <w:p>
            <w:pPr>
              <w:spacing w:after="0"/>
            </w:pPr>
            <w:r/>
            <w:r>
              <w:rPr>
                <w:rFonts w:ascii="Aptos" w:hAnsi="Aptos"/>
                <w:b w:val="0"/>
                <w:color w:val="232D34"/>
                <w:sz w:val="15"/>
              </w:rPr>
              <w:t>Assign data owners; profile sample records early; define duplicate, mandatory-field, and reconciliation rules.</w:t>
            </w:r>
          </w:p>
        </w:tc>
        <w:tc>
          <w:tcPr>
            <w:tcW w:type="dxa" w:w="1080"/>
            <w:vAlign w:val="center"/>
          </w:tcPr>
          <w:p>
            <w:pPr>
              <w:spacing w:after="0"/>
            </w:pPr>
            <w:r/>
            <w:r>
              <w:rPr>
                <w:rFonts w:ascii="Aptos" w:hAnsi="Aptos"/>
                <w:b w:val="0"/>
                <w:color w:val="232D34"/>
                <w:sz w:val="15"/>
              </w:rPr>
              <w:t>Data lead</w:t>
            </w:r>
          </w:p>
        </w:tc>
      </w:tr>
      <w:tr>
        <w:tc>
          <w:tcPr>
            <w:tcW w:type="dxa" w:w="2232"/>
            <w:vAlign w:val="center"/>
            <w:shd w:fill="F1F6F6"/>
          </w:tcPr>
          <w:p>
            <w:pPr>
              <w:spacing w:after="0"/>
            </w:pPr>
            <w:r/>
            <w:r>
              <w:rPr>
                <w:rFonts w:ascii="Aptos" w:hAnsi="Aptos"/>
                <w:b w:val="0"/>
                <w:color w:val="232D34"/>
                <w:sz w:val="15"/>
              </w:rPr>
              <w:t>Excess customization</w:t>
            </w:r>
          </w:p>
        </w:tc>
        <w:tc>
          <w:tcPr>
            <w:tcW w:type="dxa" w:w="1656"/>
            <w:vAlign w:val="center"/>
            <w:shd w:fill="F1F6F6"/>
          </w:tcPr>
          <w:p>
            <w:pPr>
              <w:spacing w:after="0"/>
            </w:pPr>
            <w:r/>
            <w:r>
              <w:rPr>
                <w:rFonts w:ascii="Aptos" w:hAnsi="Aptos"/>
                <w:b w:val="0"/>
                <w:color w:val="232D34"/>
                <w:sz w:val="15"/>
              </w:rPr>
              <w:t>Medium / High</w:t>
            </w:r>
          </w:p>
        </w:tc>
        <w:tc>
          <w:tcPr>
            <w:tcW w:type="dxa" w:w="5472"/>
            <w:vAlign w:val="center"/>
            <w:shd w:fill="F1F6F6"/>
          </w:tcPr>
          <w:p>
            <w:pPr>
              <w:spacing w:after="0"/>
            </w:pPr>
            <w:r/>
            <w:r>
              <w:rPr>
                <w:rFonts w:ascii="Aptos" w:hAnsi="Aptos"/>
                <w:b w:val="0"/>
                <w:color w:val="232D34"/>
                <w:sz w:val="15"/>
              </w:rPr>
              <w:t>Demonstrate standard process first; require business case and upgrade/support impact for each extension.</w:t>
            </w:r>
          </w:p>
        </w:tc>
        <w:tc>
          <w:tcPr>
            <w:tcW w:type="dxa" w:w="1080"/>
            <w:vAlign w:val="center"/>
            <w:shd w:fill="F1F6F6"/>
          </w:tcPr>
          <w:p>
            <w:pPr>
              <w:spacing w:after="0"/>
            </w:pPr>
            <w:r/>
            <w:r>
              <w:rPr>
                <w:rFonts w:ascii="Aptos" w:hAnsi="Aptos"/>
                <w:b w:val="0"/>
                <w:color w:val="232D34"/>
                <w:sz w:val="15"/>
              </w:rPr>
              <w:t>Process owners</w:t>
            </w:r>
          </w:p>
        </w:tc>
      </w:tr>
      <w:tr>
        <w:tc>
          <w:tcPr>
            <w:tcW w:type="dxa" w:w="2232"/>
            <w:vAlign w:val="center"/>
          </w:tcPr>
          <w:p>
            <w:pPr>
              <w:spacing w:after="0"/>
            </w:pPr>
            <w:r/>
            <w:r>
              <w:rPr>
                <w:rFonts w:ascii="Aptos" w:hAnsi="Aptos"/>
                <w:b w:val="0"/>
                <w:color w:val="232D34"/>
                <w:sz w:val="15"/>
              </w:rPr>
              <w:t>Language misunderstanding</w:t>
            </w:r>
          </w:p>
        </w:tc>
        <w:tc>
          <w:tcPr>
            <w:tcW w:type="dxa" w:w="1656"/>
            <w:vAlign w:val="center"/>
          </w:tcPr>
          <w:p>
            <w:pPr>
              <w:spacing w:after="0"/>
            </w:pPr>
            <w:r/>
            <w:r>
              <w:rPr>
                <w:rFonts w:ascii="Aptos" w:hAnsi="Aptos"/>
                <w:b w:val="0"/>
                <w:color w:val="232D34"/>
                <w:sz w:val="15"/>
              </w:rPr>
              <w:t>Medium / High</w:t>
            </w:r>
          </w:p>
        </w:tc>
        <w:tc>
          <w:tcPr>
            <w:tcW w:type="dxa" w:w="5472"/>
            <w:vAlign w:val="center"/>
          </w:tcPr>
          <w:p>
            <w:pPr>
              <w:spacing w:after="0"/>
            </w:pPr>
            <w:r/>
            <w:r>
              <w:rPr>
                <w:rFonts w:ascii="Aptos" w:hAnsi="Aptos"/>
                <w:b w:val="0"/>
                <w:color w:val="232D34"/>
                <w:sz w:val="15"/>
              </w:rPr>
              <w:t>Use bilingual glossary, plain-language scripts, reviewed translations, and teach-back for critical instructions.</w:t>
            </w:r>
          </w:p>
        </w:tc>
        <w:tc>
          <w:tcPr>
            <w:tcW w:type="dxa" w:w="1080"/>
            <w:vAlign w:val="center"/>
          </w:tcPr>
          <w:p>
            <w:pPr>
              <w:spacing w:after="0"/>
            </w:pPr>
            <w:r/>
            <w:r>
              <w:rPr>
                <w:rFonts w:ascii="Aptos" w:hAnsi="Aptos"/>
                <w:b w:val="0"/>
                <w:color w:val="232D34"/>
                <w:sz w:val="15"/>
              </w:rPr>
              <w:t>Change lead</w:t>
            </w:r>
          </w:p>
        </w:tc>
      </w:tr>
      <w:tr>
        <w:tc>
          <w:tcPr>
            <w:tcW w:type="dxa" w:w="2232"/>
            <w:vAlign w:val="center"/>
            <w:shd w:fill="F1F6F6"/>
          </w:tcPr>
          <w:p>
            <w:pPr>
              <w:spacing w:after="0"/>
            </w:pPr>
            <w:r/>
            <w:r>
              <w:rPr>
                <w:rFonts w:ascii="Aptos" w:hAnsi="Aptos"/>
                <w:b w:val="0"/>
                <w:color w:val="232D34"/>
                <w:sz w:val="15"/>
              </w:rPr>
              <w:t>Low user adoption / key-user overload</w:t>
            </w:r>
          </w:p>
        </w:tc>
        <w:tc>
          <w:tcPr>
            <w:tcW w:type="dxa" w:w="1656"/>
            <w:vAlign w:val="center"/>
            <w:shd w:fill="F1F6F6"/>
          </w:tcPr>
          <w:p>
            <w:pPr>
              <w:spacing w:after="0"/>
            </w:pPr>
            <w:r/>
            <w:r>
              <w:rPr>
                <w:rFonts w:ascii="Aptos" w:hAnsi="Aptos"/>
                <w:b w:val="0"/>
                <w:color w:val="232D34"/>
                <w:sz w:val="15"/>
              </w:rPr>
              <w:t>Medium / High</w:t>
            </w:r>
          </w:p>
        </w:tc>
        <w:tc>
          <w:tcPr>
            <w:tcW w:type="dxa" w:w="5472"/>
            <w:vAlign w:val="center"/>
            <w:shd w:fill="F1F6F6"/>
          </w:tcPr>
          <w:p>
            <w:pPr>
              <w:spacing w:after="0"/>
            </w:pPr>
            <w:r/>
            <w:r>
              <w:rPr>
                <w:rFonts w:ascii="Aptos" w:hAnsi="Aptos"/>
                <w:b w:val="0"/>
                <w:color w:val="232D34"/>
                <w:sz w:val="15"/>
              </w:rPr>
              <w:t>Protect user time; train by role; monitor attendance and practice completion; provide floor support.</w:t>
            </w:r>
          </w:p>
        </w:tc>
        <w:tc>
          <w:tcPr>
            <w:tcW w:type="dxa" w:w="1080"/>
            <w:vAlign w:val="center"/>
            <w:shd w:fill="F1F6F6"/>
          </w:tcPr>
          <w:p>
            <w:pPr>
              <w:spacing w:after="0"/>
            </w:pPr>
            <w:r/>
            <w:r>
              <w:rPr>
                <w:rFonts w:ascii="Aptos" w:hAnsi="Aptos"/>
                <w:b w:val="0"/>
                <w:color w:val="232D34"/>
                <w:sz w:val="15"/>
              </w:rPr>
              <w:t>Business leads</w:t>
            </w:r>
          </w:p>
        </w:tc>
      </w:tr>
      <w:tr>
        <w:tc>
          <w:tcPr>
            <w:tcW w:type="dxa" w:w="2232"/>
            <w:vAlign w:val="center"/>
          </w:tcPr>
          <w:p>
            <w:pPr>
              <w:spacing w:after="0"/>
            </w:pPr>
            <w:r/>
            <w:r>
              <w:rPr>
                <w:rFonts w:ascii="Aptos" w:hAnsi="Aptos"/>
                <w:b w:val="0"/>
                <w:color w:val="232D34"/>
                <w:sz w:val="15"/>
              </w:rPr>
              <w:t>Integration or cutover failure</w:t>
            </w:r>
          </w:p>
        </w:tc>
        <w:tc>
          <w:tcPr>
            <w:tcW w:type="dxa" w:w="1656"/>
            <w:vAlign w:val="center"/>
          </w:tcPr>
          <w:p>
            <w:pPr>
              <w:spacing w:after="0"/>
            </w:pPr>
            <w:r/>
            <w:r>
              <w:rPr>
                <w:rFonts w:ascii="Aptos" w:hAnsi="Aptos"/>
                <w:b w:val="0"/>
                <w:color w:val="232D34"/>
                <w:sz w:val="15"/>
              </w:rPr>
              <w:t>Medium / High</w:t>
            </w:r>
          </w:p>
        </w:tc>
        <w:tc>
          <w:tcPr>
            <w:tcW w:type="dxa" w:w="5472"/>
            <w:vAlign w:val="center"/>
          </w:tcPr>
          <w:p>
            <w:pPr>
              <w:spacing w:after="0"/>
            </w:pPr>
            <w:r/>
            <w:r>
              <w:rPr>
                <w:rFonts w:ascii="Aptos" w:hAnsi="Aptos"/>
                <w:b w:val="0"/>
                <w:color w:val="232D34"/>
                <w:sz w:val="15"/>
              </w:rPr>
              <w:t>Rehearse realistic end-to-end flows; reconcile totals; set go/no-go thresholds and rollback ownership.</w:t>
            </w:r>
          </w:p>
        </w:tc>
        <w:tc>
          <w:tcPr>
            <w:tcW w:type="dxa" w:w="1080"/>
            <w:vAlign w:val="center"/>
          </w:tcPr>
          <w:p>
            <w:pPr>
              <w:spacing w:after="0"/>
            </w:pPr>
            <w:r/>
            <w:r>
              <w:rPr>
                <w:rFonts w:ascii="Aptos" w:hAnsi="Aptos"/>
                <w:b w:val="0"/>
                <w:color w:val="232D34"/>
                <w:sz w:val="15"/>
              </w:rPr>
              <w:t>IT lead + PM</w:t>
            </w:r>
          </w:p>
        </w:tc>
      </w:tr>
      <w:tr>
        <w:tc>
          <w:tcPr>
            <w:tcW w:type="dxa" w:w="2232"/>
            <w:vAlign w:val="center"/>
            <w:shd w:fill="F1F6F6"/>
          </w:tcPr>
          <w:p>
            <w:pPr>
              <w:spacing w:after="0"/>
            </w:pPr>
            <w:r/>
            <w:r>
              <w:rPr>
                <w:rFonts w:ascii="Aptos" w:hAnsi="Aptos"/>
                <w:b w:val="0"/>
                <w:color w:val="232D34"/>
                <w:sz w:val="15"/>
              </w:rPr>
              <w:t>Access or sensitive-data exposure</w:t>
            </w:r>
          </w:p>
        </w:tc>
        <w:tc>
          <w:tcPr>
            <w:tcW w:type="dxa" w:w="1656"/>
            <w:vAlign w:val="center"/>
            <w:shd w:fill="F1F6F6"/>
          </w:tcPr>
          <w:p>
            <w:pPr>
              <w:spacing w:after="0"/>
            </w:pPr>
            <w:r/>
            <w:r>
              <w:rPr>
                <w:rFonts w:ascii="Aptos" w:hAnsi="Aptos"/>
                <w:b w:val="0"/>
                <w:color w:val="232D34"/>
                <w:sz w:val="15"/>
              </w:rPr>
              <w:t>Low–Medium / High</w:t>
            </w:r>
          </w:p>
        </w:tc>
        <w:tc>
          <w:tcPr>
            <w:tcW w:type="dxa" w:w="5472"/>
            <w:vAlign w:val="center"/>
            <w:shd w:fill="F1F6F6"/>
          </w:tcPr>
          <w:p>
            <w:pPr>
              <w:spacing w:after="0"/>
            </w:pPr>
            <w:r/>
            <w:r>
              <w:rPr>
                <w:rFonts w:ascii="Aptos" w:hAnsi="Aptos"/>
                <w:b w:val="0"/>
                <w:color w:val="232D34"/>
                <w:sz w:val="15"/>
              </w:rPr>
              <w:t>Define least-privilege roles; review segregation of duties; test access and incident response before launch.</w:t>
            </w:r>
          </w:p>
        </w:tc>
        <w:tc>
          <w:tcPr>
            <w:tcW w:type="dxa" w:w="1080"/>
            <w:vAlign w:val="center"/>
            <w:shd w:fill="F1F6F6"/>
          </w:tcPr>
          <w:p>
            <w:pPr>
              <w:spacing w:after="0"/>
            </w:pPr>
            <w:r/>
            <w:r>
              <w:rPr>
                <w:rFonts w:ascii="Aptos" w:hAnsi="Aptos"/>
                <w:b w:val="0"/>
                <w:color w:val="232D34"/>
                <w:sz w:val="15"/>
              </w:rPr>
              <w:t>Security lead</w:t>
            </w:r>
          </w:p>
        </w:tc>
      </w:tr>
    </w:tbl>
    <w:p>
      <w:pPr>
        <w:spacing w:after="0"/>
      </w:pPr>
    </w:p>
    <w:p>
      <w:pPr>
        <w:pStyle w:val="Heading1"/>
        <w:keepNext/>
      </w:pPr>
      <w:r>
        <w:t>7. Communication strategy with Mandarin HSK 4 support</w:t>
      </w:r>
    </w:p>
    <w:p>
      <w:r>
        <w:t>Use short, role-based updates with one decision or action per message. Publish English and simplified-Chinese versions side by side for key-user workshops, training, cutover steps, and urgent notices. Keep ERP product names, module names, transaction IDs, and field identifiers unchanged, then add a plain Chinese explanation and an English gloss. A bilingual reviewer should check meaning, tone, and local business usage; machine translation alone is not sufficient for financial, access, or cutover instructions.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76"/>
            <w:vAlign w:val="center"/>
            <w:shd w:fill="174A5B"/>
          </w:tcPr>
          <w:p>
            <w:pPr>
              <w:spacing w:after="0"/>
            </w:pPr>
            <w:r/>
            <w:r>
              <w:rPr>
                <w:rFonts w:ascii="Aptos" w:hAnsi="Aptos"/>
                <w:b/>
                <w:color w:val="FFFFFF"/>
                <w:sz w:val="16"/>
              </w:rPr>
              <w:t>HSK 4 vocabulary (HSK 3.0 examples)</w:t>
            </w:r>
          </w:p>
        </w:tc>
        <w:tc>
          <w:tcPr>
            <w:tcW w:type="dxa" w:w="1512"/>
            <w:vAlign w:val="center"/>
            <w:shd w:fill="174A5B"/>
          </w:tcPr>
          <w:p>
            <w:pPr>
              <w:spacing w:after="0"/>
            </w:pPr>
            <w:r/>
            <w:r>
              <w:rPr>
                <w:rFonts w:ascii="Aptos" w:hAnsi="Aptos"/>
                <w:b/>
                <w:color w:val="FFFFFF"/>
                <w:sz w:val="16"/>
              </w:rPr>
              <w:t>Pinyin</w:t>
            </w:r>
          </w:p>
        </w:tc>
        <w:tc>
          <w:tcPr>
            <w:tcW w:type="dxa" w:w="2160"/>
            <w:vAlign w:val="center"/>
            <w:shd w:fill="174A5B"/>
          </w:tcPr>
          <w:p>
            <w:pPr>
              <w:spacing w:after="0"/>
            </w:pPr>
            <w:r/>
            <w:r>
              <w:rPr>
                <w:rFonts w:ascii="Aptos" w:hAnsi="Aptos"/>
                <w:b/>
                <w:color w:val="FFFFFF"/>
                <w:sz w:val="16"/>
              </w:rPr>
              <w:t>Meaning</w:t>
            </w:r>
          </w:p>
        </w:tc>
        <w:tc>
          <w:tcPr>
            <w:tcW w:type="dxa" w:w="4392"/>
            <w:vAlign w:val="center"/>
            <w:shd w:fill="174A5B"/>
          </w:tcPr>
          <w:p>
            <w:pPr>
              <w:spacing w:after="0"/>
            </w:pPr>
            <w:r/>
            <w:r>
              <w:rPr>
                <w:rFonts w:ascii="Aptos" w:hAnsi="Aptos"/>
                <w:b/>
                <w:color w:val="FFFFFF"/>
                <w:sz w:val="16"/>
              </w:rPr>
              <w:t>Use in ERP communication</w:t>
            </w:r>
          </w:p>
        </w:tc>
      </w:tr>
      <w:tr>
        <w:tc>
          <w:tcPr>
            <w:tcW w:type="dxa" w:w="2376"/>
            <w:vAlign w:val="center"/>
            <w:shd w:fill="F1F6F6"/>
          </w:tcPr>
          <w:p>
            <w:pPr>
              <w:spacing w:after="0"/>
            </w:pPr>
            <w:r/>
            <w:r>
              <w:rPr>
                <w:rFonts w:ascii="Aptos" w:hAnsi="Aptos"/>
                <w:b w:val="0"/>
                <w:color w:val="232D34"/>
                <w:sz w:val="16"/>
              </w:rPr>
              <w:t>计划</w:t>
            </w:r>
          </w:p>
        </w:tc>
        <w:tc>
          <w:tcPr>
            <w:tcW w:type="dxa" w:w="1512"/>
            <w:vAlign w:val="center"/>
            <w:shd w:fill="F1F6F6"/>
          </w:tcPr>
          <w:p>
            <w:pPr>
              <w:spacing w:after="0"/>
            </w:pPr>
            <w:r/>
            <w:r>
              <w:rPr>
                <w:rFonts w:ascii="Aptos" w:hAnsi="Aptos"/>
                <w:b w:val="0"/>
                <w:color w:val="232D34"/>
                <w:sz w:val="16"/>
              </w:rPr>
              <w:t>jìhuà</w:t>
            </w:r>
          </w:p>
        </w:tc>
        <w:tc>
          <w:tcPr>
            <w:tcW w:type="dxa" w:w="2160"/>
            <w:vAlign w:val="center"/>
            <w:shd w:fill="F1F6F6"/>
          </w:tcPr>
          <w:p>
            <w:pPr>
              <w:spacing w:after="0"/>
            </w:pPr>
            <w:r/>
            <w:r>
              <w:rPr>
                <w:rFonts w:ascii="Aptos" w:hAnsi="Aptos"/>
                <w:b w:val="0"/>
                <w:color w:val="232D34"/>
                <w:sz w:val="16"/>
              </w:rPr>
              <w:t>plan</w:t>
            </w:r>
          </w:p>
        </w:tc>
        <w:tc>
          <w:tcPr>
            <w:tcW w:type="dxa" w:w="4392"/>
            <w:vAlign w:val="center"/>
            <w:shd w:fill="F1F6F6"/>
          </w:tcPr>
          <w:p>
            <w:pPr>
              <w:spacing w:after="0"/>
            </w:pPr>
            <w:r/>
            <w:r>
              <w:rPr>
                <w:rFonts w:ascii="Aptos" w:hAnsi="Aptos"/>
                <w:b w:val="0"/>
                <w:color w:val="232D34"/>
                <w:sz w:val="16"/>
              </w:rPr>
              <w:t>本周计划 / This week’s plan</w:t>
            </w:r>
          </w:p>
        </w:tc>
      </w:tr>
      <w:tr>
        <w:tc>
          <w:tcPr>
            <w:tcW w:type="dxa" w:w="2376"/>
            <w:vAlign w:val="center"/>
          </w:tcPr>
          <w:p>
            <w:pPr>
              <w:spacing w:after="0"/>
            </w:pPr>
            <w:r/>
            <w:r>
              <w:rPr>
                <w:rFonts w:ascii="Aptos" w:hAnsi="Aptos"/>
                <w:b w:val="0"/>
                <w:color w:val="232D34"/>
                <w:sz w:val="16"/>
              </w:rPr>
              <w:t>任务</w:t>
            </w:r>
          </w:p>
        </w:tc>
        <w:tc>
          <w:tcPr>
            <w:tcW w:type="dxa" w:w="1512"/>
            <w:vAlign w:val="center"/>
          </w:tcPr>
          <w:p>
            <w:pPr>
              <w:spacing w:after="0"/>
            </w:pPr>
            <w:r/>
            <w:r>
              <w:rPr>
                <w:rFonts w:ascii="Aptos" w:hAnsi="Aptos"/>
                <w:b w:val="0"/>
                <w:color w:val="232D34"/>
                <w:sz w:val="16"/>
              </w:rPr>
              <w:t>rènwu</w:t>
            </w:r>
          </w:p>
        </w:tc>
        <w:tc>
          <w:tcPr>
            <w:tcW w:type="dxa" w:w="2160"/>
            <w:vAlign w:val="center"/>
          </w:tcPr>
          <w:p>
            <w:pPr>
              <w:spacing w:after="0"/>
            </w:pPr>
            <w:r/>
            <w:r>
              <w:rPr>
                <w:rFonts w:ascii="Aptos" w:hAnsi="Aptos"/>
                <w:b w:val="0"/>
                <w:color w:val="232D34"/>
                <w:sz w:val="16"/>
              </w:rPr>
              <w:t>task</w:t>
            </w:r>
          </w:p>
        </w:tc>
        <w:tc>
          <w:tcPr>
            <w:tcW w:type="dxa" w:w="4392"/>
            <w:vAlign w:val="center"/>
          </w:tcPr>
          <w:p>
            <w:pPr>
              <w:spacing w:after="0"/>
            </w:pPr>
            <w:r/>
            <w:r>
              <w:rPr>
                <w:rFonts w:ascii="Aptos" w:hAnsi="Aptos"/>
                <w:b w:val="0"/>
                <w:color w:val="232D34"/>
                <w:sz w:val="16"/>
              </w:rPr>
              <w:t>分配任务 / Assign a task</w:t>
            </w:r>
          </w:p>
        </w:tc>
      </w:tr>
      <w:tr>
        <w:tc>
          <w:tcPr>
            <w:tcW w:type="dxa" w:w="2376"/>
            <w:vAlign w:val="center"/>
            <w:shd w:fill="F1F6F6"/>
          </w:tcPr>
          <w:p>
            <w:pPr>
              <w:spacing w:after="0"/>
            </w:pPr>
            <w:r/>
            <w:r>
              <w:rPr>
                <w:rFonts w:ascii="Aptos" w:hAnsi="Aptos"/>
                <w:b w:val="0"/>
                <w:color w:val="232D34"/>
                <w:sz w:val="16"/>
              </w:rPr>
              <w:t>安排</w:t>
            </w:r>
          </w:p>
        </w:tc>
        <w:tc>
          <w:tcPr>
            <w:tcW w:type="dxa" w:w="1512"/>
            <w:vAlign w:val="center"/>
            <w:shd w:fill="F1F6F6"/>
          </w:tcPr>
          <w:p>
            <w:pPr>
              <w:spacing w:after="0"/>
            </w:pPr>
            <w:r/>
            <w:r>
              <w:rPr>
                <w:rFonts w:ascii="Aptos" w:hAnsi="Aptos"/>
                <w:b w:val="0"/>
                <w:color w:val="232D34"/>
                <w:sz w:val="16"/>
              </w:rPr>
              <w:t>ānpái</w:t>
            </w:r>
          </w:p>
        </w:tc>
        <w:tc>
          <w:tcPr>
            <w:tcW w:type="dxa" w:w="2160"/>
            <w:vAlign w:val="center"/>
            <w:shd w:fill="F1F6F6"/>
          </w:tcPr>
          <w:p>
            <w:pPr>
              <w:spacing w:after="0"/>
            </w:pPr>
            <w:r/>
            <w:r>
              <w:rPr>
                <w:rFonts w:ascii="Aptos" w:hAnsi="Aptos"/>
                <w:b w:val="0"/>
                <w:color w:val="232D34"/>
                <w:sz w:val="16"/>
              </w:rPr>
              <w:t>arrangement; schedule</w:t>
            </w:r>
          </w:p>
        </w:tc>
        <w:tc>
          <w:tcPr>
            <w:tcW w:type="dxa" w:w="4392"/>
            <w:vAlign w:val="center"/>
            <w:shd w:fill="F1F6F6"/>
          </w:tcPr>
          <w:p>
            <w:pPr>
              <w:spacing w:after="0"/>
            </w:pPr>
            <w:r/>
            <w:r>
              <w:rPr>
                <w:rFonts w:ascii="Aptos" w:hAnsi="Aptos"/>
                <w:b w:val="0"/>
                <w:color w:val="232D34"/>
                <w:sz w:val="16"/>
              </w:rPr>
              <w:t>培训安排 / Training schedule</w:t>
            </w:r>
          </w:p>
        </w:tc>
      </w:tr>
      <w:tr>
        <w:tc>
          <w:tcPr>
            <w:tcW w:type="dxa" w:w="2376"/>
            <w:vAlign w:val="center"/>
          </w:tcPr>
          <w:p>
            <w:pPr>
              <w:spacing w:after="0"/>
            </w:pPr>
            <w:r/>
            <w:r>
              <w:rPr>
                <w:rFonts w:ascii="Aptos" w:hAnsi="Aptos"/>
                <w:b w:val="0"/>
                <w:color w:val="232D34"/>
                <w:sz w:val="16"/>
              </w:rPr>
              <w:t>按时</w:t>
            </w:r>
          </w:p>
        </w:tc>
        <w:tc>
          <w:tcPr>
            <w:tcW w:type="dxa" w:w="1512"/>
            <w:vAlign w:val="center"/>
          </w:tcPr>
          <w:p>
            <w:pPr>
              <w:spacing w:after="0"/>
            </w:pPr>
            <w:r/>
            <w:r>
              <w:rPr>
                <w:rFonts w:ascii="Aptos" w:hAnsi="Aptos"/>
                <w:b w:val="0"/>
                <w:color w:val="232D34"/>
                <w:sz w:val="16"/>
              </w:rPr>
              <w:t>ànshí</w:t>
            </w:r>
          </w:p>
        </w:tc>
        <w:tc>
          <w:tcPr>
            <w:tcW w:type="dxa" w:w="2160"/>
            <w:vAlign w:val="center"/>
          </w:tcPr>
          <w:p>
            <w:pPr>
              <w:spacing w:after="0"/>
            </w:pPr>
            <w:r/>
            <w:r>
              <w:rPr>
                <w:rFonts w:ascii="Aptos" w:hAnsi="Aptos"/>
                <w:b w:val="0"/>
                <w:color w:val="232D34"/>
                <w:sz w:val="16"/>
              </w:rPr>
              <w:t>on time</w:t>
            </w:r>
          </w:p>
        </w:tc>
        <w:tc>
          <w:tcPr>
            <w:tcW w:type="dxa" w:w="4392"/>
            <w:vAlign w:val="center"/>
          </w:tcPr>
          <w:p>
            <w:pPr>
              <w:spacing w:after="0"/>
            </w:pPr>
            <w:r/>
            <w:r>
              <w:rPr>
                <w:rFonts w:ascii="Aptos" w:hAnsi="Aptos"/>
                <w:b w:val="0"/>
                <w:color w:val="232D34"/>
                <w:sz w:val="16"/>
              </w:rPr>
              <w:t>请按时完成 / Please complete on time</w:t>
            </w:r>
          </w:p>
        </w:tc>
      </w:tr>
      <w:tr>
        <w:tc>
          <w:tcPr>
            <w:tcW w:type="dxa" w:w="2376"/>
            <w:vAlign w:val="center"/>
            <w:shd w:fill="F1F6F6"/>
          </w:tcPr>
          <w:p>
            <w:pPr>
              <w:spacing w:after="0"/>
            </w:pPr>
            <w:r/>
            <w:r>
              <w:rPr>
                <w:rFonts w:ascii="Aptos" w:hAnsi="Aptos"/>
                <w:b w:val="0"/>
                <w:color w:val="232D34"/>
                <w:sz w:val="16"/>
              </w:rPr>
              <w:t>标准</w:t>
            </w:r>
          </w:p>
        </w:tc>
        <w:tc>
          <w:tcPr>
            <w:tcW w:type="dxa" w:w="1512"/>
            <w:vAlign w:val="center"/>
            <w:shd w:fill="F1F6F6"/>
          </w:tcPr>
          <w:p>
            <w:pPr>
              <w:spacing w:after="0"/>
            </w:pPr>
            <w:r/>
            <w:r>
              <w:rPr>
                <w:rFonts w:ascii="Aptos" w:hAnsi="Aptos"/>
                <w:b w:val="0"/>
                <w:color w:val="232D34"/>
                <w:sz w:val="16"/>
              </w:rPr>
              <w:t>biāozhǔn</w:t>
            </w:r>
          </w:p>
        </w:tc>
        <w:tc>
          <w:tcPr>
            <w:tcW w:type="dxa" w:w="2160"/>
            <w:vAlign w:val="center"/>
            <w:shd w:fill="F1F6F6"/>
          </w:tcPr>
          <w:p>
            <w:pPr>
              <w:spacing w:after="0"/>
            </w:pPr>
            <w:r/>
            <w:r>
              <w:rPr>
                <w:rFonts w:ascii="Aptos" w:hAnsi="Aptos"/>
                <w:b w:val="0"/>
                <w:color w:val="232D34"/>
                <w:sz w:val="16"/>
              </w:rPr>
              <w:t>standard</w:t>
            </w:r>
          </w:p>
        </w:tc>
        <w:tc>
          <w:tcPr>
            <w:tcW w:type="dxa" w:w="4392"/>
            <w:vAlign w:val="center"/>
            <w:shd w:fill="F1F6F6"/>
          </w:tcPr>
          <w:p>
            <w:pPr>
              <w:spacing w:after="0"/>
            </w:pPr>
            <w:r/>
            <w:r>
              <w:rPr>
                <w:rFonts w:ascii="Aptos" w:hAnsi="Aptos"/>
                <w:b w:val="0"/>
                <w:color w:val="232D34"/>
                <w:sz w:val="16"/>
              </w:rPr>
              <w:t>数据标准 / Data standard</w:t>
            </w:r>
          </w:p>
        </w:tc>
      </w:tr>
      <w:tr>
        <w:tc>
          <w:tcPr>
            <w:tcW w:type="dxa" w:w="2376"/>
            <w:vAlign w:val="center"/>
          </w:tcPr>
          <w:p>
            <w:pPr>
              <w:spacing w:after="0"/>
            </w:pPr>
            <w:r/>
            <w:r>
              <w:rPr>
                <w:rFonts w:ascii="Aptos" w:hAnsi="Aptos"/>
                <w:b w:val="0"/>
                <w:color w:val="232D34"/>
                <w:sz w:val="16"/>
              </w:rPr>
              <w:t>质量</w:t>
            </w:r>
          </w:p>
        </w:tc>
        <w:tc>
          <w:tcPr>
            <w:tcW w:type="dxa" w:w="1512"/>
            <w:vAlign w:val="center"/>
          </w:tcPr>
          <w:p>
            <w:pPr>
              <w:spacing w:after="0"/>
            </w:pPr>
            <w:r/>
            <w:r>
              <w:rPr>
                <w:rFonts w:ascii="Aptos" w:hAnsi="Aptos"/>
                <w:b w:val="0"/>
                <w:color w:val="232D34"/>
                <w:sz w:val="16"/>
              </w:rPr>
              <w:t>zhìliàng</w:t>
            </w:r>
          </w:p>
        </w:tc>
        <w:tc>
          <w:tcPr>
            <w:tcW w:type="dxa" w:w="2160"/>
            <w:vAlign w:val="center"/>
          </w:tcPr>
          <w:p>
            <w:pPr>
              <w:spacing w:after="0"/>
            </w:pPr>
            <w:r/>
            <w:r>
              <w:rPr>
                <w:rFonts w:ascii="Aptos" w:hAnsi="Aptos"/>
                <w:b w:val="0"/>
                <w:color w:val="232D34"/>
                <w:sz w:val="16"/>
              </w:rPr>
              <w:t>quality</w:t>
            </w:r>
          </w:p>
        </w:tc>
        <w:tc>
          <w:tcPr>
            <w:tcW w:type="dxa" w:w="4392"/>
            <w:vAlign w:val="center"/>
          </w:tcPr>
          <w:p>
            <w:pPr>
              <w:spacing w:after="0"/>
            </w:pPr>
            <w:r/>
            <w:r>
              <w:rPr>
                <w:rFonts w:ascii="Aptos" w:hAnsi="Aptos"/>
                <w:b w:val="0"/>
                <w:color w:val="232D34"/>
                <w:sz w:val="16"/>
              </w:rPr>
              <w:t>数据质量 / Data quality</w:t>
            </w:r>
          </w:p>
        </w:tc>
      </w:tr>
      <w:tr>
        <w:tc>
          <w:tcPr>
            <w:tcW w:type="dxa" w:w="2376"/>
            <w:vAlign w:val="center"/>
            <w:shd w:fill="F1F6F6"/>
          </w:tcPr>
          <w:p>
            <w:pPr>
              <w:spacing w:after="0"/>
            </w:pPr>
            <w:r/>
            <w:r>
              <w:rPr>
                <w:rFonts w:ascii="Aptos" w:hAnsi="Aptos"/>
                <w:b w:val="0"/>
                <w:color w:val="232D34"/>
                <w:sz w:val="16"/>
              </w:rPr>
              <w:t>重点</w:t>
            </w:r>
          </w:p>
        </w:tc>
        <w:tc>
          <w:tcPr>
            <w:tcW w:type="dxa" w:w="1512"/>
            <w:vAlign w:val="center"/>
            <w:shd w:fill="F1F6F6"/>
          </w:tcPr>
          <w:p>
            <w:pPr>
              <w:spacing w:after="0"/>
            </w:pPr>
            <w:r/>
            <w:r>
              <w:rPr>
                <w:rFonts w:ascii="Aptos" w:hAnsi="Aptos"/>
                <w:b w:val="0"/>
                <w:color w:val="232D34"/>
                <w:sz w:val="16"/>
              </w:rPr>
              <w:t>zhòngdiǎn</w:t>
            </w:r>
          </w:p>
        </w:tc>
        <w:tc>
          <w:tcPr>
            <w:tcW w:type="dxa" w:w="2160"/>
            <w:vAlign w:val="center"/>
            <w:shd w:fill="F1F6F6"/>
          </w:tcPr>
          <w:p>
            <w:pPr>
              <w:spacing w:after="0"/>
            </w:pPr>
            <w:r/>
            <w:r>
              <w:rPr>
                <w:rFonts w:ascii="Aptos" w:hAnsi="Aptos"/>
                <w:b w:val="0"/>
                <w:color w:val="232D34"/>
                <w:sz w:val="16"/>
              </w:rPr>
              <w:t>key point; priority</w:t>
            </w:r>
          </w:p>
        </w:tc>
        <w:tc>
          <w:tcPr>
            <w:tcW w:type="dxa" w:w="4392"/>
            <w:vAlign w:val="center"/>
            <w:shd w:fill="F1F6F6"/>
          </w:tcPr>
          <w:p>
            <w:pPr>
              <w:spacing w:after="0"/>
            </w:pPr>
            <w:r/>
            <w:r>
              <w:rPr>
                <w:rFonts w:ascii="Aptos" w:hAnsi="Aptos"/>
                <w:b w:val="0"/>
                <w:color w:val="232D34"/>
                <w:sz w:val="16"/>
              </w:rPr>
              <w:t>本次会议的重点 / Meeting priority</w:t>
            </w:r>
          </w:p>
        </w:tc>
      </w:tr>
      <w:tr>
        <w:tc>
          <w:tcPr>
            <w:tcW w:type="dxa" w:w="2376"/>
            <w:vAlign w:val="center"/>
          </w:tcPr>
          <w:p>
            <w:pPr>
              <w:spacing w:after="0"/>
            </w:pPr>
            <w:r/>
            <w:r>
              <w:rPr>
                <w:rFonts w:ascii="Aptos" w:hAnsi="Aptos"/>
                <w:b w:val="0"/>
                <w:color w:val="232D34"/>
                <w:sz w:val="16"/>
              </w:rPr>
              <w:t>总结</w:t>
            </w:r>
          </w:p>
        </w:tc>
        <w:tc>
          <w:tcPr>
            <w:tcW w:type="dxa" w:w="1512"/>
            <w:vAlign w:val="center"/>
          </w:tcPr>
          <w:p>
            <w:pPr>
              <w:spacing w:after="0"/>
            </w:pPr>
            <w:r/>
            <w:r>
              <w:rPr>
                <w:rFonts w:ascii="Aptos" w:hAnsi="Aptos"/>
                <w:b w:val="0"/>
                <w:color w:val="232D34"/>
                <w:sz w:val="16"/>
              </w:rPr>
              <w:t>zǒngjié</w:t>
            </w:r>
          </w:p>
        </w:tc>
        <w:tc>
          <w:tcPr>
            <w:tcW w:type="dxa" w:w="2160"/>
            <w:vAlign w:val="center"/>
          </w:tcPr>
          <w:p>
            <w:pPr>
              <w:spacing w:after="0"/>
            </w:pPr>
            <w:r/>
            <w:r>
              <w:rPr>
                <w:rFonts w:ascii="Aptos" w:hAnsi="Aptos"/>
                <w:b w:val="0"/>
                <w:color w:val="232D34"/>
                <w:sz w:val="16"/>
              </w:rPr>
              <w:t>summarize; summary</w:t>
            </w:r>
          </w:p>
        </w:tc>
        <w:tc>
          <w:tcPr>
            <w:tcW w:type="dxa" w:w="4392"/>
            <w:vAlign w:val="center"/>
          </w:tcPr>
          <w:p>
            <w:pPr>
              <w:spacing w:after="0"/>
            </w:pPr>
            <w:r/>
            <w:r>
              <w:rPr>
                <w:rFonts w:ascii="Aptos" w:hAnsi="Aptos"/>
                <w:b w:val="0"/>
                <w:color w:val="232D34"/>
                <w:sz w:val="16"/>
              </w:rPr>
              <w:t>每周总结 / Weekly summary</w:t>
            </w:r>
          </w:p>
        </w:tc>
      </w:tr>
    </w:tbl>
    <w:p>
      <w:pPr>
        <w:spacing w:after="0"/>
      </w:pPr>
    </w:p>
    <w:p>
      <w:r>
        <w:t>Domain labels such as ERP, finance, inventory, role, and cutover may sit outside a learner’s HSK vocabulary. Introduce each label with a stable bilingual glossary entry rather than replacing a precise system term with an approximate translation. Example instruction: ‘请先检查库存数量，再确认订单。’ (Please check the inventory quantity first, then confirm the order.) Provide the English line immediately beside it and verify understanding by asking the user to demonstrate the steps.</w:t>
      </w:r>
    </w:p>
    <w:p>
      <w:r>
        <w:t>Cadence: a weekly bilingual status note (progress, next tasks, risks, decisions needed); weekly process workshops with a glossary; role-based training before each test cycle; and a cutover notice with numbered steps, contact names, and escalation options. HSK vocabulary labels in this report follow the HSK 3.0 reference list; the Chinese Test Service has announced worldwide launch on 13 December 2026, so the learner’s target syllabus should be checked against their exam registration. [3][4]</w:t>
      </w:r>
    </w:p>
    <w:p>
      <w:pPr>
        <w:pStyle w:val="Heading1"/>
        <w:keepNext/>
      </w:pPr>
      <w:r>
        <w:t>8. Reflection</w:t>
      </w:r>
    </w:p>
    <w:p>
      <w:r>
        <w:t>Planning makes dependencies visible before they become launch problems. For example, a production plan depends on trustworthy product records, usable inventory, purchasing lead times, and clear approval roles. If these are left until late testing, the team may discover that a process is technically configured but operationally unusable. A phase plan with named owners, test evidence, and decision gates makes readiness discussable rather than assumed.</w:t>
      </w:r>
    </w:p>
    <w:p>
      <w:r>
        <w:t>Language accessibility is part of control design. If users misunderstand a field label, approval request, or cutover step, the result can be a wrong entry or missed task even when the software works as designed. HSK 4 vocabulary can make routine updates more accessible, while bilingual technical glossaries and teach-back protect precision for domain terms. The project should measure comprehension through task completion and questions raised, not by counting translated pages. This plan is a learning blueprint; it is not evidence of a live implementation or completed system configuration.</w:t>
      </w:r>
    </w:p>
    <w:p>
      <w:pPr>
        <w:pStyle w:val="Heading1"/>
        <w:keepNext/>
      </w:pPr>
      <w:r>
        <w:t>References</w:t>
      </w:r>
    </w:p>
    <w:p>
      <w:pPr>
        <w:spacing w:after="60"/>
      </w:pPr>
      <w:r>
        <w:rPr>
          <w:sz w:val="16"/>
        </w:rPr>
        <w:t>[1] SAP, SAP Activate Methodology overview: https://www.sap.com/products/erp/activate-methodology.html</w:t>
      </w:r>
    </w:p>
    <w:p>
      <w:pPr>
        <w:spacing w:after="60"/>
      </w:pPr>
      <w:r>
        <w:rPr>
          <w:sz w:val="16"/>
        </w:rPr>
        <w:t>[2] SAP Learning, Describing the Methodology Structure: https://learning.sap.com/courses/discovering-sap-activate-implementation-tools-and-methodology/describing-the-methodology-structure_d959f6fc-ebfc-4143-94b3-6b83a6339b8b</w:t>
      </w:r>
    </w:p>
    <w:p>
      <w:pPr>
        <w:spacing w:after="60"/>
      </w:pPr>
      <w:r>
        <w:rPr>
          <w:sz w:val="16"/>
        </w:rPr>
        <w:t>[3] Chinese Test Service, announcement of worldwide HSK 3.0 launch on 13 December 2026: https://old.chinesetest.cn/gonewcontent.do?flag=kdnew&amp;id=51336883</w:t>
      </w:r>
    </w:p>
    <w:p>
      <w:pPr>
        <w:spacing w:after="60"/>
      </w:pPr>
      <w:r>
        <w:rPr>
          <w:sz w:val="16"/>
        </w:rPr>
        <w:t>[4] WordSwing HSK, HSK 4 word list (2025 HSK 3.0 syllabus; consulted for the vocabulary examples): https://hsk.wordswing.com/vocabulary/hsk-4/</w:t>
      </w:r>
    </w:p>
    <w:sectPr w:rsidR="00FC693F" w:rsidRPr="0006063C" w:rsidSect="00034616">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Microsoft YaHei"/>
      <w:color w:val="232D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Microsoft YaHei"/>
      <w:b/>
      <w:bCs/>
      <w:color w:val="174A5B"/>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Microsoft YaHei"/>
      <w:b/>
      <w:bCs/>
      <w:color w:val="1D6F7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Microsoft YaHei"/>
      <w:b/>
      <w:color w:val="174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Needs Analysis for ERP Implementation</dc:title>
  <dc:subject>Project ERP Implementation Consultant — Week 1</dc:subject>
  <dc:creator>Hrudhai Prem Kumar Patwari</dc:creator>
  <cp:keywords/>
  <dc:description>generated by python-docx</dc:description>
  <cp:lastModifiedBy/>
  <cp:revision>1</cp:revision>
  <dcterms:created xsi:type="dcterms:W3CDTF">2013-12-23T23:15:00Z</dcterms:created>
  <dcterms:modified xsi:type="dcterms:W3CDTF">2013-12-23T23:15:00Z</dcterms:modified>
  <cp:category/>
</cp:coreProperties>
</file>