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ERP Module Configuration and Customization Blueprint</w:t>
      </w:r>
    </w:p>
    <w:p>
      <w:pPr>
        <w:jc w:val="left"/>
      </w:pPr>
      <w:r>
        <w:rPr>
          <w:color w:val="5B6573"/>
          <w:sz w:val="18"/>
        </w:rPr>
        <w:t>Project ERP Implementation Consultant | Week 2 | 30 October 2026</w:t>
      </w:r>
    </w:p>
    <w:p>
      <w:pPr>
        <w:spacing w:after="200"/>
      </w:pPr>
      <w:r>
        <w:rPr>
          <w:i/>
          <w:sz w:val="20"/>
        </w:rPr>
        <w:t>Procurement and production planning design for a hypothetical packaged-food manufacturer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5B4A00"/>
                <w:sz w:val="18"/>
              </w:rPr>
              <w:t>SIMULATED DESIGN ONLY — This document describes proposed settings and tests. No SAP or other ERP tenant was configured, and no screenshot is presented as a live-system capture.</w:t>
            </w:r>
          </w:p>
        </w:tc>
      </w:tr>
    </w:tbl>
    <w:p>
      <w:pPr>
        <w:spacing w:after="20"/>
      </w:pPr>
    </w:p>
    <w:p>
      <w:pPr>
        <w:pStyle w:val="Heading1"/>
      </w:pPr>
      <w:r>
        <w:t>1. Objective and business context</w:t>
      </w:r>
    </w:p>
    <w:p>
      <w:r>
        <w:t>Horizon Foods Ltd. is the same hypothetical business used in Week 1: two plants, three distribution centres, and separate spreadsheet records across procurement, inventory, production, sales and finance. This week translates the discovery assumptions into a fit-to-standard configuration blueprint for two connected functional areas: purchasing/inventory (often represented by SAP Sourcing and Procurement / MM concepts) and production planning (PP concepts). The design is platform-neutral where release-specific settings differ. The aim is to make decisions reviewable before any configuration work, with named owners, controls and acceptance evidence.</w:t>
      </w:r>
    </w:p>
    <w:p>
      <w:r>
        <w:t>The case uses four illustrative materials carried into the migration exercise: RM-CHILI (120 KG opening balance), RM-OIL (80 L), PKG-POUCH (2,500 EA), and FG-CHUTNEY (400 CASE). These quantities are training assumptions, not company facts or system extracts.</w:t>
      </w:r>
    </w:p>
    <w:p>
      <w:pPr>
        <w:pStyle w:val="Heading1"/>
      </w:pPr>
      <w:r>
        <w:t>2. Fit-to-standard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Proposed rule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Reason and control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Purchasing approval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Routine low-value PO uses buyer approval; above illustrative INR 100,000, require a second approver. Buyer cannot approve own high-value PO.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Keeps most work simple while adding a review for higher exposure; threshold is a scenario assumption subject to finance policy.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Master data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Named owners maintain supplier, material, UOM, plant and purchasing data; duplicate and required-field checks precede activation.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Prevents invalid codes and duplicate records from entering purchasing and planning.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Goods receipt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Receipt references the purchase order. A quantity difference beyond illustrative ±2% is held for review; inspection status controls availability.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Supports traceability and prevents unchecked receipts from becoming unrestricted stock.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Planning data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For each material/plant, approve procurement type, planned delivery or production lead time, lot size, planner, and safety stock where justified.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MRP proposals depend on valid material, BOM, stock, demand and timing parameters; parameters need business-owner validation.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Production orders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Use an approved BOM and routing/version; planner reviews shortages and capacity before release.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Makes component requirements and execution sequence traceable; avoids releasing infeasible orders by default.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Language and access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Retain stable English technical identifiers and add reviewed Chinese helper labels; grant buyer, approver, receiver, planner and supervisor roles separately.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6"/>
              </w:rPr>
              <w:t>Supports bilingual use without obscuring exact field names or weakening segregation of duties.</w:t>
            </w:r>
          </w:p>
        </w:tc>
      </w:tr>
    </w:tbl>
    <w:p>
      <w:pPr>
        <w:spacing w:after="0"/>
      </w:pPr>
    </w:p>
    <w:p>
      <w:pPr>
        <w:pStyle w:val="Heading1"/>
      </w:pPr>
      <w:r>
        <w:t>3. Proposed configuration and test sequence</w:t>
      </w:r>
    </w:p>
    <w:p>
      <w:r>
        <w:drawing>
          <wp:inline xmlns:a="http://schemas.openxmlformats.org/drawingml/2006/main" xmlns:pic="http://schemas.openxmlformats.org/drawingml/2006/picture">
            <wp:extent cx="6126480" cy="15316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2_configura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316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detailed spreadsheet-ready decision register is in data/week2_configuration_blueprint.csv. Each row is a proposed design position, not a recorded configuration change. A functional lead should confirm local tax, valuation, quality, approval and planning requirements before converting these positions into product-specific settings.</w:t>
      </w:r>
    </w:p>
    <w:p>
      <w:pPr>
        <w:pStyle w:val="Heading1"/>
      </w:pPr>
      <w:r>
        <w:t>4. Example bilingual interface labels and instructions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English system label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Simplified Chinese cue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Pinyin / use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Purchase order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采购订单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cǎigòu dìngdān — use for a purchasing document, not a supplier request.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Quantity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数量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shùliàng — enter the value with the displayed unit.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Plan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计划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jìhuà — review the plan before confirming the production task.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Confirm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确认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quèrèn — confirm only after checking quantity and reference.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Standard / quality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标准 / 质量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biāozhǔn / zhìliàng — use the approved standard; report an exception instead of guessing.</w:t>
            </w:r>
          </w:p>
        </w:tc>
      </w:tr>
    </w:tbl>
    <w:p>
      <w:pPr>
        <w:spacing w:after="0"/>
      </w:pPr>
    </w:p>
    <w:p>
      <w:r>
        <w:t>Example job aid: “Check the purchase order (采购订单) and quantity (数量) before confirming (确认) the receipt. If the unit or amount is unclear, stop and contact the buyer.” A bilingual reviewer must verify the Chinese wording and local usage. These are learning cues, not a substitute for validated product translation or language instruction.</w:t>
      </w:r>
    </w:p>
    <w:p>
      <w:pPr>
        <w:pStyle w:val="Heading1"/>
      </w:pPr>
      <w:r>
        <w:t>5. Acceptance criteria and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Pass condition</w:t>
            </w:r>
          </w:p>
        </w:tc>
        <w:tc>
          <w:tcPr>
            <w:tcW w:type="dxa" w:w="3389"/>
            <w:shd w:fill="17365D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Approval routing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Low-value sample routes to buyer; high-value sample requires independent approver; role cannot approve own high-value order.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Finance + procurement lead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Receipt handling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PO reference, unit, tolerance and hold status behave as designed in normal and exception samples.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Warehouse + quality lead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Planning proposal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Approved BOM and stock produce an explainable net requirement; missing/invalid master data is surfaced.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Production planner</w:t>
            </w:r>
          </w:p>
        </w:tc>
      </w:tr>
      <w:tr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Bilingual/access review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Critical labels reviewed by bilingual user; access tests prove role boundaries.</w:t>
            </w:r>
          </w:p>
        </w:tc>
        <w:tc>
          <w:tcPr>
            <w:tcW w:type="dxa" w:w="3389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263238"/>
                <w:sz w:val="17"/>
              </w:rPr>
              <w:t>Change lead + security lead</w:t>
            </w:r>
          </w:p>
        </w:tc>
      </w:tr>
    </w:tbl>
    <w:p>
      <w:pPr>
        <w:spacing w:after="0"/>
      </w:pPr>
    </w:p>
    <w:p>
      <w:r>
        <w:t>Key risks are over-customization, unsafe unit conversions, incomplete roles, incorrect lead times, and labels that introduce ambiguity. Mitigations are fit-to-standard review, data-owner approval, a traceable decision log, test evidence, and explicit sign-off. Any numeric threshold in this blueprint is illustrative and must be replaced with approved policy.</w:t>
      </w:r>
    </w:p>
    <w:p>
      <w:pPr>
        <w:pStyle w:val="Heading1"/>
      </w:pPr>
      <w:r>
        <w:t>6. Reflection</w:t>
      </w:r>
    </w:p>
    <w:p>
      <w:r>
        <w:t>A configuration choice is only useful when it connects to a process need, owner and test. The main learning from this exercise is to document decisions before attempting system settings: a buyer approval threshold, tolerance, unit mapping or planning lead time can change financial control and production feasibility. Bilingual labels improve access only when identifiers remain precise and a fluent reviewer checks instructions. A future hands-on exercise should use a permitted training tenant, record the software release and configuration evidence, and distinguish observed results from this blueprint.</w:t>
      </w:r>
    </w:p>
    <w:p>
      <w:pPr>
        <w:pStyle w:val="Heading1"/>
      </w:pPr>
      <w:r>
        <w:t>References</w:t>
      </w:r>
    </w:p>
    <w:p>
      <w:r>
        <w:t>SAP Learning, Purchasing in SAP S/4HANA: https://learning.sap.com/courses/purchasing-in-sap-s-4hana</w:t>
        <w:br/>
        <w:t>SAP Learning, Running Materials Requirements Planning: https://learning.sap.com/courses/business-processes-in-sap-s-4hana-sourcing-procurement/running-materials-requirements-planning</w:t>
        <w:br/>
        <w:t>SAP Learning, Understanding MRP in SAP S/4HANA: https://learning.sap.com/courses/exploring-production-planning-in-sap-s-4hana/understanding-mrp-in-sap-s-4hana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Training blueprint • Hypothetical Horizon Foods Ltd. • No live-system execution claimed    |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ERP IMPLEMENTATION CONSULTANT  |  SIMULATED TRAINING 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632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