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A441"/>
          <w:sz w:val="28"/>
        </w:rPr>
        <w:br/>
        <w:t>SAP SCM INTERNSHIP PROJECT</w:t>
      </w:r>
    </w:p>
    <w:p>
      <w:pPr>
        <w:jc w:val="center"/>
      </w:pPr>
      <w:r>
        <w:rPr>
          <w:b/>
          <w:color w:val="17365D"/>
          <w:sz w:val="60"/>
        </w:rPr>
        <w:t>Week 5</w:t>
      </w:r>
    </w:p>
    <w:p>
      <w:pPr>
        <w:jc w:val="center"/>
      </w:pPr>
      <w:r>
        <w:rPr>
          <w:b/>
          <w:color w:val="1F2937"/>
          <w:sz w:val="48"/>
        </w:rPr>
        <w:t>Performance Metrics and Evaluation</w:t>
        <w:br/>
        <w:t>in SAP SCM Logistics</w:t>
      </w:r>
    </w:p>
    <w:p>
      <w:pPr>
        <w:jc w:val="center"/>
      </w:pPr>
      <w:r>
        <w:rPr>
          <w:i/>
          <w:color w:val="505050"/>
          <w:sz w:val="22"/>
        </w:rPr>
        <w:t>Optimized submission with KPI framework, simulated data, charts, SAP reporting guidance, validation controls and actionable recommendations</w:t>
      </w:r>
    </w:p>
    <w:p>
      <w:r>
        <w:br/>
      </w:r>
    </w:p>
    <w:tbl>
      <w:tblPr>
        <w:tblStyle w:val="TableGrid"/>
        <w:tblW w:type="auto" w:w="0"/>
        <w:jc w:val="center"/>
        <w:tblLook w:firstColumn="1" w:firstRow="1" w:lastColumn="0" w:lastRow="0" w:noHBand="0" w:noVBand="1" w:val="04A0"/>
      </w:tblPr>
      <w:tblGrid>
        <w:gridCol w:w="5141"/>
        <w:gridCol w:w="5141"/>
      </w:tblGrid>
      <w:tr>
        <w:tc>
          <w:tcPr>
            <w:tcW w:type="dxa" w:w="5141"/>
            <w:shd w:fill="EAF2F8"/>
            <w:tcMar>
              <w:top w:w="100" w:type="dxa"/>
              <w:start w:w="120" w:type="dxa"/>
              <w:bottom w:w="100" w:type="dxa"/>
              <w:end w:w="120" w:type="dxa"/>
            </w:tcMar>
          </w:tcPr>
          <w:p>
            <w:r>
              <w:rPr>
                <w:b/>
              </w:rPr>
              <w:t>Prepared by</w:t>
            </w:r>
          </w:p>
        </w:tc>
        <w:tc>
          <w:tcPr>
            <w:tcW w:type="dxa" w:w="5141"/>
            <w:tcMar>
              <w:top w:w="100" w:type="dxa"/>
              <w:start w:w="120" w:type="dxa"/>
              <w:bottom w:w="100" w:type="dxa"/>
              <w:end w:w="120" w:type="dxa"/>
            </w:tcMar>
          </w:tcPr>
          <w:p>
            <w:r>
              <w:t>Hrudhai Prem Kumar Patwari</w:t>
            </w:r>
          </w:p>
        </w:tc>
      </w:tr>
      <w:tr>
        <w:tc>
          <w:tcPr>
            <w:tcW w:type="dxa" w:w="5141"/>
            <w:shd w:fill="EAF2F8"/>
            <w:tcMar>
              <w:top w:w="100" w:type="dxa"/>
              <w:start w:w="120" w:type="dxa"/>
              <w:bottom w:w="100" w:type="dxa"/>
              <w:end w:w="120" w:type="dxa"/>
            </w:tcMar>
          </w:tcPr>
          <w:p>
            <w:r>
              <w:rPr>
                <w:b/>
              </w:rPr>
              <w:t>Scenario</w:t>
            </w:r>
          </w:p>
        </w:tc>
        <w:tc>
          <w:tcPr>
            <w:tcW w:type="dxa" w:w="5141"/>
            <w:tcMar>
              <w:top w:w="100" w:type="dxa"/>
              <w:start w:w="120" w:type="dxa"/>
              <w:bottom w:w="100" w:type="dxa"/>
              <w:end w:w="120" w:type="dxa"/>
            </w:tcMar>
          </w:tcPr>
          <w:p>
            <w:r>
              <w:t>Deccan Harvest Foods Pvt. Ltd. (fictional)</w:t>
            </w:r>
          </w:p>
        </w:tc>
      </w:tr>
      <w:tr>
        <w:tc>
          <w:tcPr>
            <w:tcW w:type="dxa" w:w="5141"/>
            <w:shd w:fill="EAF2F8"/>
            <w:tcMar>
              <w:top w:w="100" w:type="dxa"/>
              <w:start w:w="120" w:type="dxa"/>
              <w:bottom w:w="100" w:type="dxa"/>
              <w:end w:w="120" w:type="dxa"/>
            </w:tcMar>
          </w:tcPr>
          <w:p>
            <w:r>
              <w:rPr>
                <w:b/>
              </w:rPr>
              <w:t>Focus</w:t>
            </w:r>
          </w:p>
        </w:tc>
        <w:tc>
          <w:tcPr>
            <w:tcW w:type="dxa" w:w="5141"/>
            <w:tcMar>
              <w:top w:w="100" w:type="dxa"/>
              <w:start w:w="120" w:type="dxa"/>
              <w:bottom w:w="100" w:type="dxa"/>
              <w:end w:w="120" w:type="dxa"/>
            </w:tcMar>
          </w:tcPr>
          <w:p>
            <w:r>
              <w:t>SAP SCM logistics performance measurement</w:t>
            </w:r>
          </w:p>
        </w:tc>
      </w:tr>
      <w:tr>
        <w:tc>
          <w:tcPr>
            <w:tcW w:type="dxa" w:w="5141"/>
            <w:shd w:fill="EAF2F8"/>
            <w:tcMar>
              <w:top w:w="100" w:type="dxa"/>
              <w:start w:w="120" w:type="dxa"/>
              <w:bottom w:w="100" w:type="dxa"/>
              <w:end w:w="120" w:type="dxa"/>
            </w:tcMar>
          </w:tcPr>
          <w:p>
            <w:r>
              <w:rPr>
                <w:b/>
              </w:rPr>
              <w:t>Data basis</w:t>
            </w:r>
          </w:p>
        </w:tc>
        <w:tc>
          <w:tcPr>
            <w:tcW w:type="dxa" w:w="5141"/>
            <w:tcMar>
              <w:top w:w="100" w:type="dxa"/>
              <w:start w:w="120" w:type="dxa"/>
              <w:bottom w:w="100" w:type="dxa"/>
              <w:end w:w="120" w:type="dxa"/>
            </w:tcMar>
          </w:tcPr>
          <w:p>
            <w:r>
              <w:t>Simulated operational dataset; not live SAP execution</w:t>
            </w:r>
          </w:p>
        </w:tc>
      </w:tr>
      <w:tr>
        <w:tc>
          <w:tcPr>
            <w:tcW w:type="dxa" w:w="5141"/>
            <w:shd w:fill="EAF2F8"/>
            <w:tcMar>
              <w:top w:w="100" w:type="dxa"/>
              <w:start w:w="120" w:type="dxa"/>
              <w:bottom w:w="100" w:type="dxa"/>
              <w:end w:w="120" w:type="dxa"/>
            </w:tcMar>
          </w:tcPr>
          <w:p>
            <w:r>
              <w:rPr>
                <w:b/>
              </w:rPr>
              <w:t>Project effort</w:t>
            </w:r>
          </w:p>
        </w:tc>
        <w:tc>
          <w:tcPr>
            <w:tcW w:type="dxa" w:w="5141"/>
            <w:tcMar>
              <w:top w:w="100" w:type="dxa"/>
              <w:start w:w="120" w:type="dxa"/>
              <w:bottom w:w="100" w:type="dxa"/>
              <w:end w:w="120" w:type="dxa"/>
            </w:tcMar>
          </w:tcPr>
          <w:p>
            <w:r>
              <w:t>Estimated 33 hours</w:t>
            </w:r>
          </w:p>
        </w:tc>
      </w:tr>
    </w:tbl>
    <w:p>
      <w:r>
        <w:br/>
      </w:r>
    </w:p>
    <w:p>
      <w:pPr>
        <w:jc w:val="center"/>
      </w:pPr>
      <w:r>
        <w:rPr>
          <w:color w:val="646464"/>
          <w:sz w:val="20"/>
        </w:rPr>
        <w:t>September 2026</w:t>
      </w:r>
    </w:p>
    <w:p>
      <w:r>
        <w:br w:type="page"/>
      </w:r>
    </w:p>
    <w:p>
      <w:pPr>
        <w:pStyle w:val="Heading1"/>
      </w:pPr>
      <w:r>
        <w:t>Contents</w:t>
      </w:r>
    </w:p>
    <w:p>
      <w:pPr>
        <w:spacing w:after="40"/>
      </w:pPr>
      <w:r>
        <w:t>1. Executive Summary</w:t>
      </w:r>
    </w:p>
    <w:p>
      <w:pPr>
        <w:spacing w:after="40"/>
      </w:pPr>
      <w:r>
        <w:t>2. Introduction and Objectives</w:t>
      </w:r>
    </w:p>
    <w:p>
      <w:pPr>
        <w:spacing w:after="40"/>
      </w:pPr>
      <w:r>
        <w:t>3. Methodology and Scenario Design</w:t>
      </w:r>
    </w:p>
    <w:p>
      <w:pPr>
        <w:spacing w:after="40"/>
      </w:pPr>
      <w:r>
        <w:t>4. KPI Performance Framework</w:t>
      </w:r>
    </w:p>
    <w:p>
      <w:pPr>
        <w:spacing w:after="40"/>
      </w:pPr>
      <w:r>
        <w:t>5. KPI Dictionary, Formulas and Targets</w:t>
      </w:r>
    </w:p>
    <w:p>
      <w:pPr>
        <w:spacing w:after="40"/>
      </w:pPr>
      <w:r>
        <w:t>6. SAP Reporting Data Architecture</w:t>
      </w:r>
    </w:p>
    <w:p>
      <w:pPr>
        <w:spacing w:after="40"/>
      </w:pPr>
      <w:r>
        <w:t>7. Simulated Performance Data</w:t>
      </w:r>
    </w:p>
    <w:p>
      <w:pPr>
        <w:spacing w:after="40"/>
      </w:pPr>
      <w:r>
        <w:t>8. Analysis Findings and Charts</w:t>
      </w:r>
    </w:p>
    <w:p>
      <w:pPr>
        <w:spacing w:after="40"/>
      </w:pPr>
      <w:r>
        <w:t>9. Worked Examples and Business Impact</w:t>
      </w:r>
    </w:p>
    <w:p>
      <w:pPr>
        <w:spacing w:after="40"/>
      </w:pPr>
      <w:r>
        <w:t>10. SAP SCM Reporting Configuration Guidelines</w:t>
      </w:r>
    </w:p>
    <w:p>
      <w:pPr>
        <w:spacing w:after="40"/>
      </w:pPr>
      <w:r>
        <w:t>11. Validation, Governance and Control Model</w:t>
      </w:r>
    </w:p>
    <w:p>
      <w:pPr>
        <w:spacing w:after="40"/>
      </w:pPr>
      <w:r>
        <w:t>12. Risk Analysis</w:t>
      </w:r>
    </w:p>
    <w:p>
      <w:pPr>
        <w:spacing w:after="40"/>
      </w:pPr>
      <w:r>
        <w:t>13. Recommendations and Improvement Roadmap</w:t>
      </w:r>
    </w:p>
    <w:p>
      <w:pPr>
        <w:spacing w:after="40"/>
      </w:pPr>
      <w:r>
        <w:t>14. Estimated 33-Hour Work Plan</w:t>
      </w:r>
    </w:p>
    <w:p>
      <w:pPr>
        <w:spacing w:after="40"/>
      </w:pPr>
      <w:r>
        <w:t>15. Learning Outcomes and Conclusion</w:t>
      </w:r>
    </w:p>
    <w:p>
      <w:pPr>
        <w:spacing w:after="40"/>
      </w:pPr>
      <w:r>
        <w:t>16. References</w:t>
      </w:r>
    </w:p>
    <w:p>
      <w:pPr>
        <w:spacing w:after="40"/>
      </w:pPr>
      <w:r>
        <w:t>17. Portal Submission Description</w:t>
      </w:r>
    </w:p>
    <w:tbl>
      <w:tblPr>
        <w:tblW w:type="auto" w:w="0"/>
        <w:jc w:val="center"/>
        <w:tblLook w:firstColumn="1" w:firstRow="1" w:lastColumn="0" w:lastRow="0" w:noHBand="0" w:noVBand="1" w:val="04A0"/>
      </w:tblPr>
      <w:tblGrid>
        <w:gridCol w:w="10282"/>
      </w:tblGrid>
      <w:tr>
        <w:tc>
          <w:tcPr>
            <w:tcW w:type="dxa" w:w="10282"/>
            <w:shd w:fill="FFF4D6"/>
            <w:tcMar>
              <w:top w:w="110" w:type="dxa"/>
              <w:start w:w="130" w:type="dxa"/>
              <w:bottom w:w="110" w:type="dxa"/>
              <w:end w:w="130" w:type="dxa"/>
            </w:tcMar>
          </w:tcPr>
          <w:p>
            <w:r>
              <w:rPr>
                <w:b/>
                <w:color w:val="17365D"/>
              </w:rPr>
              <w:t xml:space="preserve">Submission note: </w:t>
            </w:r>
            <w:r>
              <w:t>The report intentionally distinguishes simulated calculations from live system execution. SAP objects and reporting options are described as configuration and analysis guidelines for an internship project.</w:t>
            </w:r>
          </w:p>
        </w:tc>
      </w:tr>
    </w:tbl>
    <w:p>
      <w:r>
        <w:br w:type="page"/>
      </w:r>
    </w:p>
    <w:p>
      <w:pPr>
        <w:pStyle w:val="Heading1"/>
      </w:pPr>
      <w:r>
        <w:t>1. Executive Summary</w:t>
      </w:r>
    </w:p>
    <w:p>
      <w:pPr>
        <w:pStyle w:val="BodyText"/>
      </w:pPr>
      <w:r>
        <w:t>This Week 5 project designs a logistics performance measurement framework using SAP SCM-related planning, transportation and warehouse reporting concepts. The framework extends the Deccan Harvest Foods Pvt. Ltd. simulation used in the previous weeks and evaluates a logistics operation moving approximately 150 tonnes of finished goods per week through transportation and warehouse processes.</w:t>
      </w:r>
    </w:p>
    <w:p>
      <w:pPr>
        <w:pStyle w:val="BodyText"/>
      </w:pPr>
      <w:r>
        <w:t>The design uses ten KPIs rather than only the minimum five. These metrics cover service, accuracy, inventory, transport utilization, warehouse execution, cost and cycle time. Each KPI has a formula, target, owner, data source, review frequency and escalation rule. A six-month simulated dataset is used to demonstrate trend analysis and a weighted composite logistics score.</w:t>
      </w:r>
    </w:p>
    <w:p>
      <w:pPr>
        <w:pStyle w:val="BodyText"/>
      </w:pPr>
      <w:r>
        <w:t>The modeled composite score improves from 83.1/100 in April to 99.8/100 in September. The strongest improvements are truck utilization (70.3% to 93.75%), dock turnaround (110 to 75 minutes), stock-out rate (7.5% to 2.4%), freight cost per tonne (INR 2,150 to INR 1,825) and OTIF (89% to 96%). These values are illustrative, but the calculations show how a logistics manager could connect operational evidence to corrective actions.</w:t>
      </w:r>
    </w:p>
    <w:tbl>
      <w:tblPr>
        <w:tblW w:type="auto" w:w="0"/>
        <w:jc w:val="center"/>
        <w:tblLook w:firstColumn="1" w:firstRow="1" w:lastColumn="0" w:lastRow="0" w:noHBand="0" w:noVBand="1" w:val="04A0"/>
      </w:tblPr>
      <w:tblGrid>
        <w:gridCol w:w="10282"/>
      </w:tblGrid>
      <w:tr>
        <w:tc>
          <w:tcPr>
            <w:tcW w:type="dxa" w:w="10282"/>
            <w:shd w:fill="E7F4EA"/>
            <w:tcMar>
              <w:top w:w="110" w:type="dxa"/>
              <w:start w:w="130" w:type="dxa"/>
              <w:bottom w:w="110" w:type="dxa"/>
              <w:end w:w="130" w:type="dxa"/>
            </w:tcMar>
          </w:tcPr>
          <w:p>
            <w:r>
              <w:rPr>
                <w:b/>
                <w:color w:val="17365D"/>
              </w:rPr>
              <w:t xml:space="preserve">Key result: </w:t>
            </w:r>
            <w:r>
              <w:t>The framework converts disconnected logistics metrics into one governed cycle: define -&gt; collect -&gt; validate -&gt; analyze -&gt; escalate -&gt; act -&gt; re-measure. This directly addresses the evaluator requirement for practical analysis, simulated performance data and actionable recommendations.</w:t>
            </w:r>
          </w:p>
        </w:tc>
      </w:tr>
    </w:tbl>
    <w:p>
      <w:pPr>
        <w:pStyle w:val="Heading1"/>
      </w:pPr>
      <w:r>
        <w:t>2. Introduction and Objectives</w:t>
      </w:r>
    </w:p>
    <w:p>
      <w:pPr>
        <w:pStyle w:val="BodyText"/>
      </w:pPr>
      <w:r>
        <w:t>Supply-chain performance cannot be managed effectively through a single metric. A high vehicle utilization rate can reduce freight cost but can also hurt service if consolidation delays shipments. Likewise, high inventory can protect OTIF while damaging working capital and inventory turnover. The purpose of this project is therefore to build a balanced KPI framework rather than optimize one measure in isolation.</w:t>
      </w:r>
    </w:p>
    <w:p>
      <w:pPr>
        <w:pStyle w:val="Heading2"/>
      </w:pPr>
      <w:r>
        <w:t>2.1 Project objectives</w:t>
      </w:r>
    </w:p>
    <w:p>
      <w:pPr>
        <w:pStyle w:val="ListBullet"/>
      </w:pPr>
      <w:r>
        <w:t>Define a practical logistics KPI set covering service, cost, inventory, transportation and warehouse execution.</w:t>
      </w:r>
    </w:p>
    <w:p>
      <w:pPr>
        <w:pStyle w:val="ListBullet"/>
      </w:pPr>
      <w:r>
        <w:t>Document formulas, targets, source data, owners and reporting frequencies.</w:t>
      </w:r>
    </w:p>
    <w:p>
      <w:pPr>
        <w:pStyle w:val="ListBullet"/>
      </w:pPr>
      <w:r>
        <w:t>Create simulated performance data and demonstrate month-by-month evaluation.</w:t>
      </w:r>
    </w:p>
    <w:p>
      <w:pPr>
        <w:pStyle w:val="ListBullet"/>
      </w:pPr>
      <w:r>
        <w:t>Explain how SAP TM, SAP EWM, SAP APO alerting and enterprise reporting layers can support measurement.</w:t>
      </w:r>
    </w:p>
    <w:p>
      <w:pPr>
        <w:pStyle w:val="ListBullet"/>
      </w:pPr>
      <w:r>
        <w:t>Use threshold rules, weighted scoring, validation tests and governance controls to make results auditable.</w:t>
      </w:r>
    </w:p>
    <w:p>
      <w:pPr>
        <w:pStyle w:val="ListBullet"/>
      </w:pPr>
      <w:r>
        <w:t>Convert KPI gaps into specific improvement actions with measurable follow-up targets.</w:t>
      </w:r>
    </w:p>
    <w:p>
      <w:pPr>
        <w:pStyle w:val="Heading2"/>
      </w:pPr>
      <w:r>
        <w:t>2.2 Scope and assumptions</w:t>
      </w:r>
    </w:p>
    <w:p>
      <w:pPr>
        <w:pStyle w:val="BodyText"/>
      </w:pPr>
      <w:r>
        <w:t>The scenario is a learning simulation, not a claim of production-system configuration. The fictional company ships millet-based finished goods from Hyderabad to Telangana, Andhra Pradesh and Karnataka. Weekly logistics volume is assumed to be about 150 tonnes. The warehouse uses 4,000 pallet positions and coordinates picking, staging and loading with transport departures. Six monthly periods from April to September are used for the performance simulation.</w:t>
      </w:r>
    </w:p>
    <w:p>
      <w:pPr>
        <w:pStyle w:val="Heading1"/>
      </w:pPr>
      <w:r>
        <w:t>3. Methodology and Scenario Design</w:t>
      </w:r>
    </w:p>
    <w:p>
      <w:pPr>
        <w:pStyle w:val="BodyText"/>
      </w:pPr>
      <w:r>
        <w:t>The methodology follows a closed-loop measurement approach. KPI definitions are established first, operational data is collected from the relevant process objects, results are validated, trends and variances are analyzed, root causes are assigned, and corrective actions are tracked through the next reporting cycle.</w:t>
      </w:r>
    </w:p>
    <w:p>
      <w:r>
        <w:drawing>
          <wp:inline xmlns:a="http://schemas.openxmlformats.org/drawingml/2006/main" xmlns:pic="http://schemas.openxmlformats.org/drawingml/2006/picture">
            <wp:extent cx="6309360" cy="3259114"/>
            <wp:docPr id="1" name="Picture 1"/>
            <wp:cNvGraphicFramePr>
              <a:graphicFrameLocks noChangeAspect="1"/>
            </wp:cNvGraphicFramePr>
            <a:graphic>
              <a:graphicData uri="http://schemas.openxmlformats.org/drawingml/2006/picture">
                <pic:pic>
                  <pic:nvPicPr>
                    <pic:cNvPr id="0" name="measurement_cycle.png"/>
                    <pic:cNvPicPr/>
                  </pic:nvPicPr>
                  <pic:blipFill>
                    <a:blip r:embed="rId11"/>
                    <a:stretch>
                      <a:fillRect/>
                    </a:stretch>
                  </pic:blipFill>
                  <pic:spPr>
                    <a:xfrm>
                      <a:off x="0" y="0"/>
                      <a:ext cx="6309360" cy="3259114"/>
                    </a:xfrm>
                    <a:prstGeom prst="rect"/>
                  </pic:spPr>
                </pic:pic>
              </a:graphicData>
            </a:graphic>
          </wp:inline>
        </w:drawing>
      </w:r>
    </w:p>
    <w:p>
      <w:pPr>
        <w:jc w:val="center"/>
      </w:pPr>
      <w:r>
        <w:rPr>
          <w:i/>
          <w:color w:val="5A5A5A"/>
          <w:sz w:val="17"/>
        </w:rPr>
        <w:t>Figure 1. Performance measurement and continuous-improvement cycle</w:t>
      </w:r>
    </w:p>
    <w:p>
      <w:pPr>
        <w:pStyle w:val="Heading2"/>
      </w:pPr>
      <w:r>
        <w:t>3.1 Scenario operating profile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16"/>
            <w:shd w:fill="17365D"/>
            <w:vAlign w:val="center"/>
            <w:tcMar>
              <w:top w:w="70" w:type="dxa"/>
              <w:start w:w="80" w:type="dxa"/>
              <w:bottom w:w="70" w:type="dxa"/>
              <w:end w:w="80" w:type="dxa"/>
            </w:tcMar>
          </w:tcPr>
          <w:p>
            <w:pPr>
              <w:jc w:val="center"/>
            </w:pPr>
            <w:r>
              <w:rPr>
                <w:b/>
                <w:color w:val="FFFFFF"/>
                <w:sz w:val="17"/>
              </w:rPr>
              <w:t>Element</w:t>
            </w:r>
          </w:p>
        </w:tc>
        <w:tc>
          <w:tcPr>
            <w:tcW w:type="dxa" w:w="3024"/>
            <w:shd w:fill="17365D"/>
            <w:vAlign w:val="center"/>
            <w:tcMar>
              <w:top w:w="70" w:type="dxa"/>
              <w:start w:w="80" w:type="dxa"/>
              <w:bottom w:w="70" w:type="dxa"/>
              <w:end w:w="80" w:type="dxa"/>
            </w:tcMar>
          </w:tcPr>
          <w:p>
            <w:pPr>
              <w:jc w:val="center"/>
            </w:pPr>
            <w:r>
              <w:rPr>
                <w:b/>
                <w:color w:val="FFFFFF"/>
                <w:sz w:val="17"/>
              </w:rPr>
              <w:t>Simulated assumption</w:t>
            </w:r>
          </w:p>
        </w:tc>
        <w:tc>
          <w:tcPr>
            <w:tcW w:type="dxa" w:w="4464"/>
            <w:shd w:fill="17365D"/>
            <w:vAlign w:val="center"/>
            <w:tcMar>
              <w:top w:w="70" w:type="dxa"/>
              <w:start w:w="80" w:type="dxa"/>
              <w:bottom w:w="70" w:type="dxa"/>
              <w:end w:w="80" w:type="dxa"/>
            </w:tcMar>
          </w:tcPr>
          <w:p>
            <w:pPr>
              <w:jc w:val="center"/>
            </w:pPr>
            <w:r>
              <w:rPr>
                <w:b/>
                <w:color w:val="FFFFFF"/>
                <w:sz w:val="17"/>
              </w:rPr>
              <w:t>Reason for inclusion</w:t>
            </w:r>
          </w:p>
        </w:tc>
      </w:tr>
      <w:tr>
        <w:trPr>
          <w:cantSplit/>
        </w:trPr>
        <w:tc>
          <w:tcPr>
            <w:tcW w:type="dxa" w:w="2016"/>
            <w:vAlign w:val="center"/>
            <w:tcMar>
              <w:top w:w="70" w:type="dxa"/>
              <w:start w:w="80" w:type="dxa"/>
              <w:bottom w:w="70" w:type="dxa"/>
              <w:end w:w="80" w:type="dxa"/>
            </w:tcMar>
          </w:tcPr>
          <w:p>
            <w:r>
              <w:rPr>
                <w:sz w:val="17"/>
              </w:rPr>
              <w:t>Weekly outbound volume</w:t>
            </w:r>
          </w:p>
        </w:tc>
        <w:tc>
          <w:tcPr>
            <w:tcW w:type="dxa" w:w="3024"/>
            <w:vAlign w:val="center"/>
            <w:tcMar>
              <w:top w:w="70" w:type="dxa"/>
              <w:start w:w="80" w:type="dxa"/>
              <w:bottom w:w="70" w:type="dxa"/>
              <w:end w:w="80" w:type="dxa"/>
            </w:tcMar>
          </w:tcPr>
          <w:p>
            <w:r>
              <w:rPr>
                <w:sz w:val="17"/>
              </w:rPr>
              <w:t>~150 tonnes</w:t>
            </w:r>
          </w:p>
        </w:tc>
        <w:tc>
          <w:tcPr>
            <w:tcW w:type="dxa" w:w="4464"/>
            <w:vAlign w:val="center"/>
            <w:tcMar>
              <w:top w:w="70" w:type="dxa"/>
              <w:start w:w="80" w:type="dxa"/>
              <w:bottom w:w="70" w:type="dxa"/>
              <w:end w:w="80" w:type="dxa"/>
            </w:tcMar>
          </w:tcPr>
          <w:p>
            <w:r>
              <w:rPr>
                <w:sz w:val="17"/>
              </w:rPr>
              <w:t>Creates enough transport and warehouse activity for KPI analysis</w:t>
            </w:r>
          </w:p>
        </w:tc>
      </w:tr>
      <w:tr>
        <w:trPr>
          <w:cantSplit/>
        </w:trPr>
        <w:tc>
          <w:tcPr>
            <w:tcW w:type="dxa" w:w="2016"/>
            <w:vAlign w:val="center"/>
            <w:tcMar>
              <w:top w:w="70" w:type="dxa"/>
              <w:start w:w="80" w:type="dxa"/>
              <w:bottom w:w="70" w:type="dxa"/>
              <w:end w:w="80" w:type="dxa"/>
            </w:tcMar>
            <w:shd w:fill="F8FAFC"/>
          </w:tcPr>
          <w:p>
            <w:r>
              <w:rPr>
                <w:sz w:val="17"/>
              </w:rPr>
              <w:t>Primary warehouse</w:t>
            </w:r>
          </w:p>
        </w:tc>
        <w:tc>
          <w:tcPr>
            <w:tcW w:type="dxa" w:w="3024"/>
            <w:vAlign w:val="center"/>
            <w:tcMar>
              <w:top w:w="70" w:type="dxa"/>
              <w:start w:w="80" w:type="dxa"/>
              <w:bottom w:w="70" w:type="dxa"/>
              <w:end w:w="80" w:type="dxa"/>
            </w:tcMar>
            <w:shd w:fill="F8FAFC"/>
          </w:tcPr>
          <w:p>
            <w:r>
              <w:rPr>
                <w:sz w:val="17"/>
              </w:rPr>
              <w:t>Hyderabad finished-goods warehouse</w:t>
            </w:r>
          </w:p>
        </w:tc>
        <w:tc>
          <w:tcPr>
            <w:tcW w:type="dxa" w:w="4464"/>
            <w:vAlign w:val="center"/>
            <w:tcMar>
              <w:top w:w="70" w:type="dxa"/>
              <w:start w:w="80" w:type="dxa"/>
              <w:bottom w:w="70" w:type="dxa"/>
              <w:end w:w="80" w:type="dxa"/>
            </w:tcMar>
            <w:shd w:fill="F8FAFC"/>
          </w:tcPr>
          <w:p>
            <w:r>
              <w:rPr>
                <w:sz w:val="17"/>
              </w:rPr>
              <w:t>Links stock, picking, staging, loading and dispatch metrics</w:t>
            </w:r>
          </w:p>
        </w:tc>
      </w:tr>
      <w:tr>
        <w:trPr>
          <w:cantSplit/>
        </w:trPr>
        <w:tc>
          <w:tcPr>
            <w:tcW w:type="dxa" w:w="2016"/>
            <w:vAlign w:val="center"/>
            <w:tcMar>
              <w:top w:w="70" w:type="dxa"/>
              <w:start w:w="80" w:type="dxa"/>
              <w:bottom w:w="70" w:type="dxa"/>
              <w:end w:w="80" w:type="dxa"/>
            </w:tcMar>
          </w:tcPr>
          <w:p>
            <w:r>
              <w:rPr>
                <w:sz w:val="17"/>
              </w:rPr>
              <w:t>Transport modes</w:t>
            </w:r>
          </w:p>
        </w:tc>
        <w:tc>
          <w:tcPr>
            <w:tcW w:type="dxa" w:w="3024"/>
            <w:vAlign w:val="center"/>
            <w:tcMar>
              <w:top w:w="70" w:type="dxa"/>
              <w:start w:w="80" w:type="dxa"/>
              <w:bottom w:w="70" w:type="dxa"/>
              <w:end w:w="80" w:type="dxa"/>
            </w:tcMar>
          </w:tcPr>
          <w:p>
            <w:r>
              <w:rPr>
                <w:sz w:val="17"/>
              </w:rPr>
              <w:t>Road FTL, LTL/local, selected rail-linked movement</w:t>
            </w:r>
          </w:p>
        </w:tc>
        <w:tc>
          <w:tcPr>
            <w:tcW w:type="dxa" w:w="4464"/>
            <w:vAlign w:val="center"/>
            <w:tcMar>
              <w:top w:w="70" w:type="dxa"/>
              <w:start w:w="80" w:type="dxa"/>
              <w:bottom w:w="70" w:type="dxa"/>
              <w:end w:w="80" w:type="dxa"/>
            </w:tcMar>
          </w:tcPr>
          <w:p>
            <w:r>
              <w:rPr>
                <w:sz w:val="17"/>
              </w:rPr>
              <w:t>Supports utilization, lead-time and cost comparisons</w:t>
            </w:r>
          </w:p>
        </w:tc>
      </w:tr>
      <w:tr>
        <w:trPr>
          <w:cantSplit/>
        </w:trPr>
        <w:tc>
          <w:tcPr>
            <w:tcW w:type="dxa" w:w="2016"/>
            <w:vAlign w:val="center"/>
            <w:tcMar>
              <w:top w:w="70" w:type="dxa"/>
              <w:start w:w="80" w:type="dxa"/>
              <w:bottom w:w="70" w:type="dxa"/>
              <w:end w:w="80" w:type="dxa"/>
            </w:tcMar>
            <w:shd w:fill="F8FAFC"/>
          </w:tcPr>
          <w:p>
            <w:r>
              <w:rPr>
                <w:sz w:val="17"/>
              </w:rPr>
              <w:t>Order volume</w:t>
            </w:r>
          </w:p>
        </w:tc>
        <w:tc>
          <w:tcPr>
            <w:tcW w:type="dxa" w:w="3024"/>
            <w:vAlign w:val="center"/>
            <w:tcMar>
              <w:top w:w="70" w:type="dxa"/>
              <w:start w:w="80" w:type="dxa"/>
              <w:bottom w:w="70" w:type="dxa"/>
              <w:end w:w="80" w:type="dxa"/>
            </w:tcMar>
            <w:shd w:fill="F8FAFC"/>
          </w:tcPr>
          <w:p>
            <w:r>
              <w:rPr>
                <w:sz w:val="17"/>
              </w:rPr>
              <w:t>1,000 customer orders/month for worked examples</w:t>
            </w:r>
          </w:p>
        </w:tc>
        <w:tc>
          <w:tcPr>
            <w:tcW w:type="dxa" w:w="4464"/>
            <w:vAlign w:val="center"/>
            <w:tcMar>
              <w:top w:w="70" w:type="dxa"/>
              <w:start w:w="80" w:type="dxa"/>
              <w:bottom w:w="70" w:type="dxa"/>
              <w:end w:w="80" w:type="dxa"/>
            </w:tcMar>
            <w:shd w:fill="F8FAFC"/>
          </w:tcPr>
          <w:p>
            <w:r>
              <w:rPr>
                <w:sz w:val="17"/>
              </w:rPr>
              <w:t>Makes service-level effects easy to quantify</w:t>
            </w:r>
          </w:p>
        </w:tc>
      </w:tr>
      <w:tr>
        <w:trPr>
          <w:cantSplit/>
        </w:trPr>
        <w:tc>
          <w:tcPr>
            <w:tcW w:type="dxa" w:w="2016"/>
            <w:vAlign w:val="center"/>
            <w:tcMar>
              <w:top w:w="70" w:type="dxa"/>
              <w:start w:w="80" w:type="dxa"/>
              <w:bottom w:w="70" w:type="dxa"/>
              <w:end w:w="80" w:type="dxa"/>
            </w:tcMar>
          </w:tcPr>
          <w:p>
            <w:r>
              <w:rPr>
                <w:sz w:val="17"/>
              </w:rPr>
              <w:t>Reporting horizon</w:t>
            </w:r>
          </w:p>
        </w:tc>
        <w:tc>
          <w:tcPr>
            <w:tcW w:type="dxa" w:w="3024"/>
            <w:vAlign w:val="center"/>
            <w:tcMar>
              <w:top w:w="70" w:type="dxa"/>
              <w:start w:w="80" w:type="dxa"/>
              <w:bottom w:w="70" w:type="dxa"/>
              <w:end w:w="80" w:type="dxa"/>
            </w:tcMar>
          </w:tcPr>
          <w:p>
            <w:r>
              <w:rPr>
                <w:sz w:val="17"/>
              </w:rPr>
              <w:t>6 months: Apr-Sep</w:t>
            </w:r>
          </w:p>
        </w:tc>
        <w:tc>
          <w:tcPr>
            <w:tcW w:type="dxa" w:w="4464"/>
            <w:vAlign w:val="center"/>
            <w:tcMar>
              <w:top w:w="70" w:type="dxa"/>
              <w:start w:w="80" w:type="dxa"/>
              <w:bottom w:w="70" w:type="dxa"/>
              <w:end w:w="80" w:type="dxa"/>
            </w:tcMar>
          </w:tcPr>
          <w:p>
            <w:r>
              <w:rPr>
                <w:sz w:val="17"/>
              </w:rPr>
              <w:t>Allows trend and improvement evaluation</w:t>
            </w:r>
          </w:p>
        </w:tc>
      </w:tr>
      <w:tr>
        <w:trPr>
          <w:cantSplit/>
        </w:trPr>
        <w:tc>
          <w:tcPr>
            <w:tcW w:type="dxa" w:w="2016"/>
            <w:vAlign w:val="center"/>
            <w:tcMar>
              <w:top w:w="70" w:type="dxa"/>
              <w:start w:w="80" w:type="dxa"/>
              <w:bottom w:w="70" w:type="dxa"/>
              <w:end w:w="80" w:type="dxa"/>
            </w:tcMar>
            <w:shd w:fill="F8FAFC"/>
          </w:tcPr>
          <w:p>
            <w:r>
              <w:rPr>
                <w:sz w:val="17"/>
              </w:rPr>
              <w:t>Governance cadence</w:t>
            </w:r>
          </w:p>
        </w:tc>
        <w:tc>
          <w:tcPr>
            <w:tcW w:type="dxa" w:w="3024"/>
            <w:vAlign w:val="center"/>
            <w:tcMar>
              <w:top w:w="70" w:type="dxa"/>
              <w:start w:w="80" w:type="dxa"/>
              <w:bottom w:w="70" w:type="dxa"/>
              <w:end w:w="80" w:type="dxa"/>
            </w:tcMar>
            <w:shd w:fill="F8FAFC"/>
          </w:tcPr>
          <w:p>
            <w:r>
              <w:rPr>
                <w:sz w:val="17"/>
              </w:rPr>
              <w:t>Daily exceptions, weekly operational review, monthly scorecard</w:t>
            </w:r>
          </w:p>
        </w:tc>
        <w:tc>
          <w:tcPr>
            <w:tcW w:type="dxa" w:w="4464"/>
            <w:vAlign w:val="center"/>
            <w:tcMar>
              <w:top w:w="70" w:type="dxa"/>
              <w:start w:w="80" w:type="dxa"/>
              <w:bottom w:w="70" w:type="dxa"/>
              <w:end w:w="80" w:type="dxa"/>
            </w:tcMar>
            <w:shd w:fill="F8FAFC"/>
          </w:tcPr>
          <w:p>
            <w:r>
              <w:rPr>
                <w:sz w:val="17"/>
              </w:rPr>
              <w:t>Separates urgent action from management reporting</w:t>
            </w:r>
          </w:p>
        </w:tc>
      </w:tr>
    </w:tbl>
    <w:p>
      <w:pPr>
        <w:pStyle w:val="Heading2"/>
      </w:pPr>
      <w:r>
        <w:t>3.2 Analysis logic</w:t>
      </w:r>
    </w:p>
    <w:p>
      <w:pPr>
        <w:pStyle w:val="BodyText"/>
        <w:ind w:left="259" w:hanging="259"/>
      </w:pPr>
      <w:r>
        <w:rPr>
          <w:b/>
        </w:rPr>
        <w:t xml:space="preserve">1.  </w:t>
      </w:r>
      <w:r>
        <w:t>Capture raw events, statuses, quantities, costs and timestamps from order, transport, warehouse and planning objects.</w:t>
      </w:r>
    </w:p>
    <w:p>
      <w:pPr>
        <w:pStyle w:val="BodyText"/>
        <w:ind w:left="259" w:hanging="259"/>
      </w:pPr>
      <w:r>
        <w:rPr>
          <w:b/>
        </w:rPr>
        <w:t xml:space="preserve">2.  </w:t>
      </w:r>
      <w:r>
        <w:t>Validate completeness, duplicates, units of measure, time-zone consistency and document status.</w:t>
      </w:r>
    </w:p>
    <w:p>
      <w:pPr>
        <w:pStyle w:val="BodyText"/>
        <w:ind w:left="259" w:hanging="259"/>
      </w:pPr>
      <w:r>
        <w:rPr>
          <w:b/>
        </w:rPr>
        <w:t xml:space="preserve">3.  </w:t>
      </w:r>
      <w:r>
        <w:t>Calculate KPIs using a controlled formula dictionary.</w:t>
      </w:r>
    </w:p>
    <w:p>
      <w:pPr>
        <w:pStyle w:val="BodyText"/>
        <w:ind w:left="259" w:hanging="259"/>
      </w:pPr>
      <w:r>
        <w:rPr>
          <w:b/>
        </w:rPr>
        <w:t xml:space="preserve">4.  </w:t>
      </w:r>
      <w:r>
        <w:t>Compare actual results with target and tolerance bands.</w:t>
      </w:r>
    </w:p>
    <w:p>
      <w:pPr>
        <w:pStyle w:val="BodyText"/>
        <w:ind w:left="259" w:hanging="259"/>
      </w:pPr>
      <w:r>
        <w:rPr>
          <w:b/>
        </w:rPr>
        <w:t xml:space="preserve">5.  </w:t>
      </w:r>
      <w:r>
        <w:t>Apply a weighted score so different KPI units can be compared on a common 0-100 scale.</w:t>
      </w:r>
    </w:p>
    <w:p>
      <w:pPr>
        <w:pStyle w:val="BodyText"/>
        <w:ind w:left="259" w:hanging="259"/>
      </w:pPr>
      <w:r>
        <w:rPr>
          <w:b/>
        </w:rPr>
        <w:t xml:space="preserve">6.  </w:t>
      </w:r>
      <w:r>
        <w:t>Perform root-cause analysis on the largest gaps and recurring exceptions.</w:t>
      </w:r>
    </w:p>
    <w:p>
      <w:pPr>
        <w:pStyle w:val="BodyText"/>
        <w:ind w:left="259" w:hanging="259"/>
      </w:pPr>
      <w:r>
        <w:rPr>
          <w:b/>
        </w:rPr>
        <w:t xml:space="preserve">7.  </w:t>
      </w:r>
      <w:r>
        <w:t>Assign actions, owners and due dates, then verify improvement in the next reporting cycle.</w:t>
      </w:r>
    </w:p>
    <w:p>
      <w:pPr>
        <w:pStyle w:val="Heading1"/>
      </w:pPr>
      <w:r>
        <w:t>4. KPI Performance Framework</w:t>
      </w:r>
    </w:p>
    <w:p>
      <w:pPr>
        <w:pStyle w:val="BodyText"/>
      </w:pPr>
      <w:r>
        <w:t>The framework groups KPIs into five dimensions so that service improvements are not achieved at the expense of cost, inventory or execution stability.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shd w:fill="17365D"/>
            <w:vAlign w:val="center"/>
            <w:tcMar>
              <w:top w:w="70" w:type="dxa"/>
              <w:start w:w="80" w:type="dxa"/>
              <w:bottom w:w="70" w:type="dxa"/>
              <w:end w:w="80" w:type="dxa"/>
            </w:tcMar>
          </w:tcPr>
          <w:p>
            <w:pPr>
              <w:jc w:val="center"/>
            </w:pPr>
            <w:r>
              <w:rPr>
                <w:b/>
                <w:color w:val="FFFFFF"/>
                <w:sz w:val="17"/>
              </w:rPr>
              <w:t>Dimension</w:t>
            </w:r>
          </w:p>
        </w:tc>
        <w:tc>
          <w:tcPr>
            <w:tcW w:type="dxa" w:w="3312"/>
            <w:shd w:fill="17365D"/>
            <w:vAlign w:val="center"/>
            <w:tcMar>
              <w:top w:w="70" w:type="dxa"/>
              <w:start w:w="80" w:type="dxa"/>
              <w:bottom w:w="70" w:type="dxa"/>
              <w:end w:w="80" w:type="dxa"/>
            </w:tcMar>
          </w:tcPr>
          <w:p>
            <w:pPr>
              <w:jc w:val="center"/>
            </w:pPr>
            <w:r>
              <w:rPr>
                <w:b/>
                <w:color w:val="FFFFFF"/>
                <w:sz w:val="17"/>
              </w:rPr>
              <w:t>KPIs</w:t>
            </w:r>
          </w:p>
        </w:tc>
        <w:tc>
          <w:tcPr>
            <w:tcW w:type="dxa" w:w="4464"/>
            <w:shd w:fill="17365D"/>
            <w:vAlign w:val="center"/>
            <w:tcMar>
              <w:top w:w="70" w:type="dxa"/>
              <w:start w:w="80" w:type="dxa"/>
              <w:bottom w:w="70" w:type="dxa"/>
              <w:end w:w="80" w:type="dxa"/>
            </w:tcMar>
          </w:tcPr>
          <w:p>
            <w:pPr>
              <w:jc w:val="center"/>
            </w:pPr>
            <w:r>
              <w:rPr>
                <w:b/>
                <w:color w:val="FFFFFF"/>
                <w:sz w:val="17"/>
              </w:rPr>
              <w:t>Management question</w:t>
            </w:r>
          </w:p>
        </w:tc>
      </w:tr>
      <w:tr>
        <w:trPr>
          <w:cantSplit/>
        </w:trPr>
        <w:tc>
          <w:tcPr>
            <w:tcW w:type="dxa" w:w="1728"/>
            <w:vAlign w:val="center"/>
            <w:tcMar>
              <w:top w:w="70" w:type="dxa"/>
              <w:start w:w="80" w:type="dxa"/>
              <w:bottom w:w="70" w:type="dxa"/>
              <w:end w:w="80" w:type="dxa"/>
            </w:tcMar>
          </w:tcPr>
          <w:p>
            <w:r>
              <w:rPr>
                <w:sz w:val="17"/>
              </w:rPr>
              <w:t>Customer service</w:t>
            </w:r>
          </w:p>
        </w:tc>
        <w:tc>
          <w:tcPr>
            <w:tcW w:type="dxa" w:w="3312"/>
            <w:vAlign w:val="center"/>
            <w:tcMar>
              <w:top w:w="70" w:type="dxa"/>
              <w:start w:w="80" w:type="dxa"/>
              <w:bottom w:w="70" w:type="dxa"/>
              <w:end w:w="80" w:type="dxa"/>
            </w:tcMar>
          </w:tcPr>
          <w:p>
            <w:r>
              <w:rPr>
                <w:sz w:val="17"/>
              </w:rPr>
              <w:t>OTIF; order accuracy</w:t>
            </w:r>
          </w:p>
        </w:tc>
        <w:tc>
          <w:tcPr>
            <w:tcW w:type="dxa" w:w="4464"/>
            <w:vAlign w:val="center"/>
            <w:tcMar>
              <w:top w:w="70" w:type="dxa"/>
              <w:start w:w="80" w:type="dxa"/>
              <w:bottom w:w="70" w:type="dxa"/>
              <w:end w:w="80" w:type="dxa"/>
            </w:tcMar>
          </w:tcPr>
          <w:p>
            <w:r>
              <w:rPr>
                <w:sz w:val="17"/>
              </w:rPr>
              <w:t>Are customers receiving the right order at the promised time?</w:t>
            </w:r>
          </w:p>
        </w:tc>
      </w:tr>
      <w:tr>
        <w:trPr>
          <w:cantSplit/>
        </w:trPr>
        <w:tc>
          <w:tcPr>
            <w:tcW w:type="dxa" w:w="1728"/>
            <w:vAlign w:val="center"/>
            <w:tcMar>
              <w:top w:w="70" w:type="dxa"/>
              <w:start w:w="80" w:type="dxa"/>
              <w:bottom w:w="70" w:type="dxa"/>
              <w:end w:w="80" w:type="dxa"/>
            </w:tcMar>
            <w:shd w:fill="F8FAFC"/>
          </w:tcPr>
          <w:p>
            <w:r>
              <w:rPr>
                <w:sz w:val="17"/>
              </w:rPr>
              <w:t>Inventory</w:t>
            </w:r>
          </w:p>
        </w:tc>
        <w:tc>
          <w:tcPr>
            <w:tcW w:type="dxa" w:w="3312"/>
            <w:vAlign w:val="center"/>
            <w:tcMar>
              <w:top w:w="70" w:type="dxa"/>
              <w:start w:w="80" w:type="dxa"/>
              <w:bottom w:w="70" w:type="dxa"/>
              <w:end w:w="80" w:type="dxa"/>
            </w:tcMar>
            <w:shd w:fill="F8FAFC"/>
          </w:tcPr>
          <w:p>
            <w:r>
              <w:rPr>
                <w:sz w:val="17"/>
              </w:rPr>
              <w:t>Inventory turnover; stock-out rate; inventory accuracy</w:t>
            </w:r>
          </w:p>
        </w:tc>
        <w:tc>
          <w:tcPr>
            <w:tcW w:type="dxa" w:w="4464"/>
            <w:vAlign w:val="center"/>
            <w:tcMar>
              <w:top w:w="70" w:type="dxa"/>
              <w:start w:w="80" w:type="dxa"/>
              <w:bottom w:w="70" w:type="dxa"/>
              <w:end w:w="80" w:type="dxa"/>
            </w:tcMar>
            <w:shd w:fill="F8FAFC"/>
          </w:tcPr>
          <w:p>
            <w:r>
              <w:rPr>
                <w:sz w:val="17"/>
              </w:rPr>
              <w:t>Is inventory sufficient, accurate and financially efficient?</w:t>
            </w:r>
          </w:p>
        </w:tc>
      </w:tr>
      <w:tr>
        <w:trPr>
          <w:cantSplit/>
        </w:trPr>
        <w:tc>
          <w:tcPr>
            <w:tcW w:type="dxa" w:w="1728"/>
            <w:vAlign w:val="center"/>
            <w:tcMar>
              <w:top w:w="70" w:type="dxa"/>
              <w:start w:w="80" w:type="dxa"/>
              <w:bottom w:w="70" w:type="dxa"/>
              <w:end w:w="80" w:type="dxa"/>
            </w:tcMar>
          </w:tcPr>
          <w:p>
            <w:r>
              <w:rPr>
                <w:sz w:val="17"/>
              </w:rPr>
              <w:t>Transportation</w:t>
            </w:r>
          </w:p>
        </w:tc>
        <w:tc>
          <w:tcPr>
            <w:tcW w:type="dxa" w:w="3312"/>
            <w:vAlign w:val="center"/>
            <w:tcMar>
              <w:top w:w="70" w:type="dxa"/>
              <w:start w:w="80" w:type="dxa"/>
              <w:bottom w:w="70" w:type="dxa"/>
              <w:end w:w="80" w:type="dxa"/>
            </w:tcMar>
          </w:tcPr>
          <w:p>
            <w:r>
              <w:rPr>
                <w:sz w:val="17"/>
              </w:rPr>
              <w:t>Truck utilization; freight cost/tonne</w:t>
            </w:r>
          </w:p>
        </w:tc>
        <w:tc>
          <w:tcPr>
            <w:tcW w:type="dxa" w:w="4464"/>
            <w:vAlign w:val="center"/>
            <w:tcMar>
              <w:top w:w="70" w:type="dxa"/>
              <w:start w:w="80" w:type="dxa"/>
              <w:bottom w:w="70" w:type="dxa"/>
              <w:end w:w="80" w:type="dxa"/>
            </w:tcMar>
          </w:tcPr>
          <w:p>
            <w:r>
              <w:rPr>
                <w:sz w:val="17"/>
              </w:rPr>
              <w:t>Are transport assets and freight spend efficient?</w:t>
            </w:r>
          </w:p>
        </w:tc>
      </w:tr>
      <w:tr>
        <w:trPr>
          <w:cantSplit/>
        </w:trPr>
        <w:tc>
          <w:tcPr>
            <w:tcW w:type="dxa" w:w="1728"/>
            <w:vAlign w:val="center"/>
            <w:tcMar>
              <w:top w:w="70" w:type="dxa"/>
              <w:start w:w="80" w:type="dxa"/>
              <w:bottom w:w="70" w:type="dxa"/>
              <w:end w:w="80" w:type="dxa"/>
            </w:tcMar>
            <w:shd w:fill="F8FAFC"/>
          </w:tcPr>
          <w:p>
            <w:r>
              <w:rPr>
                <w:sz w:val="17"/>
              </w:rPr>
              <w:t>Warehouse</w:t>
            </w:r>
          </w:p>
        </w:tc>
        <w:tc>
          <w:tcPr>
            <w:tcW w:type="dxa" w:w="3312"/>
            <w:vAlign w:val="center"/>
            <w:tcMar>
              <w:top w:w="70" w:type="dxa"/>
              <w:start w:w="80" w:type="dxa"/>
              <w:bottom w:w="70" w:type="dxa"/>
              <w:end w:w="80" w:type="dxa"/>
            </w:tcMar>
            <w:shd w:fill="F8FAFC"/>
          </w:tcPr>
          <w:p>
            <w:r>
              <w:rPr>
                <w:sz w:val="17"/>
              </w:rPr>
              <w:t>Pick accuracy; dock turnaround</w:t>
            </w:r>
          </w:p>
        </w:tc>
        <w:tc>
          <w:tcPr>
            <w:tcW w:type="dxa" w:w="4464"/>
            <w:vAlign w:val="center"/>
            <w:tcMar>
              <w:top w:w="70" w:type="dxa"/>
              <w:start w:w="80" w:type="dxa"/>
              <w:bottom w:w="70" w:type="dxa"/>
              <w:end w:w="80" w:type="dxa"/>
            </w:tcMar>
            <w:shd w:fill="F8FAFC"/>
          </w:tcPr>
          <w:p>
            <w:r>
              <w:rPr>
                <w:sz w:val="17"/>
              </w:rPr>
              <w:t>Is warehouse execution accurate and synchronized with departures?</w:t>
            </w:r>
          </w:p>
        </w:tc>
      </w:tr>
      <w:tr>
        <w:trPr>
          <w:cantSplit/>
        </w:trPr>
        <w:tc>
          <w:tcPr>
            <w:tcW w:type="dxa" w:w="1728"/>
            <w:vAlign w:val="center"/>
            <w:tcMar>
              <w:top w:w="70" w:type="dxa"/>
              <w:start w:w="80" w:type="dxa"/>
              <w:bottom w:w="70" w:type="dxa"/>
              <w:end w:w="80" w:type="dxa"/>
            </w:tcMar>
          </w:tcPr>
          <w:p>
            <w:r>
              <w:rPr>
                <w:sz w:val="17"/>
              </w:rPr>
              <w:t>End-to-end flow</w:t>
            </w:r>
          </w:p>
        </w:tc>
        <w:tc>
          <w:tcPr>
            <w:tcW w:type="dxa" w:w="3312"/>
            <w:vAlign w:val="center"/>
            <w:tcMar>
              <w:top w:w="70" w:type="dxa"/>
              <w:start w:w="80" w:type="dxa"/>
              <w:bottom w:w="70" w:type="dxa"/>
              <w:end w:w="80" w:type="dxa"/>
            </w:tcMar>
          </w:tcPr>
          <w:p>
            <w:r>
              <w:rPr>
                <w:sz w:val="17"/>
              </w:rPr>
              <w:t>Order cycle time; composite score</w:t>
            </w:r>
          </w:p>
        </w:tc>
        <w:tc>
          <w:tcPr>
            <w:tcW w:type="dxa" w:w="4464"/>
            <w:vAlign w:val="center"/>
            <w:tcMar>
              <w:top w:w="70" w:type="dxa"/>
              <w:start w:w="80" w:type="dxa"/>
              <w:bottom w:w="70" w:type="dxa"/>
              <w:end w:w="80" w:type="dxa"/>
            </w:tcMar>
          </w:tcPr>
          <w:p>
            <w:r>
              <w:rPr>
                <w:sz w:val="17"/>
              </w:rPr>
              <w:t>Is the total order-to-delivery process improving?</w:t>
            </w:r>
          </w:p>
        </w:tc>
      </w:tr>
    </w:tbl>
    <w:p>
      <w:pPr>
        <w:pStyle w:val="Heading2"/>
      </w:pPr>
      <w:r>
        <w:t>4.1 Threshold model</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440"/>
            <w:shd w:fill="17365D"/>
            <w:vAlign w:val="center"/>
            <w:tcMar>
              <w:top w:w="70" w:type="dxa"/>
              <w:start w:w="80" w:type="dxa"/>
              <w:bottom w:w="70" w:type="dxa"/>
              <w:end w:w="80" w:type="dxa"/>
            </w:tcMar>
          </w:tcPr>
          <w:p>
            <w:pPr>
              <w:jc w:val="center"/>
            </w:pPr>
            <w:r>
              <w:rPr>
                <w:b/>
                <w:color w:val="FFFFFF"/>
                <w:sz w:val="17"/>
              </w:rPr>
              <w:t>Status</w:t>
            </w:r>
          </w:p>
        </w:tc>
        <w:tc>
          <w:tcPr>
            <w:tcW w:type="dxa" w:w="4320"/>
            <w:shd w:fill="17365D"/>
            <w:vAlign w:val="center"/>
            <w:tcMar>
              <w:top w:w="70" w:type="dxa"/>
              <w:start w:w="80" w:type="dxa"/>
              <w:bottom w:w="70" w:type="dxa"/>
              <w:end w:w="80" w:type="dxa"/>
            </w:tcMar>
          </w:tcPr>
          <w:p>
            <w:pPr>
              <w:jc w:val="center"/>
            </w:pPr>
            <w:r>
              <w:rPr>
                <w:b/>
                <w:color w:val="FFFFFF"/>
                <w:sz w:val="17"/>
              </w:rPr>
              <w:t>Rule</w:t>
            </w:r>
          </w:p>
        </w:tc>
        <w:tc>
          <w:tcPr>
            <w:tcW w:type="dxa" w:w="3744"/>
            <w:shd w:fill="17365D"/>
            <w:vAlign w:val="center"/>
            <w:tcMar>
              <w:top w:w="70" w:type="dxa"/>
              <w:start w:w="80" w:type="dxa"/>
              <w:bottom w:w="70" w:type="dxa"/>
              <w:end w:w="80" w:type="dxa"/>
            </w:tcMar>
          </w:tcPr>
          <w:p>
            <w:pPr>
              <w:jc w:val="center"/>
            </w:pPr>
            <w:r>
              <w:rPr>
                <w:b/>
                <w:color w:val="FFFFFF"/>
                <w:sz w:val="17"/>
              </w:rPr>
              <w:t>Required action</w:t>
            </w:r>
          </w:p>
        </w:tc>
      </w:tr>
      <w:tr>
        <w:trPr>
          <w:cantSplit/>
        </w:trPr>
        <w:tc>
          <w:tcPr>
            <w:tcW w:type="dxa" w:w="1440"/>
            <w:vAlign w:val="center"/>
            <w:tcMar>
              <w:top w:w="70" w:type="dxa"/>
              <w:start w:w="80" w:type="dxa"/>
              <w:bottom w:w="70" w:type="dxa"/>
              <w:end w:w="80" w:type="dxa"/>
            </w:tcMar>
          </w:tcPr>
          <w:p>
            <w:r>
              <w:rPr>
                <w:sz w:val="17"/>
              </w:rPr>
              <w:t>Green</w:t>
            </w:r>
          </w:p>
        </w:tc>
        <w:tc>
          <w:tcPr>
            <w:tcW w:type="dxa" w:w="4320"/>
            <w:vAlign w:val="center"/>
            <w:tcMar>
              <w:top w:w="70" w:type="dxa"/>
              <w:start w:w="80" w:type="dxa"/>
              <w:bottom w:w="70" w:type="dxa"/>
              <w:end w:w="80" w:type="dxa"/>
            </w:tcMar>
          </w:tcPr>
          <w:p>
            <w:r>
              <w:rPr>
                <w:sz w:val="17"/>
              </w:rPr>
              <w:t>Meets or exceeds target</w:t>
            </w:r>
          </w:p>
        </w:tc>
        <w:tc>
          <w:tcPr>
            <w:tcW w:type="dxa" w:w="3744"/>
            <w:vAlign w:val="center"/>
            <w:tcMar>
              <w:top w:w="70" w:type="dxa"/>
              <w:start w:w="80" w:type="dxa"/>
              <w:bottom w:w="70" w:type="dxa"/>
              <w:end w:w="80" w:type="dxa"/>
            </w:tcMar>
          </w:tcPr>
          <w:p>
            <w:r>
              <w:rPr>
                <w:sz w:val="17"/>
              </w:rPr>
              <w:t>Continue monitoring; standardize successful practice</w:t>
            </w:r>
          </w:p>
        </w:tc>
      </w:tr>
      <w:tr>
        <w:trPr>
          <w:cantSplit/>
        </w:trPr>
        <w:tc>
          <w:tcPr>
            <w:tcW w:type="dxa" w:w="1440"/>
            <w:vAlign w:val="center"/>
            <w:tcMar>
              <w:top w:w="70" w:type="dxa"/>
              <w:start w:w="80" w:type="dxa"/>
              <w:bottom w:w="70" w:type="dxa"/>
              <w:end w:w="80" w:type="dxa"/>
            </w:tcMar>
            <w:shd w:fill="F8FAFC"/>
          </w:tcPr>
          <w:p>
            <w:r>
              <w:rPr>
                <w:sz w:val="17"/>
              </w:rPr>
              <w:t>Amber</w:t>
            </w:r>
          </w:p>
        </w:tc>
        <w:tc>
          <w:tcPr>
            <w:tcW w:type="dxa" w:w="4320"/>
            <w:vAlign w:val="center"/>
            <w:tcMar>
              <w:top w:w="70" w:type="dxa"/>
              <w:start w:w="80" w:type="dxa"/>
              <w:bottom w:w="70" w:type="dxa"/>
              <w:end w:w="80" w:type="dxa"/>
            </w:tcMar>
            <w:shd w:fill="F8FAFC"/>
          </w:tcPr>
          <w:p>
            <w:r>
              <w:rPr>
                <w:sz w:val="17"/>
              </w:rPr>
              <w:t>Within 5-10% of target or negative trend for two periods</w:t>
            </w:r>
          </w:p>
        </w:tc>
        <w:tc>
          <w:tcPr>
            <w:tcW w:type="dxa" w:w="3744"/>
            <w:vAlign w:val="center"/>
            <w:tcMar>
              <w:top w:w="70" w:type="dxa"/>
              <w:start w:w="80" w:type="dxa"/>
              <w:bottom w:w="70" w:type="dxa"/>
              <w:end w:w="80" w:type="dxa"/>
            </w:tcMar>
            <w:shd w:fill="F8FAFC"/>
          </w:tcPr>
          <w:p>
            <w:r>
              <w:rPr>
                <w:sz w:val="17"/>
              </w:rPr>
              <w:t>Root-cause review and owner action plan</w:t>
            </w:r>
          </w:p>
        </w:tc>
      </w:tr>
      <w:tr>
        <w:trPr>
          <w:cantSplit/>
        </w:trPr>
        <w:tc>
          <w:tcPr>
            <w:tcW w:type="dxa" w:w="1440"/>
            <w:vAlign w:val="center"/>
            <w:tcMar>
              <w:top w:w="70" w:type="dxa"/>
              <w:start w:w="80" w:type="dxa"/>
              <w:bottom w:w="70" w:type="dxa"/>
              <w:end w:w="80" w:type="dxa"/>
            </w:tcMar>
          </w:tcPr>
          <w:p>
            <w:r>
              <w:rPr>
                <w:sz w:val="17"/>
              </w:rPr>
              <w:t>Red</w:t>
            </w:r>
          </w:p>
        </w:tc>
        <w:tc>
          <w:tcPr>
            <w:tcW w:type="dxa" w:w="4320"/>
            <w:vAlign w:val="center"/>
            <w:tcMar>
              <w:top w:w="70" w:type="dxa"/>
              <w:start w:w="80" w:type="dxa"/>
              <w:bottom w:w="70" w:type="dxa"/>
              <w:end w:w="80" w:type="dxa"/>
            </w:tcMar>
          </w:tcPr>
          <w:p>
            <w:r>
              <w:rPr>
                <w:sz w:val="17"/>
              </w:rPr>
              <w:t>More than 10% away from target or service-critical breach</w:t>
            </w:r>
          </w:p>
        </w:tc>
        <w:tc>
          <w:tcPr>
            <w:tcW w:type="dxa" w:w="3744"/>
            <w:vAlign w:val="center"/>
            <w:tcMar>
              <w:top w:w="70" w:type="dxa"/>
              <w:start w:w="80" w:type="dxa"/>
              <w:bottom w:w="70" w:type="dxa"/>
              <w:end w:w="80" w:type="dxa"/>
            </w:tcMar>
          </w:tcPr>
          <w:p>
            <w:r>
              <w:rPr>
                <w:sz w:val="17"/>
              </w:rPr>
              <w:t>Immediate corrective action, escalation and next-cycle verification</w:t>
            </w:r>
          </w:p>
        </w:tc>
      </w:tr>
    </w:tbl>
    <w:p>
      <w:r>
        <w:drawing>
          <wp:inline xmlns:a="http://schemas.openxmlformats.org/drawingml/2006/main" xmlns:pic="http://schemas.openxmlformats.org/drawingml/2006/picture">
            <wp:extent cx="6309360" cy="3259114"/>
            <wp:docPr id="2" name="Picture 2"/>
            <wp:cNvGraphicFramePr>
              <a:graphicFrameLocks noChangeAspect="1"/>
            </wp:cNvGraphicFramePr>
            <a:graphic>
              <a:graphicData uri="http://schemas.openxmlformats.org/drawingml/2006/picture">
                <pic:pic>
                  <pic:nvPicPr>
                    <pic:cNvPr id="0" name="escalation_flow.png"/>
                    <pic:cNvPicPr/>
                  </pic:nvPicPr>
                  <pic:blipFill>
                    <a:blip r:embed="rId12"/>
                    <a:stretch>
                      <a:fillRect/>
                    </a:stretch>
                  </pic:blipFill>
                  <pic:spPr>
                    <a:xfrm>
                      <a:off x="0" y="0"/>
                      <a:ext cx="6309360" cy="3259114"/>
                    </a:xfrm>
                    <a:prstGeom prst="rect"/>
                  </pic:spPr>
                </pic:pic>
              </a:graphicData>
            </a:graphic>
          </wp:inline>
        </w:drawing>
      </w:r>
    </w:p>
    <w:p>
      <w:pPr>
        <w:jc w:val="center"/>
      </w:pPr>
      <w:r>
        <w:rPr>
          <w:i/>
          <w:color w:val="5A5A5A"/>
          <w:sz w:val="17"/>
        </w:rPr>
        <w:t>Figure 2. KPI threshold and escalation logic</w:t>
      </w:r>
    </w:p>
    <w:p>
      <w:pPr>
        <w:pStyle w:val="Heading1"/>
      </w:pPr>
      <w:r>
        <w:t>5. KPI Dictionary, Formulas and Targets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1800"/>
            <w:shd w:fill="17365D"/>
            <w:vAlign w:val="center"/>
            <w:tcMar>
              <w:top w:w="70" w:type="dxa"/>
              <w:start w:w="80" w:type="dxa"/>
              <w:bottom w:w="70" w:type="dxa"/>
              <w:end w:w="80" w:type="dxa"/>
            </w:tcMar>
          </w:tcPr>
          <w:p>
            <w:pPr>
              <w:jc w:val="center"/>
            </w:pPr>
            <w:r>
              <w:rPr>
                <w:b/>
                <w:color w:val="FFFFFF"/>
                <w:sz w:val="15"/>
              </w:rPr>
              <w:t>KPI</w:t>
            </w:r>
          </w:p>
        </w:tc>
        <w:tc>
          <w:tcPr>
            <w:tcW w:type="dxa" w:w="4176"/>
            <w:shd w:fill="17365D"/>
            <w:vAlign w:val="center"/>
            <w:tcMar>
              <w:top w:w="70" w:type="dxa"/>
              <w:start w:w="80" w:type="dxa"/>
              <w:bottom w:w="70" w:type="dxa"/>
              <w:end w:w="80" w:type="dxa"/>
            </w:tcMar>
          </w:tcPr>
          <w:p>
            <w:pPr>
              <w:jc w:val="center"/>
            </w:pPr>
            <w:r>
              <w:rPr>
                <w:b/>
                <w:color w:val="FFFFFF"/>
                <w:sz w:val="15"/>
              </w:rPr>
              <w:t>Formula</w:t>
            </w:r>
          </w:p>
        </w:tc>
        <w:tc>
          <w:tcPr>
            <w:tcW w:type="dxa" w:w="1440"/>
            <w:shd w:fill="17365D"/>
            <w:vAlign w:val="center"/>
            <w:tcMar>
              <w:top w:w="70" w:type="dxa"/>
              <w:start w:w="80" w:type="dxa"/>
              <w:bottom w:w="70" w:type="dxa"/>
              <w:end w:w="80" w:type="dxa"/>
            </w:tcMar>
          </w:tcPr>
          <w:p>
            <w:pPr>
              <w:jc w:val="center"/>
            </w:pPr>
            <w:r>
              <w:rPr>
                <w:b/>
                <w:color w:val="FFFFFF"/>
                <w:sz w:val="15"/>
              </w:rPr>
              <w:t>Target</w:t>
            </w:r>
          </w:p>
        </w:tc>
        <w:tc>
          <w:tcPr>
            <w:tcW w:type="dxa" w:w="1008"/>
            <w:shd w:fill="17365D"/>
            <w:vAlign w:val="center"/>
            <w:tcMar>
              <w:top w:w="70" w:type="dxa"/>
              <w:start w:w="80" w:type="dxa"/>
              <w:bottom w:w="70" w:type="dxa"/>
              <w:end w:w="80" w:type="dxa"/>
            </w:tcMar>
          </w:tcPr>
          <w:p>
            <w:pPr>
              <w:jc w:val="center"/>
            </w:pPr>
            <w:r>
              <w:rPr>
                <w:b/>
                <w:color w:val="FFFFFF"/>
                <w:sz w:val="15"/>
              </w:rPr>
              <w:t>Weight</w:t>
            </w:r>
          </w:p>
        </w:tc>
        <w:tc>
          <w:tcPr>
            <w:tcW w:type="dxa" w:w="1440"/>
            <w:shd w:fill="17365D"/>
            <w:vAlign w:val="center"/>
            <w:tcMar>
              <w:top w:w="70" w:type="dxa"/>
              <w:start w:w="80" w:type="dxa"/>
              <w:bottom w:w="70" w:type="dxa"/>
              <w:end w:w="80" w:type="dxa"/>
            </w:tcMar>
          </w:tcPr>
          <w:p>
            <w:pPr>
              <w:jc w:val="center"/>
            </w:pPr>
            <w:r>
              <w:rPr>
                <w:b/>
                <w:color w:val="FFFFFF"/>
                <w:sz w:val="15"/>
              </w:rPr>
              <w:t>Dimension</w:t>
            </w:r>
          </w:p>
        </w:tc>
      </w:tr>
      <w:tr>
        <w:trPr>
          <w:cantSplit/>
        </w:trPr>
        <w:tc>
          <w:tcPr>
            <w:tcW w:type="dxa" w:w="1800"/>
            <w:vAlign w:val="center"/>
            <w:tcMar>
              <w:top w:w="70" w:type="dxa"/>
              <w:start w:w="80" w:type="dxa"/>
              <w:bottom w:w="70" w:type="dxa"/>
              <w:end w:w="80" w:type="dxa"/>
            </w:tcMar>
          </w:tcPr>
          <w:p>
            <w:r>
              <w:rPr>
                <w:sz w:val="15"/>
              </w:rPr>
              <w:t>OTIF</w:t>
            </w:r>
          </w:p>
        </w:tc>
        <w:tc>
          <w:tcPr>
            <w:tcW w:type="dxa" w:w="4176"/>
            <w:vAlign w:val="center"/>
            <w:tcMar>
              <w:top w:w="70" w:type="dxa"/>
              <w:start w:w="80" w:type="dxa"/>
              <w:bottom w:w="70" w:type="dxa"/>
              <w:end w:w="80" w:type="dxa"/>
            </w:tcMar>
          </w:tcPr>
          <w:p>
            <w:r>
              <w:rPr>
                <w:sz w:val="15"/>
              </w:rPr>
              <w:t>Orders delivered on time and in full / total delivered orders x 100</w:t>
            </w:r>
          </w:p>
        </w:tc>
        <w:tc>
          <w:tcPr>
            <w:tcW w:type="dxa" w:w="1440"/>
            <w:vAlign w:val="center"/>
            <w:tcMar>
              <w:top w:w="70" w:type="dxa"/>
              <w:start w:w="80" w:type="dxa"/>
              <w:bottom w:w="70" w:type="dxa"/>
              <w:end w:w="80" w:type="dxa"/>
            </w:tcMar>
          </w:tcPr>
          <w:p>
            <w:r>
              <w:rPr>
                <w:sz w:val="15"/>
              </w:rPr>
              <w:t>&gt;=95%</w:t>
            </w:r>
          </w:p>
        </w:tc>
        <w:tc>
          <w:tcPr>
            <w:tcW w:type="dxa" w:w="1008"/>
            <w:vAlign w:val="center"/>
            <w:tcMar>
              <w:top w:w="70" w:type="dxa"/>
              <w:start w:w="80" w:type="dxa"/>
              <w:bottom w:w="70" w:type="dxa"/>
              <w:end w:w="80" w:type="dxa"/>
            </w:tcMar>
          </w:tcPr>
          <w:p>
            <w:r>
              <w:rPr>
                <w:sz w:val="15"/>
              </w:rPr>
              <w:t>20%</w:t>
            </w:r>
          </w:p>
        </w:tc>
        <w:tc>
          <w:tcPr>
            <w:tcW w:type="dxa" w:w="1440"/>
            <w:vAlign w:val="center"/>
            <w:tcMar>
              <w:top w:w="70" w:type="dxa"/>
              <w:start w:w="80" w:type="dxa"/>
              <w:bottom w:w="70" w:type="dxa"/>
              <w:end w:w="80" w:type="dxa"/>
            </w:tcMar>
          </w:tcPr>
          <w:p>
            <w:r>
              <w:rPr>
                <w:sz w:val="15"/>
              </w:rPr>
              <w:t>Customer service</w:t>
            </w:r>
          </w:p>
        </w:tc>
      </w:tr>
      <w:tr>
        <w:trPr>
          <w:cantSplit/>
        </w:trPr>
        <w:tc>
          <w:tcPr>
            <w:tcW w:type="dxa" w:w="1800"/>
            <w:vAlign w:val="center"/>
            <w:tcMar>
              <w:top w:w="70" w:type="dxa"/>
              <w:start w:w="80" w:type="dxa"/>
              <w:bottom w:w="70" w:type="dxa"/>
              <w:end w:w="80" w:type="dxa"/>
            </w:tcMar>
            <w:shd w:fill="F8FAFC"/>
          </w:tcPr>
          <w:p>
            <w:r>
              <w:rPr>
                <w:sz w:val="15"/>
              </w:rPr>
              <w:t>Order accuracy</w:t>
            </w:r>
          </w:p>
        </w:tc>
        <w:tc>
          <w:tcPr>
            <w:tcW w:type="dxa" w:w="4176"/>
            <w:vAlign w:val="center"/>
            <w:tcMar>
              <w:top w:w="70" w:type="dxa"/>
              <w:start w:w="80" w:type="dxa"/>
              <w:bottom w:w="70" w:type="dxa"/>
              <w:end w:w="80" w:type="dxa"/>
            </w:tcMar>
            <w:shd w:fill="F8FAFC"/>
          </w:tcPr>
          <w:p>
            <w:r>
              <w:rPr>
                <w:sz w:val="15"/>
              </w:rPr>
              <w:t>Correct orders / total orders shipped x 100</w:t>
            </w:r>
          </w:p>
        </w:tc>
        <w:tc>
          <w:tcPr>
            <w:tcW w:type="dxa" w:w="1440"/>
            <w:vAlign w:val="center"/>
            <w:tcMar>
              <w:top w:w="70" w:type="dxa"/>
              <w:start w:w="80" w:type="dxa"/>
              <w:bottom w:w="70" w:type="dxa"/>
              <w:end w:w="80" w:type="dxa"/>
            </w:tcMar>
            <w:shd w:fill="F8FAFC"/>
          </w:tcPr>
          <w:p>
            <w:r>
              <w:rPr>
                <w:sz w:val="15"/>
              </w:rPr>
              <w:t>&gt;=99.5%</w:t>
            </w:r>
          </w:p>
        </w:tc>
        <w:tc>
          <w:tcPr>
            <w:tcW w:type="dxa" w:w="1008"/>
            <w:vAlign w:val="center"/>
            <w:tcMar>
              <w:top w:w="70" w:type="dxa"/>
              <w:start w:w="80" w:type="dxa"/>
              <w:bottom w:w="70" w:type="dxa"/>
              <w:end w:w="80" w:type="dxa"/>
            </w:tcMar>
            <w:shd w:fill="F8FAFC"/>
          </w:tcPr>
          <w:p>
            <w:r>
              <w:rPr>
                <w:sz w:val="15"/>
              </w:rPr>
              <w:t>10%</w:t>
            </w:r>
          </w:p>
        </w:tc>
        <w:tc>
          <w:tcPr>
            <w:tcW w:type="dxa" w:w="1440"/>
            <w:vAlign w:val="center"/>
            <w:tcMar>
              <w:top w:w="70" w:type="dxa"/>
              <w:start w:w="80" w:type="dxa"/>
              <w:bottom w:w="70" w:type="dxa"/>
              <w:end w:w="80" w:type="dxa"/>
            </w:tcMar>
            <w:shd w:fill="F8FAFC"/>
          </w:tcPr>
          <w:p>
            <w:r>
              <w:rPr>
                <w:sz w:val="15"/>
              </w:rPr>
              <w:t>Customer service</w:t>
            </w:r>
          </w:p>
        </w:tc>
      </w:tr>
      <w:tr>
        <w:trPr>
          <w:cantSplit/>
        </w:trPr>
        <w:tc>
          <w:tcPr>
            <w:tcW w:type="dxa" w:w="1800"/>
            <w:vAlign w:val="center"/>
            <w:tcMar>
              <w:top w:w="70" w:type="dxa"/>
              <w:start w:w="80" w:type="dxa"/>
              <w:bottom w:w="70" w:type="dxa"/>
              <w:end w:w="80" w:type="dxa"/>
            </w:tcMar>
          </w:tcPr>
          <w:p>
            <w:r>
              <w:rPr>
                <w:sz w:val="15"/>
              </w:rPr>
              <w:t>Inventory turnover</w:t>
            </w:r>
          </w:p>
        </w:tc>
        <w:tc>
          <w:tcPr>
            <w:tcW w:type="dxa" w:w="4176"/>
            <w:vAlign w:val="center"/>
            <w:tcMar>
              <w:top w:w="70" w:type="dxa"/>
              <w:start w:w="80" w:type="dxa"/>
              <w:bottom w:w="70" w:type="dxa"/>
              <w:end w:w="80" w:type="dxa"/>
            </w:tcMar>
          </w:tcPr>
          <w:p>
            <w:r>
              <w:rPr>
                <w:sz w:val="15"/>
              </w:rPr>
              <w:t>Annualized COGS / average inventory value</w:t>
            </w:r>
          </w:p>
        </w:tc>
        <w:tc>
          <w:tcPr>
            <w:tcW w:type="dxa" w:w="1440"/>
            <w:vAlign w:val="center"/>
            <w:tcMar>
              <w:top w:w="70" w:type="dxa"/>
              <w:start w:w="80" w:type="dxa"/>
              <w:bottom w:w="70" w:type="dxa"/>
              <w:end w:w="80" w:type="dxa"/>
            </w:tcMar>
          </w:tcPr>
          <w:p>
            <w:r>
              <w:rPr>
                <w:sz w:val="15"/>
              </w:rPr>
              <w:t>&gt;=7.5x</w:t>
            </w:r>
          </w:p>
        </w:tc>
        <w:tc>
          <w:tcPr>
            <w:tcW w:type="dxa" w:w="1008"/>
            <w:vAlign w:val="center"/>
            <w:tcMar>
              <w:top w:w="70" w:type="dxa"/>
              <w:start w:w="80" w:type="dxa"/>
              <w:bottom w:w="70" w:type="dxa"/>
              <w:end w:w="80" w:type="dxa"/>
            </w:tcMar>
          </w:tcPr>
          <w:p>
            <w:r>
              <w:rPr>
                <w:sz w:val="15"/>
              </w:rPr>
              <w:t>10%</w:t>
            </w:r>
          </w:p>
        </w:tc>
        <w:tc>
          <w:tcPr>
            <w:tcW w:type="dxa" w:w="1440"/>
            <w:vAlign w:val="center"/>
            <w:tcMar>
              <w:top w:w="70" w:type="dxa"/>
              <w:start w:w="80" w:type="dxa"/>
              <w:bottom w:w="70" w:type="dxa"/>
              <w:end w:w="80" w:type="dxa"/>
            </w:tcMar>
          </w:tcPr>
          <w:p>
            <w:r>
              <w:rPr>
                <w:sz w:val="15"/>
              </w:rPr>
              <w:t>Inventory</w:t>
            </w:r>
          </w:p>
        </w:tc>
      </w:tr>
      <w:tr>
        <w:trPr>
          <w:cantSplit/>
        </w:trPr>
        <w:tc>
          <w:tcPr>
            <w:tcW w:type="dxa" w:w="1800"/>
            <w:vAlign w:val="center"/>
            <w:tcMar>
              <w:top w:w="70" w:type="dxa"/>
              <w:start w:w="80" w:type="dxa"/>
              <w:bottom w:w="70" w:type="dxa"/>
              <w:end w:w="80" w:type="dxa"/>
            </w:tcMar>
            <w:shd w:fill="F8FAFC"/>
          </w:tcPr>
          <w:p>
            <w:r>
              <w:rPr>
                <w:sz w:val="15"/>
              </w:rPr>
              <w:t>Truck utilization</w:t>
            </w:r>
          </w:p>
        </w:tc>
        <w:tc>
          <w:tcPr>
            <w:tcW w:type="dxa" w:w="4176"/>
            <w:vAlign w:val="center"/>
            <w:tcMar>
              <w:top w:w="70" w:type="dxa"/>
              <w:start w:w="80" w:type="dxa"/>
              <w:bottom w:w="70" w:type="dxa"/>
              <w:end w:w="80" w:type="dxa"/>
            </w:tcMar>
            <w:shd w:fill="F8FAFC"/>
          </w:tcPr>
          <w:p>
            <w:r>
              <w:rPr>
                <w:sz w:val="15"/>
              </w:rPr>
              <w:t>Loaded weight or volume / usable capacity x 100</w:t>
            </w:r>
          </w:p>
        </w:tc>
        <w:tc>
          <w:tcPr>
            <w:tcW w:type="dxa" w:w="1440"/>
            <w:vAlign w:val="center"/>
            <w:tcMar>
              <w:top w:w="70" w:type="dxa"/>
              <w:start w:w="80" w:type="dxa"/>
              <w:bottom w:w="70" w:type="dxa"/>
              <w:end w:w="80" w:type="dxa"/>
            </w:tcMar>
            <w:shd w:fill="F8FAFC"/>
          </w:tcPr>
          <w:p>
            <w:r>
              <w:rPr>
                <w:sz w:val="15"/>
              </w:rPr>
              <w:t>&gt;=90%</w:t>
            </w:r>
          </w:p>
        </w:tc>
        <w:tc>
          <w:tcPr>
            <w:tcW w:type="dxa" w:w="1008"/>
            <w:vAlign w:val="center"/>
            <w:tcMar>
              <w:top w:w="70" w:type="dxa"/>
              <w:start w:w="80" w:type="dxa"/>
              <w:bottom w:w="70" w:type="dxa"/>
              <w:end w:w="80" w:type="dxa"/>
            </w:tcMar>
            <w:shd w:fill="F8FAFC"/>
          </w:tcPr>
          <w:p>
            <w:r>
              <w:rPr>
                <w:sz w:val="15"/>
              </w:rPr>
              <w:t>10%</w:t>
            </w:r>
          </w:p>
        </w:tc>
        <w:tc>
          <w:tcPr>
            <w:tcW w:type="dxa" w:w="1440"/>
            <w:vAlign w:val="center"/>
            <w:tcMar>
              <w:top w:w="70" w:type="dxa"/>
              <w:start w:w="80" w:type="dxa"/>
              <w:bottom w:w="70" w:type="dxa"/>
              <w:end w:w="80" w:type="dxa"/>
            </w:tcMar>
            <w:shd w:fill="F8FAFC"/>
          </w:tcPr>
          <w:p>
            <w:r>
              <w:rPr>
                <w:sz w:val="15"/>
              </w:rPr>
              <w:t>Transportation</w:t>
            </w:r>
          </w:p>
        </w:tc>
      </w:tr>
      <w:tr>
        <w:trPr>
          <w:cantSplit/>
        </w:trPr>
        <w:tc>
          <w:tcPr>
            <w:tcW w:type="dxa" w:w="1800"/>
            <w:vAlign w:val="center"/>
            <w:tcMar>
              <w:top w:w="70" w:type="dxa"/>
              <w:start w:w="80" w:type="dxa"/>
              <w:bottom w:w="70" w:type="dxa"/>
              <w:end w:w="80" w:type="dxa"/>
            </w:tcMar>
          </w:tcPr>
          <w:p>
            <w:r>
              <w:rPr>
                <w:sz w:val="15"/>
              </w:rPr>
              <w:t>Pick accuracy</w:t>
            </w:r>
          </w:p>
        </w:tc>
        <w:tc>
          <w:tcPr>
            <w:tcW w:type="dxa" w:w="4176"/>
            <w:vAlign w:val="center"/>
            <w:tcMar>
              <w:top w:w="70" w:type="dxa"/>
              <w:start w:w="80" w:type="dxa"/>
              <w:bottom w:w="70" w:type="dxa"/>
              <w:end w:w="80" w:type="dxa"/>
            </w:tcMar>
          </w:tcPr>
          <w:p>
            <w:r>
              <w:rPr>
                <w:sz w:val="15"/>
              </w:rPr>
              <w:t>Correct picks / total picks x 100</w:t>
            </w:r>
          </w:p>
        </w:tc>
        <w:tc>
          <w:tcPr>
            <w:tcW w:type="dxa" w:w="1440"/>
            <w:vAlign w:val="center"/>
            <w:tcMar>
              <w:top w:w="70" w:type="dxa"/>
              <w:start w:w="80" w:type="dxa"/>
              <w:bottom w:w="70" w:type="dxa"/>
              <w:end w:w="80" w:type="dxa"/>
            </w:tcMar>
          </w:tcPr>
          <w:p>
            <w:r>
              <w:rPr>
                <w:sz w:val="15"/>
              </w:rPr>
              <w:t>&gt;=99.5%</w:t>
            </w:r>
          </w:p>
        </w:tc>
        <w:tc>
          <w:tcPr>
            <w:tcW w:type="dxa" w:w="1008"/>
            <w:vAlign w:val="center"/>
            <w:tcMar>
              <w:top w:w="70" w:type="dxa"/>
              <w:start w:w="80" w:type="dxa"/>
              <w:bottom w:w="70" w:type="dxa"/>
              <w:end w:w="80" w:type="dxa"/>
            </w:tcMar>
          </w:tcPr>
          <w:p>
            <w:r>
              <w:rPr>
                <w:sz w:val="15"/>
              </w:rPr>
              <w:t>10%</w:t>
            </w:r>
          </w:p>
        </w:tc>
        <w:tc>
          <w:tcPr>
            <w:tcW w:type="dxa" w:w="1440"/>
            <w:vAlign w:val="center"/>
            <w:tcMar>
              <w:top w:w="70" w:type="dxa"/>
              <w:start w:w="80" w:type="dxa"/>
              <w:bottom w:w="70" w:type="dxa"/>
              <w:end w:w="80" w:type="dxa"/>
            </w:tcMar>
          </w:tcPr>
          <w:p>
            <w:r>
              <w:rPr>
                <w:sz w:val="15"/>
              </w:rPr>
              <w:t>Warehouse</w:t>
            </w:r>
          </w:p>
        </w:tc>
      </w:tr>
      <w:tr>
        <w:trPr>
          <w:cantSplit/>
        </w:trPr>
        <w:tc>
          <w:tcPr>
            <w:tcW w:type="dxa" w:w="1800"/>
            <w:vAlign w:val="center"/>
            <w:tcMar>
              <w:top w:w="70" w:type="dxa"/>
              <w:start w:w="80" w:type="dxa"/>
              <w:bottom w:w="70" w:type="dxa"/>
              <w:end w:w="80" w:type="dxa"/>
            </w:tcMar>
            <w:shd w:fill="F8FAFC"/>
          </w:tcPr>
          <w:p>
            <w:r>
              <w:rPr>
                <w:sz w:val="15"/>
              </w:rPr>
              <w:t>Dock turnaround</w:t>
            </w:r>
          </w:p>
        </w:tc>
        <w:tc>
          <w:tcPr>
            <w:tcW w:type="dxa" w:w="4176"/>
            <w:vAlign w:val="center"/>
            <w:tcMar>
              <w:top w:w="70" w:type="dxa"/>
              <w:start w:w="80" w:type="dxa"/>
              <w:bottom w:w="70" w:type="dxa"/>
              <w:end w:w="80" w:type="dxa"/>
            </w:tcMar>
            <w:shd w:fill="F8FAFC"/>
          </w:tcPr>
          <w:p>
            <w:r>
              <w:rPr>
                <w:sz w:val="15"/>
              </w:rPr>
              <w:t>Gate-in to gate-out elapsed minutes</w:t>
            </w:r>
          </w:p>
        </w:tc>
        <w:tc>
          <w:tcPr>
            <w:tcW w:type="dxa" w:w="1440"/>
            <w:vAlign w:val="center"/>
            <w:tcMar>
              <w:top w:w="70" w:type="dxa"/>
              <w:start w:w="80" w:type="dxa"/>
              <w:bottom w:w="70" w:type="dxa"/>
              <w:end w:w="80" w:type="dxa"/>
            </w:tcMar>
            <w:shd w:fill="F8FAFC"/>
          </w:tcPr>
          <w:p>
            <w:r>
              <w:rPr>
                <w:sz w:val="15"/>
              </w:rPr>
              <w:t>&lt;=80 min</w:t>
            </w:r>
          </w:p>
        </w:tc>
        <w:tc>
          <w:tcPr>
            <w:tcW w:type="dxa" w:w="1008"/>
            <w:vAlign w:val="center"/>
            <w:tcMar>
              <w:top w:w="70" w:type="dxa"/>
              <w:start w:w="80" w:type="dxa"/>
              <w:bottom w:w="70" w:type="dxa"/>
              <w:end w:w="80" w:type="dxa"/>
            </w:tcMar>
            <w:shd w:fill="F8FAFC"/>
          </w:tcPr>
          <w:p>
            <w:r>
              <w:rPr>
                <w:sz w:val="15"/>
              </w:rPr>
              <w:t>10%</w:t>
            </w:r>
          </w:p>
        </w:tc>
        <w:tc>
          <w:tcPr>
            <w:tcW w:type="dxa" w:w="1440"/>
            <w:vAlign w:val="center"/>
            <w:tcMar>
              <w:top w:w="70" w:type="dxa"/>
              <w:start w:w="80" w:type="dxa"/>
              <w:bottom w:w="70" w:type="dxa"/>
              <w:end w:w="80" w:type="dxa"/>
            </w:tcMar>
            <w:shd w:fill="F8FAFC"/>
          </w:tcPr>
          <w:p>
            <w:r>
              <w:rPr>
                <w:sz w:val="15"/>
              </w:rPr>
              <w:t>Warehouse</w:t>
            </w:r>
          </w:p>
        </w:tc>
      </w:tr>
      <w:tr>
        <w:trPr>
          <w:cantSplit/>
        </w:trPr>
        <w:tc>
          <w:tcPr>
            <w:tcW w:type="dxa" w:w="1800"/>
            <w:vAlign w:val="center"/>
            <w:tcMar>
              <w:top w:w="70" w:type="dxa"/>
              <w:start w:w="80" w:type="dxa"/>
              <w:bottom w:w="70" w:type="dxa"/>
              <w:end w:w="80" w:type="dxa"/>
            </w:tcMar>
          </w:tcPr>
          <w:p>
            <w:r>
              <w:rPr>
                <w:sz w:val="15"/>
              </w:rPr>
              <w:t>Stock-out rate</w:t>
            </w:r>
          </w:p>
        </w:tc>
        <w:tc>
          <w:tcPr>
            <w:tcW w:type="dxa" w:w="4176"/>
            <w:vAlign w:val="center"/>
            <w:tcMar>
              <w:top w:w="70" w:type="dxa"/>
              <w:start w:w="80" w:type="dxa"/>
              <w:bottom w:w="70" w:type="dxa"/>
              <w:end w:w="80" w:type="dxa"/>
            </w:tcMar>
          </w:tcPr>
          <w:p>
            <w:r>
              <w:rPr>
                <w:sz w:val="15"/>
              </w:rPr>
              <w:t>Stock-out affected order lines / total order lines x 100</w:t>
            </w:r>
          </w:p>
        </w:tc>
        <w:tc>
          <w:tcPr>
            <w:tcW w:type="dxa" w:w="1440"/>
            <w:vAlign w:val="center"/>
            <w:tcMar>
              <w:top w:w="70" w:type="dxa"/>
              <w:start w:w="80" w:type="dxa"/>
              <w:bottom w:w="70" w:type="dxa"/>
              <w:end w:w="80" w:type="dxa"/>
            </w:tcMar>
          </w:tcPr>
          <w:p>
            <w:r>
              <w:rPr>
                <w:sz w:val="15"/>
              </w:rPr>
              <w:t>&lt;=3%</w:t>
            </w:r>
          </w:p>
        </w:tc>
        <w:tc>
          <w:tcPr>
            <w:tcW w:type="dxa" w:w="1008"/>
            <w:vAlign w:val="center"/>
            <w:tcMar>
              <w:top w:w="70" w:type="dxa"/>
              <w:start w:w="80" w:type="dxa"/>
              <w:bottom w:w="70" w:type="dxa"/>
              <w:end w:w="80" w:type="dxa"/>
            </w:tcMar>
          </w:tcPr>
          <w:p>
            <w:r>
              <w:rPr>
                <w:sz w:val="15"/>
              </w:rPr>
              <w:t>10%</w:t>
            </w:r>
          </w:p>
        </w:tc>
        <w:tc>
          <w:tcPr>
            <w:tcW w:type="dxa" w:w="1440"/>
            <w:vAlign w:val="center"/>
            <w:tcMar>
              <w:top w:w="70" w:type="dxa"/>
              <w:start w:w="80" w:type="dxa"/>
              <w:bottom w:w="70" w:type="dxa"/>
              <w:end w:w="80" w:type="dxa"/>
            </w:tcMar>
          </w:tcPr>
          <w:p>
            <w:r>
              <w:rPr>
                <w:sz w:val="15"/>
              </w:rPr>
              <w:t>Inventory</w:t>
            </w:r>
          </w:p>
        </w:tc>
      </w:tr>
      <w:tr>
        <w:trPr>
          <w:cantSplit/>
        </w:trPr>
        <w:tc>
          <w:tcPr>
            <w:tcW w:type="dxa" w:w="1800"/>
            <w:vAlign w:val="center"/>
            <w:tcMar>
              <w:top w:w="70" w:type="dxa"/>
              <w:start w:w="80" w:type="dxa"/>
              <w:bottom w:w="70" w:type="dxa"/>
              <w:end w:w="80" w:type="dxa"/>
            </w:tcMar>
            <w:shd w:fill="F8FAFC"/>
          </w:tcPr>
          <w:p>
            <w:r>
              <w:rPr>
                <w:sz w:val="15"/>
              </w:rPr>
              <w:t>Freight cost/tonne</w:t>
            </w:r>
          </w:p>
        </w:tc>
        <w:tc>
          <w:tcPr>
            <w:tcW w:type="dxa" w:w="4176"/>
            <w:vAlign w:val="center"/>
            <w:tcMar>
              <w:top w:w="70" w:type="dxa"/>
              <w:start w:w="80" w:type="dxa"/>
              <w:bottom w:w="70" w:type="dxa"/>
              <w:end w:w="80" w:type="dxa"/>
            </w:tcMar>
            <w:shd w:fill="F8FAFC"/>
          </w:tcPr>
          <w:p>
            <w:r>
              <w:rPr>
                <w:sz w:val="15"/>
              </w:rPr>
              <w:t>Total freight cost / tonnes shipped</w:t>
            </w:r>
          </w:p>
        </w:tc>
        <w:tc>
          <w:tcPr>
            <w:tcW w:type="dxa" w:w="1440"/>
            <w:vAlign w:val="center"/>
            <w:tcMar>
              <w:top w:w="70" w:type="dxa"/>
              <w:start w:w="80" w:type="dxa"/>
              <w:bottom w:w="70" w:type="dxa"/>
              <w:end w:w="80" w:type="dxa"/>
            </w:tcMar>
            <w:shd w:fill="F8FAFC"/>
          </w:tcPr>
          <w:p>
            <w:r>
              <w:rPr>
                <w:sz w:val="15"/>
              </w:rPr>
              <w:t>&lt;=INR 1,900</w:t>
            </w:r>
          </w:p>
        </w:tc>
        <w:tc>
          <w:tcPr>
            <w:tcW w:type="dxa" w:w="1008"/>
            <w:vAlign w:val="center"/>
            <w:tcMar>
              <w:top w:w="70" w:type="dxa"/>
              <w:start w:w="80" w:type="dxa"/>
              <w:bottom w:w="70" w:type="dxa"/>
              <w:end w:w="80" w:type="dxa"/>
            </w:tcMar>
            <w:shd w:fill="F8FAFC"/>
          </w:tcPr>
          <w:p>
            <w:r>
              <w:rPr>
                <w:sz w:val="15"/>
              </w:rPr>
              <w:t>10%</w:t>
            </w:r>
          </w:p>
        </w:tc>
        <w:tc>
          <w:tcPr>
            <w:tcW w:type="dxa" w:w="1440"/>
            <w:vAlign w:val="center"/>
            <w:tcMar>
              <w:top w:w="70" w:type="dxa"/>
              <w:start w:w="80" w:type="dxa"/>
              <w:bottom w:w="70" w:type="dxa"/>
              <w:end w:w="80" w:type="dxa"/>
            </w:tcMar>
            <w:shd w:fill="F8FAFC"/>
          </w:tcPr>
          <w:p>
            <w:r>
              <w:rPr>
                <w:sz w:val="15"/>
              </w:rPr>
              <w:t>Transportation</w:t>
            </w:r>
          </w:p>
        </w:tc>
      </w:tr>
      <w:tr>
        <w:trPr>
          <w:cantSplit/>
        </w:trPr>
        <w:tc>
          <w:tcPr>
            <w:tcW w:type="dxa" w:w="1800"/>
            <w:vAlign w:val="center"/>
            <w:tcMar>
              <w:top w:w="70" w:type="dxa"/>
              <w:start w:w="80" w:type="dxa"/>
              <w:bottom w:w="70" w:type="dxa"/>
              <w:end w:w="80" w:type="dxa"/>
            </w:tcMar>
          </w:tcPr>
          <w:p>
            <w:r>
              <w:rPr>
                <w:sz w:val="15"/>
              </w:rPr>
              <w:t>Order cycle time</w:t>
            </w:r>
          </w:p>
        </w:tc>
        <w:tc>
          <w:tcPr>
            <w:tcW w:type="dxa" w:w="4176"/>
            <w:vAlign w:val="center"/>
            <w:tcMar>
              <w:top w:w="70" w:type="dxa"/>
              <w:start w:w="80" w:type="dxa"/>
              <w:bottom w:w="70" w:type="dxa"/>
              <w:end w:w="80" w:type="dxa"/>
            </w:tcMar>
          </w:tcPr>
          <w:p>
            <w:r>
              <w:rPr>
                <w:sz w:val="15"/>
              </w:rPr>
              <w:t>Order release to confirmed delivery elapsed hours</w:t>
            </w:r>
          </w:p>
        </w:tc>
        <w:tc>
          <w:tcPr>
            <w:tcW w:type="dxa" w:w="1440"/>
            <w:vAlign w:val="center"/>
            <w:tcMar>
              <w:top w:w="70" w:type="dxa"/>
              <w:start w:w="80" w:type="dxa"/>
              <w:bottom w:w="70" w:type="dxa"/>
              <w:end w:w="80" w:type="dxa"/>
            </w:tcMar>
          </w:tcPr>
          <w:p>
            <w:r>
              <w:rPr>
                <w:sz w:val="15"/>
              </w:rPr>
              <w:t>&lt;=40 h</w:t>
            </w:r>
          </w:p>
        </w:tc>
        <w:tc>
          <w:tcPr>
            <w:tcW w:type="dxa" w:w="1008"/>
            <w:vAlign w:val="center"/>
            <w:tcMar>
              <w:top w:w="70" w:type="dxa"/>
              <w:start w:w="80" w:type="dxa"/>
              <w:bottom w:w="70" w:type="dxa"/>
              <w:end w:w="80" w:type="dxa"/>
            </w:tcMar>
          </w:tcPr>
          <w:p>
            <w:r>
              <w:rPr>
                <w:sz w:val="15"/>
              </w:rPr>
              <w:t>5%</w:t>
            </w:r>
          </w:p>
        </w:tc>
        <w:tc>
          <w:tcPr>
            <w:tcW w:type="dxa" w:w="1440"/>
            <w:vAlign w:val="center"/>
            <w:tcMar>
              <w:top w:w="70" w:type="dxa"/>
              <w:start w:w="80" w:type="dxa"/>
              <w:bottom w:w="70" w:type="dxa"/>
              <w:end w:w="80" w:type="dxa"/>
            </w:tcMar>
          </w:tcPr>
          <w:p>
            <w:r>
              <w:rPr>
                <w:sz w:val="15"/>
              </w:rPr>
              <w:t>End-to-end</w:t>
            </w:r>
          </w:p>
        </w:tc>
      </w:tr>
      <w:tr>
        <w:trPr>
          <w:cantSplit/>
        </w:trPr>
        <w:tc>
          <w:tcPr>
            <w:tcW w:type="dxa" w:w="1800"/>
            <w:vAlign w:val="center"/>
            <w:tcMar>
              <w:top w:w="70" w:type="dxa"/>
              <w:start w:w="80" w:type="dxa"/>
              <w:bottom w:w="70" w:type="dxa"/>
              <w:end w:w="80" w:type="dxa"/>
            </w:tcMar>
            <w:shd w:fill="F8FAFC"/>
          </w:tcPr>
          <w:p>
            <w:r>
              <w:rPr>
                <w:sz w:val="15"/>
              </w:rPr>
              <w:t>Inventory accuracy</w:t>
            </w:r>
          </w:p>
        </w:tc>
        <w:tc>
          <w:tcPr>
            <w:tcW w:type="dxa" w:w="4176"/>
            <w:vAlign w:val="center"/>
            <w:tcMar>
              <w:top w:w="70" w:type="dxa"/>
              <w:start w:w="80" w:type="dxa"/>
              <w:bottom w:w="70" w:type="dxa"/>
              <w:end w:w="80" w:type="dxa"/>
            </w:tcMar>
            <w:shd w:fill="F8FAFC"/>
          </w:tcPr>
          <w:p>
            <w:r>
              <w:rPr>
                <w:sz w:val="15"/>
              </w:rPr>
              <w:t>System quantity matching physical quantity / checked items x 100</w:t>
            </w:r>
          </w:p>
        </w:tc>
        <w:tc>
          <w:tcPr>
            <w:tcW w:type="dxa" w:w="1440"/>
            <w:vAlign w:val="center"/>
            <w:tcMar>
              <w:top w:w="70" w:type="dxa"/>
              <w:start w:w="80" w:type="dxa"/>
              <w:bottom w:w="70" w:type="dxa"/>
              <w:end w:w="80" w:type="dxa"/>
            </w:tcMar>
            <w:shd w:fill="F8FAFC"/>
          </w:tcPr>
          <w:p>
            <w:r>
              <w:rPr>
                <w:sz w:val="15"/>
              </w:rPr>
              <w:t>&gt;=99.5%</w:t>
            </w:r>
          </w:p>
        </w:tc>
        <w:tc>
          <w:tcPr>
            <w:tcW w:type="dxa" w:w="1008"/>
            <w:vAlign w:val="center"/>
            <w:tcMar>
              <w:top w:w="70" w:type="dxa"/>
              <w:start w:w="80" w:type="dxa"/>
              <w:bottom w:w="70" w:type="dxa"/>
              <w:end w:w="80" w:type="dxa"/>
            </w:tcMar>
            <w:shd w:fill="F8FAFC"/>
          </w:tcPr>
          <w:p>
            <w:r>
              <w:rPr>
                <w:sz w:val="15"/>
              </w:rPr>
              <w:t>5%</w:t>
            </w:r>
          </w:p>
        </w:tc>
        <w:tc>
          <w:tcPr>
            <w:tcW w:type="dxa" w:w="1440"/>
            <w:vAlign w:val="center"/>
            <w:tcMar>
              <w:top w:w="70" w:type="dxa"/>
              <w:start w:w="80" w:type="dxa"/>
              <w:bottom w:w="70" w:type="dxa"/>
              <w:end w:w="80" w:type="dxa"/>
            </w:tcMar>
            <w:shd w:fill="F8FAFC"/>
          </w:tcPr>
          <w:p>
            <w:r>
              <w:rPr>
                <w:sz w:val="15"/>
              </w:rPr>
              <w:t>Inventory</w:t>
            </w:r>
          </w:p>
        </w:tc>
      </w:tr>
    </w:tbl>
    <w:p>
      <w:pPr>
        <w:pStyle w:val="Heading2"/>
      </w:pPr>
      <w:r>
        <w:t>5.1 Worked KPI calculations</w:t>
      </w:r>
    </w:p>
    <w:p>
      <w:pPr>
        <w:pStyle w:val="BodyText"/>
      </w:pPr>
      <w:r>
        <w:t>OTIF example: if 960 of 1,000 monthly orders are delivered both on time and in full, OTIF = 960 / 1,000 x 100 = 96%. The target is 95%, so the result is Green.</w:t>
      </w:r>
    </w:p>
    <w:p>
      <w:pPr>
        <w:pStyle w:val="BodyText"/>
      </w:pPr>
      <w:r>
        <w:t>Truck-utilization example: if a 16-tonne vehicle carries 15 tonnes of freight, utilization = 15 / 16 x 100 = 93.75%. This exceeds the 90% target. However, the shipment must still be checked against OTIF to make sure consolidation has not delayed dispatch.</w:t>
      </w:r>
    </w:p>
    <w:p>
      <w:pPr>
        <w:pStyle w:val="BodyText"/>
      </w:pPr>
      <w:r>
        <w:t>Dock-turnaround example: if the average gate-in to gate-out time falls from 110 minutes to 75 minutes, improvement = (110 - 75) / 110 x 100 = 31.8%. The target of 80 minutes is achieved.</w:t>
      </w:r>
    </w:p>
    <w:p>
      <w:pPr>
        <w:pStyle w:val="Heading1"/>
      </w:pPr>
      <w:r>
        <w:t>6. SAP Reporting Data Architecture</w:t>
      </w:r>
    </w:p>
    <w:p>
      <w:pPr>
        <w:pStyle w:val="BodyText"/>
      </w:pPr>
      <w:r>
        <w:t>The reporting model combines operational evidence from multiple SAP logistics components. The exact technical implementation depends on the organization's SAP release and architecture; this report therefore documents a conceptual integration pattern rather than claiming a live setup.</w:t>
      </w:r>
    </w:p>
    <w:p>
      <w:r>
        <w:drawing>
          <wp:inline xmlns:a="http://schemas.openxmlformats.org/drawingml/2006/main" xmlns:pic="http://schemas.openxmlformats.org/drawingml/2006/picture">
            <wp:extent cx="6309360" cy="3259114"/>
            <wp:docPr id="3" name="Picture 3"/>
            <wp:cNvGraphicFramePr>
              <a:graphicFrameLocks noChangeAspect="1"/>
            </wp:cNvGraphicFramePr>
            <a:graphic>
              <a:graphicData uri="http://schemas.openxmlformats.org/drawingml/2006/picture">
                <pic:pic>
                  <pic:nvPicPr>
                    <pic:cNvPr id="0" name="reporting_data_flow.png"/>
                    <pic:cNvPicPr/>
                  </pic:nvPicPr>
                  <pic:blipFill>
                    <a:blip r:embed="rId13"/>
                    <a:stretch>
                      <a:fillRect/>
                    </a:stretch>
                  </pic:blipFill>
                  <pic:spPr>
                    <a:xfrm>
                      <a:off x="0" y="0"/>
                      <a:ext cx="6309360" cy="3259114"/>
                    </a:xfrm>
                    <a:prstGeom prst="rect"/>
                  </pic:spPr>
                </pic:pic>
              </a:graphicData>
            </a:graphic>
          </wp:inline>
        </w:drawing>
      </w:r>
    </w:p>
    <w:p>
      <w:pPr>
        <w:jc w:val="center"/>
      </w:pPr>
      <w:r>
        <w:rPr>
          <w:i/>
          <w:color w:val="5A5A5A"/>
          <w:sz w:val="17"/>
        </w:rPr>
        <w:t>Figure 3. Conceptual SAP logistics reporting data flow</w:t>
      </w:r>
    </w:p>
    <w:p>
      <w:pPr>
        <w:pStyle w:val="Heading2"/>
      </w:pPr>
      <w:r>
        <w:t>6.1 Example source mapping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584"/>
            <w:shd w:fill="17365D"/>
            <w:vAlign w:val="center"/>
            <w:tcMar>
              <w:top w:w="70" w:type="dxa"/>
              <w:start w:w="80" w:type="dxa"/>
              <w:bottom w:w="70" w:type="dxa"/>
              <w:end w:w="80" w:type="dxa"/>
            </w:tcMar>
          </w:tcPr>
          <w:p>
            <w:pPr>
              <w:jc w:val="center"/>
            </w:pPr>
            <w:r>
              <w:rPr>
                <w:b/>
                <w:color w:val="FFFFFF"/>
                <w:sz w:val="14"/>
              </w:rPr>
              <w:t>KPI</w:t>
            </w:r>
          </w:p>
        </w:tc>
        <w:tc>
          <w:tcPr>
            <w:tcW w:type="dxa" w:w="2160"/>
            <w:shd w:fill="17365D"/>
            <w:vAlign w:val="center"/>
            <w:tcMar>
              <w:top w:w="70" w:type="dxa"/>
              <w:start w:w="80" w:type="dxa"/>
              <w:bottom w:w="70" w:type="dxa"/>
              <w:end w:w="80" w:type="dxa"/>
            </w:tcMar>
          </w:tcPr>
          <w:p>
            <w:pPr>
              <w:jc w:val="center"/>
            </w:pPr>
            <w:r>
              <w:rPr>
                <w:b/>
                <w:color w:val="FFFFFF"/>
                <w:sz w:val="14"/>
              </w:rPr>
              <w:t>Primary logical source</w:t>
            </w:r>
          </w:p>
        </w:tc>
        <w:tc>
          <w:tcPr>
            <w:tcW w:type="dxa" w:w="3888"/>
            <w:shd w:fill="17365D"/>
            <w:vAlign w:val="center"/>
            <w:tcMar>
              <w:top w:w="70" w:type="dxa"/>
              <w:start w:w="80" w:type="dxa"/>
              <w:bottom w:w="70" w:type="dxa"/>
              <w:end w:w="80" w:type="dxa"/>
            </w:tcMar>
          </w:tcPr>
          <w:p>
            <w:pPr>
              <w:jc w:val="center"/>
            </w:pPr>
            <w:r>
              <w:rPr>
                <w:b/>
                <w:color w:val="FFFFFF"/>
                <w:sz w:val="14"/>
              </w:rPr>
              <w:t>Key fields / events</w:t>
            </w:r>
          </w:p>
        </w:tc>
        <w:tc>
          <w:tcPr>
            <w:tcW w:type="dxa" w:w="2304"/>
            <w:shd w:fill="17365D"/>
            <w:vAlign w:val="center"/>
            <w:tcMar>
              <w:top w:w="70" w:type="dxa"/>
              <w:start w:w="80" w:type="dxa"/>
              <w:bottom w:w="70" w:type="dxa"/>
              <w:end w:w="80" w:type="dxa"/>
            </w:tcMar>
          </w:tcPr>
          <w:p>
            <w:pPr>
              <w:jc w:val="center"/>
            </w:pPr>
            <w:r>
              <w:rPr>
                <w:b/>
                <w:color w:val="FFFFFF"/>
                <w:sz w:val="14"/>
              </w:rPr>
              <w:t>Reporting option</w:t>
            </w:r>
          </w:p>
        </w:tc>
      </w:tr>
      <w:tr>
        <w:trPr>
          <w:cantSplit/>
        </w:trPr>
        <w:tc>
          <w:tcPr>
            <w:tcW w:type="dxa" w:w="1584"/>
            <w:vAlign w:val="center"/>
            <w:tcMar>
              <w:top w:w="70" w:type="dxa"/>
              <w:start w:w="80" w:type="dxa"/>
              <w:bottom w:w="70" w:type="dxa"/>
              <w:end w:w="80" w:type="dxa"/>
            </w:tcMar>
          </w:tcPr>
          <w:p>
            <w:r>
              <w:rPr>
                <w:sz w:val="14"/>
              </w:rPr>
              <w:t>OTIF</w:t>
            </w:r>
          </w:p>
        </w:tc>
        <w:tc>
          <w:tcPr>
            <w:tcW w:type="dxa" w:w="2160"/>
            <w:vAlign w:val="center"/>
            <w:tcMar>
              <w:top w:w="70" w:type="dxa"/>
              <w:start w:w="80" w:type="dxa"/>
              <w:bottom w:w="70" w:type="dxa"/>
              <w:end w:w="80" w:type="dxa"/>
            </w:tcMar>
          </w:tcPr>
          <w:p>
            <w:r>
              <w:rPr>
                <w:sz w:val="14"/>
              </w:rPr>
              <w:t>ERP delivery + TM execution</w:t>
            </w:r>
          </w:p>
        </w:tc>
        <w:tc>
          <w:tcPr>
            <w:tcW w:type="dxa" w:w="3888"/>
            <w:vAlign w:val="center"/>
            <w:tcMar>
              <w:top w:w="70" w:type="dxa"/>
              <w:start w:w="80" w:type="dxa"/>
              <w:bottom w:w="70" w:type="dxa"/>
              <w:end w:w="80" w:type="dxa"/>
            </w:tcMar>
          </w:tcPr>
          <w:p>
            <w:r>
              <w:rPr>
                <w:sz w:val="14"/>
              </w:rPr>
              <w:t>requested date, actual delivery event, quantity</w:t>
            </w:r>
          </w:p>
        </w:tc>
        <w:tc>
          <w:tcPr>
            <w:tcW w:type="dxa" w:w="2304"/>
            <w:vAlign w:val="center"/>
            <w:tcMar>
              <w:top w:w="70" w:type="dxa"/>
              <w:start w:w="80" w:type="dxa"/>
              <w:bottom w:w="70" w:type="dxa"/>
              <w:end w:w="80" w:type="dxa"/>
            </w:tcMar>
          </w:tcPr>
          <w:p>
            <w:r>
              <w:rPr>
                <w:sz w:val="14"/>
              </w:rPr>
              <w:t>TM execution analytics / BW / CDS / dashboard</w:t>
            </w:r>
          </w:p>
        </w:tc>
      </w:tr>
      <w:tr>
        <w:trPr>
          <w:cantSplit/>
        </w:trPr>
        <w:tc>
          <w:tcPr>
            <w:tcW w:type="dxa" w:w="1584"/>
            <w:vAlign w:val="center"/>
            <w:tcMar>
              <w:top w:w="70" w:type="dxa"/>
              <w:start w:w="80" w:type="dxa"/>
              <w:bottom w:w="70" w:type="dxa"/>
              <w:end w:w="80" w:type="dxa"/>
            </w:tcMar>
            <w:shd w:fill="F8FAFC"/>
          </w:tcPr>
          <w:p>
            <w:r>
              <w:rPr>
                <w:sz w:val="14"/>
              </w:rPr>
              <w:t>Order accuracy</w:t>
            </w:r>
          </w:p>
        </w:tc>
        <w:tc>
          <w:tcPr>
            <w:tcW w:type="dxa" w:w="2160"/>
            <w:vAlign w:val="center"/>
            <w:tcMar>
              <w:top w:w="70" w:type="dxa"/>
              <w:start w:w="80" w:type="dxa"/>
              <w:bottom w:w="70" w:type="dxa"/>
              <w:end w:w="80" w:type="dxa"/>
            </w:tcMar>
            <w:shd w:fill="F8FAFC"/>
          </w:tcPr>
          <w:p>
            <w:r>
              <w:rPr>
                <w:sz w:val="14"/>
              </w:rPr>
              <w:t>ERP delivery + EWM confirmation</w:t>
            </w:r>
          </w:p>
        </w:tc>
        <w:tc>
          <w:tcPr>
            <w:tcW w:type="dxa" w:w="3888"/>
            <w:vAlign w:val="center"/>
            <w:tcMar>
              <w:top w:w="70" w:type="dxa"/>
              <w:start w:w="80" w:type="dxa"/>
              <w:bottom w:w="70" w:type="dxa"/>
              <w:end w:w="80" w:type="dxa"/>
            </w:tcMar>
            <w:shd w:fill="F8FAFC"/>
          </w:tcPr>
          <w:p>
            <w:r>
              <w:rPr>
                <w:sz w:val="14"/>
              </w:rPr>
              <w:t>ordered qty, picked qty, shipped qty, item status</w:t>
            </w:r>
          </w:p>
        </w:tc>
        <w:tc>
          <w:tcPr>
            <w:tcW w:type="dxa" w:w="2304"/>
            <w:vAlign w:val="center"/>
            <w:tcMar>
              <w:top w:w="70" w:type="dxa"/>
              <w:start w:w="80" w:type="dxa"/>
              <w:bottom w:w="70" w:type="dxa"/>
              <w:end w:w="80" w:type="dxa"/>
            </w:tcMar>
            <w:shd w:fill="F8FAFC"/>
          </w:tcPr>
          <w:p>
            <w:r>
              <w:rPr>
                <w:sz w:val="14"/>
              </w:rPr>
              <w:t>EWM analytics / warehouse monitor / BW</w:t>
            </w:r>
          </w:p>
        </w:tc>
      </w:tr>
      <w:tr>
        <w:trPr>
          <w:cantSplit/>
        </w:trPr>
        <w:tc>
          <w:tcPr>
            <w:tcW w:type="dxa" w:w="1584"/>
            <w:vAlign w:val="center"/>
            <w:tcMar>
              <w:top w:w="70" w:type="dxa"/>
              <w:start w:w="80" w:type="dxa"/>
              <w:bottom w:w="70" w:type="dxa"/>
              <w:end w:w="80" w:type="dxa"/>
            </w:tcMar>
          </w:tcPr>
          <w:p>
            <w:r>
              <w:rPr>
                <w:sz w:val="14"/>
              </w:rPr>
              <w:t>Inventory turnover</w:t>
            </w:r>
          </w:p>
        </w:tc>
        <w:tc>
          <w:tcPr>
            <w:tcW w:type="dxa" w:w="2160"/>
            <w:vAlign w:val="center"/>
            <w:tcMar>
              <w:top w:w="70" w:type="dxa"/>
              <w:start w:w="80" w:type="dxa"/>
              <w:bottom w:w="70" w:type="dxa"/>
              <w:end w:w="80" w:type="dxa"/>
            </w:tcMar>
          </w:tcPr>
          <w:p>
            <w:r>
              <w:rPr>
                <w:sz w:val="14"/>
              </w:rPr>
              <w:t>ERP finance/inventory + EWM stock</w:t>
            </w:r>
          </w:p>
        </w:tc>
        <w:tc>
          <w:tcPr>
            <w:tcW w:type="dxa" w:w="3888"/>
            <w:vAlign w:val="center"/>
            <w:tcMar>
              <w:top w:w="70" w:type="dxa"/>
              <w:start w:w="80" w:type="dxa"/>
              <w:bottom w:w="70" w:type="dxa"/>
              <w:end w:w="80" w:type="dxa"/>
            </w:tcMar>
          </w:tcPr>
          <w:p>
            <w:r>
              <w:rPr>
                <w:sz w:val="14"/>
              </w:rPr>
              <w:t>COGS, average stock value, stock snapshots</w:t>
            </w:r>
          </w:p>
        </w:tc>
        <w:tc>
          <w:tcPr>
            <w:tcW w:type="dxa" w:w="2304"/>
            <w:vAlign w:val="center"/>
            <w:tcMar>
              <w:top w:w="70" w:type="dxa"/>
              <w:start w:w="80" w:type="dxa"/>
              <w:bottom w:w="70" w:type="dxa"/>
              <w:end w:w="80" w:type="dxa"/>
            </w:tcMar>
          </w:tcPr>
          <w:p>
            <w:r>
              <w:rPr>
                <w:sz w:val="14"/>
              </w:rPr>
              <w:t>BW / enterprise analytics</w:t>
            </w:r>
          </w:p>
        </w:tc>
      </w:tr>
      <w:tr>
        <w:trPr>
          <w:cantSplit/>
        </w:trPr>
        <w:tc>
          <w:tcPr>
            <w:tcW w:type="dxa" w:w="1584"/>
            <w:vAlign w:val="center"/>
            <w:tcMar>
              <w:top w:w="70" w:type="dxa"/>
              <w:start w:w="80" w:type="dxa"/>
              <w:bottom w:w="70" w:type="dxa"/>
              <w:end w:w="80" w:type="dxa"/>
            </w:tcMar>
            <w:shd w:fill="F8FAFC"/>
          </w:tcPr>
          <w:p>
            <w:r>
              <w:rPr>
                <w:sz w:val="14"/>
              </w:rPr>
              <w:t>Truck utilization</w:t>
            </w:r>
          </w:p>
        </w:tc>
        <w:tc>
          <w:tcPr>
            <w:tcW w:type="dxa" w:w="2160"/>
            <w:vAlign w:val="center"/>
            <w:tcMar>
              <w:top w:w="70" w:type="dxa"/>
              <w:start w:w="80" w:type="dxa"/>
              <w:bottom w:w="70" w:type="dxa"/>
              <w:end w:w="80" w:type="dxa"/>
            </w:tcMar>
            <w:shd w:fill="F8FAFC"/>
          </w:tcPr>
          <w:p>
            <w:r>
              <w:rPr>
                <w:sz w:val="14"/>
              </w:rPr>
              <w:t>TM freight order</w:t>
            </w:r>
          </w:p>
        </w:tc>
        <w:tc>
          <w:tcPr>
            <w:tcW w:type="dxa" w:w="3888"/>
            <w:vAlign w:val="center"/>
            <w:tcMar>
              <w:top w:w="70" w:type="dxa"/>
              <w:start w:w="80" w:type="dxa"/>
              <w:bottom w:w="70" w:type="dxa"/>
              <w:end w:w="80" w:type="dxa"/>
            </w:tcMar>
            <w:shd w:fill="F8FAFC"/>
          </w:tcPr>
          <w:p>
            <w:r>
              <w:rPr>
                <w:sz w:val="14"/>
              </w:rPr>
              <w:t>gross weight, volume, vehicle capacity, mode</w:t>
            </w:r>
          </w:p>
        </w:tc>
        <w:tc>
          <w:tcPr>
            <w:tcW w:type="dxa" w:w="2304"/>
            <w:vAlign w:val="center"/>
            <w:tcMar>
              <w:top w:w="70" w:type="dxa"/>
              <w:start w:w="80" w:type="dxa"/>
              <w:bottom w:w="70" w:type="dxa"/>
              <w:end w:w="80" w:type="dxa"/>
            </w:tcMar>
            <w:shd w:fill="F8FAFC"/>
          </w:tcPr>
          <w:p>
            <w:r>
              <w:rPr>
                <w:sz w:val="14"/>
              </w:rPr>
              <w:t>TM quantity analytics / operational reporting</w:t>
            </w:r>
          </w:p>
        </w:tc>
      </w:tr>
      <w:tr>
        <w:trPr>
          <w:cantSplit/>
        </w:trPr>
        <w:tc>
          <w:tcPr>
            <w:tcW w:type="dxa" w:w="1584"/>
            <w:vAlign w:val="center"/>
            <w:tcMar>
              <w:top w:w="70" w:type="dxa"/>
              <w:start w:w="80" w:type="dxa"/>
              <w:bottom w:w="70" w:type="dxa"/>
              <w:end w:w="80" w:type="dxa"/>
            </w:tcMar>
          </w:tcPr>
          <w:p>
            <w:r>
              <w:rPr>
                <w:sz w:val="14"/>
              </w:rPr>
              <w:t>Pick accuracy</w:t>
            </w:r>
          </w:p>
        </w:tc>
        <w:tc>
          <w:tcPr>
            <w:tcW w:type="dxa" w:w="2160"/>
            <w:vAlign w:val="center"/>
            <w:tcMar>
              <w:top w:w="70" w:type="dxa"/>
              <w:start w:w="80" w:type="dxa"/>
              <w:bottom w:w="70" w:type="dxa"/>
              <w:end w:w="80" w:type="dxa"/>
            </w:tcMar>
          </w:tcPr>
          <w:p>
            <w:r>
              <w:rPr>
                <w:sz w:val="14"/>
              </w:rPr>
              <w:t>EWM warehouse tasks</w:t>
            </w:r>
          </w:p>
        </w:tc>
        <w:tc>
          <w:tcPr>
            <w:tcW w:type="dxa" w:w="3888"/>
            <w:vAlign w:val="center"/>
            <w:tcMar>
              <w:top w:w="70" w:type="dxa"/>
              <w:start w:w="80" w:type="dxa"/>
              <w:bottom w:w="70" w:type="dxa"/>
              <w:end w:w="80" w:type="dxa"/>
            </w:tcMar>
          </w:tcPr>
          <w:p>
            <w:r>
              <w:rPr>
                <w:sz w:val="14"/>
              </w:rPr>
              <w:t>task confirmation, exception, quantity</w:t>
            </w:r>
          </w:p>
        </w:tc>
        <w:tc>
          <w:tcPr>
            <w:tcW w:type="dxa" w:w="2304"/>
            <w:vAlign w:val="center"/>
            <w:tcMar>
              <w:top w:w="70" w:type="dxa"/>
              <w:start w:w="80" w:type="dxa"/>
              <w:bottom w:w="70" w:type="dxa"/>
              <w:end w:w="80" w:type="dxa"/>
            </w:tcMar>
          </w:tcPr>
          <w:p>
            <w:r>
              <w:rPr>
                <w:sz w:val="14"/>
              </w:rPr>
              <w:t>EWM warehouse monitor / measurement services</w:t>
            </w:r>
          </w:p>
        </w:tc>
      </w:tr>
      <w:tr>
        <w:trPr>
          <w:cantSplit/>
        </w:trPr>
        <w:tc>
          <w:tcPr>
            <w:tcW w:type="dxa" w:w="1584"/>
            <w:vAlign w:val="center"/>
            <w:tcMar>
              <w:top w:w="70" w:type="dxa"/>
              <w:start w:w="80" w:type="dxa"/>
              <w:bottom w:w="70" w:type="dxa"/>
              <w:end w:w="80" w:type="dxa"/>
            </w:tcMar>
            <w:shd w:fill="F8FAFC"/>
          </w:tcPr>
          <w:p>
            <w:r>
              <w:rPr>
                <w:sz w:val="14"/>
              </w:rPr>
              <w:t>Dock turnaround</w:t>
            </w:r>
          </w:p>
        </w:tc>
        <w:tc>
          <w:tcPr>
            <w:tcW w:type="dxa" w:w="2160"/>
            <w:vAlign w:val="center"/>
            <w:tcMar>
              <w:top w:w="70" w:type="dxa"/>
              <w:start w:w="80" w:type="dxa"/>
              <w:bottom w:w="70" w:type="dxa"/>
              <w:end w:w="80" w:type="dxa"/>
            </w:tcMar>
            <w:shd w:fill="F8FAFC"/>
          </w:tcPr>
          <w:p>
            <w:r>
              <w:rPr>
                <w:sz w:val="14"/>
              </w:rPr>
              <w:t>EWM/TM timestamps</w:t>
            </w:r>
          </w:p>
        </w:tc>
        <w:tc>
          <w:tcPr>
            <w:tcW w:type="dxa" w:w="3888"/>
            <w:vAlign w:val="center"/>
            <w:tcMar>
              <w:top w:w="70" w:type="dxa"/>
              <w:start w:w="80" w:type="dxa"/>
              <w:bottom w:w="70" w:type="dxa"/>
              <w:end w:w="80" w:type="dxa"/>
            </w:tcMar>
            <w:shd w:fill="F8FAFC"/>
          </w:tcPr>
          <w:p>
            <w:r>
              <w:rPr>
                <w:sz w:val="14"/>
              </w:rPr>
              <w:t>vehicle arrival, door assignment, loading complete, departure</w:t>
            </w:r>
          </w:p>
        </w:tc>
        <w:tc>
          <w:tcPr>
            <w:tcW w:type="dxa" w:w="2304"/>
            <w:vAlign w:val="center"/>
            <w:tcMar>
              <w:top w:w="70" w:type="dxa"/>
              <w:start w:w="80" w:type="dxa"/>
              <w:bottom w:w="70" w:type="dxa"/>
              <w:end w:w="80" w:type="dxa"/>
            </w:tcMar>
            <w:shd w:fill="F8FAFC"/>
          </w:tcPr>
          <w:p>
            <w:r>
              <w:rPr>
                <w:sz w:val="14"/>
              </w:rPr>
              <w:t>EWM/TM event reporting</w:t>
            </w:r>
          </w:p>
        </w:tc>
      </w:tr>
      <w:tr>
        <w:trPr>
          <w:cantSplit/>
        </w:trPr>
        <w:tc>
          <w:tcPr>
            <w:tcW w:type="dxa" w:w="1584"/>
            <w:vAlign w:val="center"/>
            <w:tcMar>
              <w:top w:w="70" w:type="dxa"/>
              <w:start w:w="80" w:type="dxa"/>
              <w:bottom w:w="70" w:type="dxa"/>
              <w:end w:w="80" w:type="dxa"/>
            </w:tcMar>
          </w:tcPr>
          <w:p>
            <w:r>
              <w:rPr>
                <w:sz w:val="14"/>
              </w:rPr>
              <w:t>Stock-out rate</w:t>
            </w:r>
          </w:p>
        </w:tc>
        <w:tc>
          <w:tcPr>
            <w:tcW w:type="dxa" w:w="2160"/>
            <w:vAlign w:val="center"/>
            <w:tcMar>
              <w:top w:w="70" w:type="dxa"/>
              <w:start w:w="80" w:type="dxa"/>
              <w:bottom w:w="70" w:type="dxa"/>
              <w:end w:w="80" w:type="dxa"/>
            </w:tcMar>
          </w:tcPr>
          <w:p>
            <w:r>
              <w:rPr>
                <w:sz w:val="14"/>
              </w:rPr>
              <w:t>ERP/EWM/APO exception data</w:t>
            </w:r>
          </w:p>
        </w:tc>
        <w:tc>
          <w:tcPr>
            <w:tcW w:type="dxa" w:w="3888"/>
            <w:vAlign w:val="center"/>
            <w:tcMar>
              <w:top w:w="70" w:type="dxa"/>
              <w:start w:w="80" w:type="dxa"/>
              <w:bottom w:w="70" w:type="dxa"/>
              <w:end w:w="80" w:type="dxa"/>
            </w:tcMar>
          </w:tcPr>
          <w:p>
            <w:r>
              <w:rPr>
                <w:sz w:val="14"/>
              </w:rPr>
              <w:t>shortage, stock availability, order line status</w:t>
            </w:r>
          </w:p>
        </w:tc>
        <w:tc>
          <w:tcPr>
            <w:tcW w:type="dxa" w:w="2304"/>
            <w:vAlign w:val="center"/>
            <w:tcMar>
              <w:top w:w="70" w:type="dxa"/>
              <w:start w:w="80" w:type="dxa"/>
              <w:bottom w:w="70" w:type="dxa"/>
              <w:end w:w="80" w:type="dxa"/>
            </w:tcMar>
          </w:tcPr>
          <w:p>
            <w:r>
              <w:rPr>
                <w:sz w:val="14"/>
              </w:rPr>
              <w:t>APO Alert Monitor + stock/order reporting</w:t>
            </w:r>
          </w:p>
        </w:tc>
      </w:tr>
      <w:tr>
        <w:trPr>
          <w:cantSplit/>
        </w:trPr>
        <w:tc>
          <w:tcPr>
            <w:tcW w:type="dxa" w:w="1584"/>
            <w:vAlign w:val="center"/>
            <w:tcMar>
              <w:top w:w="70" w:type="dxa"/>
              <w:start w:w="80" w:type="dxa"/>
              <w:bottom w:w="70" w:type="dxa"/>
              <w:end w:w="80" w:type="dxa"/>
            </w:tcMar>
            <w:shd w:fill="F8FAFC"/>
          </w:tcPr>
          <w:p>
            <w:r>
              <w:rPr>
                <w:sz w:val="14"/>
              </w:rPr>
              <w:t>Freight cost/tonne</w:t>
            </w:r>
          </w:p>
        </w:tc>
        <w:tc>
          <w:tcPr>
            <w:tcW w:type="dxa" w:w="2160"/>
            <w:vAlign w:val="center"/>
            <w:tcMar>
              <w:top w:w="70" w:type="dxa"/>
              <w:start w:w="80" w:type="dxa"/>
              <w:bottom w:w="70" w:type="dxa"/>
              <w:end w:w="80" w:type="dxa"/>
            </w:tcMar>
            <w:shd w:fill="F8FAFC"/>
          </w:tcPr>
          <w:p>
            <w:r>
              <w:rPr>
                <w:sz w:val="14"/>
              </w:rPr>
              <w:t>TM freight cost + freight quantity</w:t>
            </w:r>
          </w:p>
        </w:tc>
        <w:tc>
          <w:tcPr>
            <w:tcW w:type="dxa" w:w="3888"/>
            <w:vAlign w:val="center"/>
            <w:tcMar>
              <w:top w:w="70" w:type="dxa"/>
              <w:start w:w="80" w:type="dxa"/>
              <w:bottom w:w="70" w:type="dxa"/>
              <w:end w:w="80" w:type="dxa"/>
            </w:tcMar>
            <w:shd w:fill="F8FAFC"/>
          </w:tcPr>
          <w:p>
            <w:r>
              <w:rPr>
                <w:sz w:val="14"/>
              </w:rPr>
              <w:t>charges, carrier, tonnes moved</w:t>
            </w:r>
          </w:p>
        </w:tc>
        <w:tc>
          <w:tcPr>
            <w:tcW w:type="dxa" w:w="2304"/>
            <w:vAlign w:val="center"/>
            <w:tcMar>
              <w:top w:w="70" w:type="dxa"/>
              <w:start w:w="80" w:type="dxa"/>
              <w:bottom w:w="70" w:type="dxa"/>
              <w:end w:w="80" w:type="dxa"/>
            </w:tcMar>
            <w:shd w:fill="F8FAFC"/>
          </w:tcPr>
          <w:p>
            <w:r>
              <w:rPr>
                <w:sz w:val="14"/>
              </w:rPr>
              <w:t>TM cost analytics / BW</w:t>
            </w:r>
          </w:p>
        </w:tc>
      </w:tr>
      <w:tr>
        <w:trPr>
          <w:cantSplit/>
        </w:trPr>
        <w:tc>
          <w:tcPr>
            <w:tcW w:type="dxa" w:w="1584"/>
            <w:vAlign w:val="center"/>
            <w:tcMar>
              <w:top w:w="70" w:type="dxa"/>
              <w:start w:w="80" w:type="dxa"/>
              <w:bottom w:w="70" w:type="dxa"/>
              <w:end w:w="80" w:type="dxa"/>
            </w:tcMar>
          </w:tcPr>
          <w:p>
            <w:r>
              <w:rPr>
                <w:sz w:val="14"/>
              </w:rPr>
              <w:t>Order cycle time</w:t>
            </w:r>
          </w:p>
        </w:tc>
        <w:tc>
          <w:tcPr>
            <w:tcW w:type="dxa" w:w="2160"/>
            <w:vAlign w:val="center"/>
            <w:tcMar>
              <w:top w:w="70" w:type="dxa"/>
              <w:start w:w="80" w:type="dxa"/>
              <w:bottom w:w="70" w:type="dxa"/>
              <w:end w:w="80" w:type="dxa"/>
            </w:tcMar>
          </w:tcPr>
          <w:p>
            <w:r>
              <w:rPr>
                <w:sz w:val="14"/>
              </w:rPr>
              <w:t>ERP order + TM delivery event</w:t>
            </w:r>
          </w:p>
        </w:tc>
        <w:tc>
          <w:tcPr>
            <w:tcW w:type="dxa" w:w="3888"/>
            <w:vAlign w:val="center"/>
            <w:tcMar>
              <w:top w:w="70" w:type="dxa"/>
              <w:start w:w="80" w:type="dxa"/>
              <w:bottom w:w="70" w:type="dxa"/>
              <w:end w:w="80" w:type="dxa"/>
            </w:tcMar>
          </w:tcPr>
          <w:p>
            <w:r>
              <w:rPr>
                <w:sz w:val="14"/>
              </w:rPr>
              <w:t>order release and delivery timestamps</w:t>
            </w:r>
          </w:p>
        </w:tc>
        <w:tc>
          <w:tcPr>
            <w:tcW w:type="dxa" w:w="2304"/>
            <w:vAlign w:val="center"/>
            <w:tcMar>
              <w:top w:w="70" w:type="dxa"/>
              <w:start w:w="80" w:type="dxa"/>
              <w:bottom w:w="70" w:type="dxa"/>
              <w:end w:w="80" w:type="dxa"/>
            </w:tcMar>
          </w:tcPr>
          <w:p>
            <w:r>
              <w:rPr>
                <w:sz w:val="14"/>
              </w:rPr>
              <w:t>cross-process analytics</w:t>
            </w:r>
          </w:p>
        </w:tc>
      </w:tr>
      <w:tr>
        <w:trPr>
          <w:cantSplit/>
        </w:trPr>
        <w:tc>
          <w:tcPr>
            <w:tcW w:type="dxa" w:w="1584"/>
            <w:vAlign w:val="center"/>
            <w:tcMar>
              <w:top w:w="70" w:type="dxa"/>
              <w:start w:w="80" w:type="dxa"/>
              <w:bottom w:w="70" w:type="dxa"/>
              <w:end w:w="80" w:type="dxa"/>
            </w:tcMar>
            <w:shd w:fill="F8FAFC"/>
          </w:tcPr>
          <w:p>
            <w:r>
              <w:rPr>
                <w:sz w:val="14"/>
              </w:rPr>
              <w:t>Inventory accuracy</w:t>
            </w:r>
          </w:p>
        </w:tc>
        <w:tc>
          <w:tcPr>
            <w:tcW w:type="dxa" w:w="2160"/>
            <w:vAlign w:val="center"/>
            <w:tcMar>
              <w:top w:w="70" w:type="dxa"/>
              <w:start w:w="80" w:type="dxa"/>
              <w:bottom w:w="70" w:type="dxa"/>
              <w:end w:w="80" w:type="dxa"/>
            </w:tcMar>
            <w:shd w:fill="F8FAFC"/>
          </w:tcPr>
          <w:p>
            <w:r>
              <w:rPr>
                <w:sz w:val="14"/>
              </w:rPr>
              <w:t>EWM physical inventory</w:t>
            </w:r>
          </w:p>
        </w:tc>
        <w:tc>
          <w:tcPr>
            <w:tcW w:type="dxa" w:w="3888"/>
            <w:vAlign w:val="center"/>
            <w:tcMar>
              <w:top w:w="70" w:type="dxa"/>
              <w:start w:w="80" w:type="dxa"/>
              <w:bottom w:w="70" w:type="dxa"/>
              <w:end w:w="80" w:type="dxa"/>
            </w:tcMar>
            <w:shd w:fill="F8FAFC"/>
          </w:tcPr>
          <w:p>
            <w:r>
              <w:rPr>
                <w:sz w:val="14"/>
              </w:rPr>
              <w:t>book qty, count qty, difference</w:t>
            </w:r>
          </w:p>
        </w:tc>
        <w:tc>
          <w:tcPr>
            <w:tcW w:type="dxa" w:w="2304"/>
            <w:vAlign w:val="center"/>
            <w:tcMar>
              <w:top w:w="70" w:type="dxa"/>
              <w:start w:w="80" w:type="dxa"/>
              <w:bottom w:w="70" w:type="dxa"/>
              <w:end w:w="80" w:type="dxa"/>
            </w:tcMar>
            <w:shd w:fill="F8FAFC"/>
          </w:tcPr>
          <w:p>
            <w:r>
              <w:rPr>
                <w:sz w:val="14"/>
              </w:rPr>
              <w:t>EWM warehouse monitor / inventory reporting</w:t>
            </w:r>
          </w:p>
        </w:tc>
      </w:tr>
    </w:tbl>
    <w:p>
      <w:pPr>
        <w:pStyle w:val="Heading1"/>
      </w:pPr>
      <w:r>
        <w:t>7. Simulated Performance Data</w:t>
      </w:r>
    </w:p>
    <w:p>
      <w:pPr>
        <w:pStyle w:val="BodyText"/>
      </w:pPr>
      <w:r>
        <w:t>The table below is the core practical simulation. Values improve gradually as consolidation, slotting, data quality, carrier management and warehouse discipline are introduced. The numbers are intentionally realistic enough to support analysis but remain fictional.</w:t>
      </w:r>
    </w:p>
    <w:tbl>
      <w:tblPr>
        <w:tblStyle w:val="TableGrid"/>
        <w:tblW w:type="auto" w:w="0"/>
        <w:jc w:val="center"/>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cantSplit/>
        </w:trPr>
        <w:tc>
          <w:tcPr>
            <w:tcW w:type="dxa" w:w="864"/>
            <w:shd w:fill="17365D"/>
            <w:vAlign w:val="center"/>
            <w:tcMar>
              <w:top w:w="70" w:type="dxa"/>
              <w:start w:w="80" w:type="dxa"/>
              <w:bottom w:w="70" w:type="dxa"/>
              <w:end w:w="80" w:type="dxa"/>
            </w:tcMar>
          </w:tcPr>
          <w:p>
            <w:pPr>
              <w:jc w:val="center"/>
            </w:pPr>
            <w:r>
              <w:rPr>
                <w:b/>
                <w:color w:val="FFFFFF"/>
                <w:sz w:val="14"/>
              </w:rPr>
              <w:t>Month</w:t>
            </w:r>
          </w:p>
        </w:tc>
        <w:tc>
          <w:tcPr>
            <w:tcW w:type="dxa" w:w="936"/>
            <w:shd w:fill="17365D"/>
            <w:vAlign w:val="center"/>
            <w:tcMar>
              <w:top w:w="70" w:type="dxa"/>
              <w:start w:w="80" w:type="dxa"/>
              <w:bottom w:w="70" w:type="dxa"/>
              <w:end w:w="80" w:type="dxa"/>
            </w:tcMar>
          </w:tcPr>
          <w:p>
            <w:pPr>
              <w:jc w:val="center"/>
            </w:pPr>
            <w:r>
              <w:rPr>
                <w:b/>
                <w:color w:val="FFFFFF"/>
                <w:sz w:val="14"/>
              </w:rPr>
              <w:t>OTIF %</w:t>
            </w:r>
          </w:p>
        </w:tc>
        <w:tc>
          <w:tcPr>
            <w:tcW w:type="dxa" w:w="1152"/>
            <w:shd w:fill="17365D"/>
            <w:vAlign w:val="center"/>
            <w:tcMar>
              <w:top w:w="70" w:type="dxa"/>
              <w:start w:w="80" w:type="dxa"/>
              <w:bottom w:w="70" w:type="dxa"/>
              <w:end w:w="80" w:type="dxa"/>
            </w:tcMar>
          </w:tcPr>
          <w:p>
            <w:pPr>
              <w:jc w:val="center"/>
            </w:pPr>
            <w:r>
              <w:rPr>
                <w:b/>
                <w:color w:val="FFFFFF"/>
                <w:sz w:val="14"/>
              </w:rPr>
              <w:t>Order acc. %</w:t>
            </w:r>
          </w:p>
        </w:tc>
        <w:tc>
          <w:tcPr>
            <w:tcW w:type="dxa" w:w="1080"/>
            <w:shd w:fill="17365D"/>
            <w:vAlign w:val="center"/>
            <w:tcMar>
              <w:top w:w="70" w:type="dxa"/>
              <w:start w:w="80" w:type="dxa"/>
              <w:bottom w:w="70" w:type="dxa"/>
              <w:end w:w="80" w:type="dxa"/>
            </w:tcMar>
          </w:tcPr>
          <w:p>
            <w:pPr>
              <w:jc w:val="center"/>
            </w:pPr>
            <w:r>
              <w:rPr>
                <w:b/>
                <w:color w:val="FFFFFF"/>
                <w:sz w:val="14"/>
              </w:rPr>
              <w:t>Inv. turn x</w:t>
            </w:r>
          </w:p>
        </w:tc>
        <w:tc>
          <w:tcPr>
            <w:tcW w:type="dxa" w:w="1152"/>
            <w:shd w:fill="17365D"/>
            <w:vAlign w:val="center"/>
            <w:tcMar>
              <w:top w:w="70" w:type="dxa"/>
              <w:start w:w="80" w:type="dxa"/>
              <w:bottom w:w="70" w:type="dxa"/>
              <w:end w:w="80" w:type="dxa"/>
            </w:tcMar>
          </w:tcPr>
          <w:p>
            <w:pPr>
              <w:jc w:val="center"/>
            </w:pPr>
            <w:r>
              <w:rPr>
                <w:b/>
                <w:color w:val="FFFFFF"/>
                <w:sz w:val="14"/>
              </w:rPr>
              <w:t>Truck util. %</w:t>
            </w:r>
          </w:p>
        </w:tc>
        <w:tc>
          <w:tcPr>
            <w:tcW w:type="dxa" w:w="1008"/>
            <w:shd w:fill="17365D"/>
            <w:vAlign w:val="center"/>
            <w:tcMar>
              <w:top w:w="70" w:type="dxa"/>
              <w:start w:w="80" w:type="dxa"/>
              <w:bottom w:w="70" w:type="dxa"/>
              <w:end w:w="80" w:type="dxa"/>
            </w:tcMar>
          </w:tcPr>
          <w:p>
            <w:pPr>
              <w:jc w:val="center"/>
            </w:pPr>
            <w:r>
              <w:rPr>
                <w:b/>
                <w:color w:val="FFFFFF"/>
                <w:sz w:val="14"/>
              </w:rPr>
              <w:t>Dock min</w:t>
            </w:r>
          </w:p>
        </w:tc>
        <w:tc>
          <w:tcPr>
            <w:tcW w:type="dxa" w:w="1152"/>
            <w:shd w:fill="17365D"/>
            <w:vAlign w:val="center"/>
            <w:tcMar>
              <w:top w:w="70" w:type="dxa"/>
              <w:start w:w="80" w:type="dxa"/>
              <w:bottom w:w="70" w:type="dxa"/>
              <w:end w:w="80" w:type="dxa"/>
            </w:tcMar>
          </w:tcPr>
          <w:p>
            <w:pPr>
              <w:jc w:val="center"/>
            </w:pPr>
            <w:r>
              <w:rPr>
                <w:b/>
                <w:color w:val="FFFFFF"/>
                <w:sz w:val="14"/>
              </w:rPr>
              <w:t>Stock-out %</w:t>
            </w:r>
          </w:p>
        </w:tc>
        <w:tc>
          <w:tcPr>
            <w:tcW w:type="dxa" w:w="1368"/>
            <w:shd w:fill="17365D"/>
            <w:vAlign w:val="center"/>
            <w:tcMar>
              <w:top w:w="70" w:type="dxa"/>
              <w:start w:w="80" w:type="dxa"/>
              <w:bottom w:w="70" w:type="dxa"/>
              <w:end w:w="80" w:type="dxa"/>
            </w:tcMar>
          </w:tcPr>
          <w:p>
            <w:pPr>
              <w:jc w:val="center"/>
            </w:pPr>
            <w:r>
              <w:rPr>
                <w:b/>
                <w:color w:val="FFFFFF"/>
                <w:sz w:val="14"/>
              </w:rPr>
              <w:t>Freight/ton INR</w:t>
            </w:r>
          </w:p>
        </w:tc>
        <w:tc>
          <w:tcPr>
            <w:tcW w:type="dxa" w:w="936"/>
            <w:shd w:fill="17365D"/>
            <w:vAlign w:val="center"/>
            <w:tcMar>
              <w:top w:w="70" w:type="dxa"/>
              <w:start w:w="80" w:type="dxa"/>
              <w:bottom w:w="70" w:type="dxa"/>
              <w:end w:w="80" w:type="dxa"/>
            </w:tcMar>
          </w:tcPr>
          <w:p>
            <w:pPr>
              <w:jc w:val="center"/>
            </w:pPr>
            <w:r>
              <w:rPr>
                <w:b/>
                <w:color w:val="FFFFFF"/>
                <w:sz w:val="14"/>
              </w:rPr>
              <w:t>Score</w:t>
            </w:r>
          </w:p>
        </w:tc>
      </w:tr>
      <w:tr>
        <w:trPr>
          <w:cantSplit/>
        </w:trPr>
        <w:tc>
          <w:tcPr>
            <w:tcW w:type="dxa" w:w="864"/>
            <w:vAlign w:val="center"/>
            <w:tcMar>
              <w:top w:w="70" w:type="dxa"/>
              <w:start w:w="80" w:type="dxa"/>
              <w:bottom w:w="70" w:type="dxa"/>
              <w:end w:w="80" w:type="dxa"/>
            </w:tcMar>
          </w:tcPr>
          <w:p>
            <w:r>
              <w:rPr>
                <w:sz w:val="14"/>
              </w:rPr>
              <w:t>Apr</w:t>
            </w:r>
          </w:p>
        </w:tc>
        <w:tc>
          <w:tcPr>
            <w:tcW w:type="dxa" w:w="936"/>
            <w:vAlign w:val="center"/>
            <w:tcMar>
              <w:top w:w="70" w:type="dxa"/>
              <w:start w:w="80" w:type="dxa"/>
              <w:bottom w:w="70" w:type="dxa"/>
              <w:end w:w="80" w:type="dxa"/>
            </w:tcMar>
          </w:tcPr>
          <w:p>
            <w:r>
              <w:rPr>
                <w:sz w:val="14"/>
              </w:rPr>
              <w:t>89.0</w:t>
            </w:r>
          </w:p>
        </w:tc>
        <w:tc>
          <w:tcPr>
            <w:tcW w:type="dxa" w:w="1152"/>
            <w:vAlign w:val="center"/>
            <w:tcMar>
              <w:top w:w="70" w:type="dxa"/>
              <w:start w:w="80" w:type="dxa"/>
              <w:bottom w:w="70" w:type="dxa"/>
              <w:end w:w="80" w:type="dxa"/>
            </w:tcMar>
          </w:tcPr>
          <w:p>
            <w:r>
              <w:rPr>
                <w:sz w:val="14"/>
              </w:rPr>
              <w:t>96.5</w:t>
            </w:r>
          </w:p>
        </w:tc>
        <w:tc>
          <w:tcPr>
            <w:tcW w:type="dxa" w:w="1080"/>
            <w:vAlign w:val="center"/>
            <w:tcMar>
              <w:top w:w="70" w:type="dxa"/>
              <w:start w:w="80" w:type="dxa"/>
              <w:bottom w:w="70" w:type="dxa"/>
              <w:end w:w="80" w:type="dxa"/>
            </w:tcMar>
          </w:tcPr>
          <w:p>
            <w:r>
              <w:rPr>
                <w:sz w:val="14"/>
              </w:rPr>
              <w:t>6.2</w:t>
            </w:r>
          </w:p>
        </w:tc>
        <w:tc>
          <w:tcPr>
            <w:tcW w:type="dxa" w:w="1152"/>
            <w:vAlign w:val="center"/>
            <w:tcMar>
              <w:top w:w="70" w:type="dxa"/>
              <w:start w:w="80" w:type="dxa"/>
              <w:bottom w:w="70" w:type="dxa"/>
              <w:end w:w="80" w:type="dxa"/>
            </w:tcMar>
          </w:tcPr>
          <w:p>
            <w:r>
              <w:rPr>
                <w:sz w:val="14"/>
              </w:rPr>
              <w:t>70.30</w:t>
            </w:r>
          </w:p>
        </w:tc>
        <w:tc>
          <w:tcPr>
            <w:tcW w:type="dxa" w:w="1008"/>
            <w:vAlign w:val="center"/>
            <w:tcMar>
              <w:top w:w="70" w:type="dxa"/>
              <w:start w:w="80" w:type="dxa"/>
              <w:bottom w:w="70" w:type="dxa"/>
              <w:end w:w="80" w:type="dxa"/>
            </w:tcMar>
          </w:tcPr>
          <w:p>
            <w:r>
              <w:rPr>
                <w:sz w:val="14"/>
              </w:rPr>
              <w:t>110</w:t>
            </w:r>
          </w:p>
        </w:tc>
        <w:tc>
          <w:tcPr>
            <w:tcW w:type="dxa" w:w="1152"/>
            <w:vAlign w:val="center"/>
            <w:tcMar>
              <w:top w:w="70" w:type="dxa"/>
              <w:start w:w="80" w:type="dxa"/>
              <w:bottom w:w="70" w:type="dxa"/>
              <w:end w:w="80" w:type="dxa"/>
            </w:tcMar>
          </w:tcPr>
          <w:p>
            <w:r>
              <w:rPr>
                <w:sz w:val="14"/>
              </w:rPr>
              <w:t>7.5</w:t>
            </w:r>
          </w:p>
        </w:tc>
        <w:tc>
          <w:tcPr>
            <w:tcW w:type="dxa" w:w="1368"/>
            <w:vAlign w:val="center"/>
            <w:tcMar>
              <w:top w:w="70" w:type="dxa"/>
              <w:start w:w="80" w:type="dxa"/>
              <w:bottom w:w="70" w:type="dxa"/>
              <w:end w:w="80" w:type="dxa"/>
            </w:tcMar>
          </w:tcPr>
          <w:p>
            <w:r>
              <w:rPr>
                <w:sz w:val="14"/>
              </w:rPr>
              <w:t>2150</w:t>
            </w:r>
          </w:p>
        </w:tc>
        <w:tc>
          <w:tcPr>
            <w:tcW w:type="dxa" w:w="936"/>
            <w:vAlign w:val="center"/>
            <w:tcMar>
              <w:top w:w="70" w:type="dxa"/>
              <w:start w:w="80" w:type="dxa"/>
              <w:bottom w:w="70" w:type="dxa"/>
              <w:end w:w="80" w:type="dxa"/>
            </w:tcMar>
          </w:tcPr>
          <w:p>
            <w:r>
              <w:rPr>
                <w:sz w:val="14"/>
              </w:rPr>
              <w:t>83.1</w:t>
            </w:r>
          </w:p>
        </w:tc>
      </w:tr>
      <w:tr>
        <w:trPr>
          <w:cantSplit/>
        </w:trPr>
        <w:tc>
          <w:tcPr>
            <w:tcW w:type="dxa" w:w="864"/>
            <w:vAlign w:val="center"/>
            <w:tcMar>
              <w:top w:w="70" w:type="dxa"/>
              <w:start w:w="80" w:type="dxa"/>
              <w:bottom w:w="70" w:type="dxa"/>
              <w:end w:w="80" w:type="dxa"/>
            </w:tcMar>
            <w:shd w:fill="F8FAFC"/>
          </w:tcPr>
          <w:p>
            <w:r>
              <w:rPr>
                <w:sz w:val="14"/>
              </w:rPr>
              <w:t>May</w:t>
            </w:r>
          </w:p>
        </w:tc>
        <w:tc>
          <w:tcPr>
            <w:tcW w:type="dxa" w:w="936"/>
            <w:vAlign w:val="center"/>
            <w:tcMar>
              <w:top w:w="70" w:type="dxa"/>
              <w:start w:w="80" w:type="dxa"/>
              <w:bottom w:w="70" w:type="dxa"/>
              <w:end w:w="80" w:type="dxa"/>
            </w:tcMar>
            <w:shd w:fill="F8FAFC"/>
          </w:tcPr>
          <w:p>
            <w:r>
              <w:rPr>
                <w:sz w:val="14"/>
              </w:rPr>
              <w:t>90.5</w:t>
            </w:r>
          </w:p>
        </w:tc>
        <w:tc>
          <w:tcPr>
            <w:tcW w:type="dxa" w:w="1152"/>
            <w:vAlign w:val="center"/>
            <w:tcMar>
              <w:top w:w="70" w:type="dxa"/>
              <w:start w:w="80" w:type="dxa"/>
              <w:bottom w:w="70" w:type="dxa"/>
              <w:end w:w="80" w:type="dxa"/>
            </w:tcMar>
            <w:shd w:fill="F8FAFC"/>
          </w:tcPr>
          <w:p>
            <w:r>
              <w:rPr>
                <w:sz w:val="14"/>
              </w:rPr>
              <w:t>97.2</w:t>
            </w:r>
          </w:p>
        </w:tc>
        <w:tc>
          <w:tcPr>
            <w:tcW w:type="dxa" w:w="1080"/>
            <w:vAlign w:val="center"/>
            <w:tcMar>
              <w:top w:w="70" w:type="dxa"/>
              <w:start w:w="80" w:type="dxa"/>
              <w:bottom w:w="70" w:type="dxa"/>
              <w:end w:w="80" w:type="dxa"/>
            </w:tcMar>
            <w:shd w:fill="F8FAFC"/>
          </w:tcPr>
          <w:p>
            <w:r>
              <w:rPr>
                <w:sz w:val="14"/>
              </w:rPr>
              <w:t>6.4</w:t>
            </w:r>
          </w:p>
        </w:tc>
        <w:tc>
          <w:tcPr>
            <w:tcW w:type="dxa" w:w="1152"/>
            <w:vAlign w:val="center"/>
            <w:tcMar>
              <w:top w:w="70" w:type="dxa"/>
              <w:start w:w="80" w:type="dxa"/>
              <w:bottom w:w="70" w:type="dxa"/>
              <w:end w:w="80" w:type="dxa"/>
            </w:tcMar>
            <w:shd w:fill="F8FAFC"/>
          </w:tcPr>
          <w:p>
            <w:r>
              <w:rPr>
                <w:sz w:val="14"/>
              </w:rPr>
              <w:t>74.00</w:t>
            </w:r>
          </w:p>
        </w:tc>
        <w:tc>
          <w:tcPr>
            <w:tcW w:type="dxa" w:w="1008"/>
            <w:vAlign w:val="center"/>
            <w:tcMar>
              <w:top w:w="70" w:type="dxa"/>
              <w:start w:w="80" w:type="dxa"/>
              <w:bottom w:w="70" w:type="dxa"/>
              <w:end w:w="80" w:type="dxa"/>
            </w:tcMar>
            <w:shd w:fill="F8FAFC"/>
          </w:tcPr>
          <w:p>
            <w:r>
              <w:rPr>
                <w:sz w:val="14"/>
              </w:rPr>
              <w:t>105</w:t>
            </w:r>
          </w:p>
        </w:tc>
        <w:tc>
          <w:tcPr>
            <w:tcW w:type="dxa" w:w="1152"/>
            <w:vAlign w:val="center"/>
            <w:tcMar>
              <w:top w:w="70" w:type="dxa"/>
              <w:start w:w="80" w:type="dxa"/>
              <w:bottom w:w="70" w:type="dxa"/>
              <w:end w:w="80" w:type="dxa"/>
            </w:tcMar>
            <w:shd w:fill="F8FAFC"/>
          </w:tcPr>
          <w:p>
            <w:r>
              <w:rPr>
                <w:sz w:val="14"/>
              </w:rPr>
              <w:t>6.7</w:t>
            </w:r>
          </w:p>
        </w:tc>
        <w:tc>
          <w:tcPr>
            <w:tcW w:type="dxa" w:w="1368"/>
            <w:vAlign w:val="center"/>
            <w:tcMar>
              <w:top w:w="70" w:type="dxa"/>
              <w:start w:w="80" w:type="dxa"/>
              <w:bottom w:w="70" w:type="dxa"/>
              <w:end w:w="80" w:type="dxa"/>
            </w:tcMar>
            <w:shd w:fill="F8FAFC"/>
          </w:tcPr>
          <w:p>
            <w:r>
              <w:rPr>
                <w:sz w:val="14"/>
              </w:rPr>
              <w:t>2100</w:t>
            </w:r>
          </w:p>
        </w:tc>
        <w:tc>
          <w:tcPr>
            <w:tcW w:type="dxa" w:w="936"/>
            <w:vAlign w:val="center"/>
            <w:tcMar>
              <w:top w:w="70" w:type="dxa"/>
              <w:start w:w="80" w:type="dxa"/>
              <w:bottom w:w="70" w:type="dxa"/>
              <w:end w:w="80" w:type="dxa"/>
            </w:tcMar>
            <w:shd w:fill="F8FAFC"/>
          </w:tcPr>
          <w:p>
            <w:r>
              <w:rPr>
                <w:sz w:val="14"/>
              </w:rPr>
              <w:t>85.4</w:t>
            </w:r>
          </w:p>
        </w:tc>
      </w:tr>
      <w:tr>
        <w:trPr>
          <w:cantSplit/>
        </w:trPr>
        <w:tc>
          <w:tcPr>
            <w:tcW w:type="dxa" w:w="864"/>
            <w:vAlign w:val="center"/>
            <w:tcMar>
              <w:top w:w="70" w:type="dxa"/>
              <w:start w:w="80" w:type="dxa"/>
              <w:bottom w:w="70" w:type="dxa"/>
              <w:end w:w="80" w:type="dxa"/>
            </w:tcMar>
          </w:tcPr>
          <w:p>
            <w:r>
              <w:rPr>
                <w:sz w:val="14"/>
              </w:rPr>
              <w:t>Jun</w:t>
            </w:r>
          </w:p>
        </w:tc>
        <w:tc>
          <w:tcPr>
            <w:tcW w:type="dxa" w:w="936"/>
            <w:vAlign w:val="center"/>
            <w:tcMar>
              <w:top w:w="70" w:type="dxa"/>
              <w:start w:w="80" w:type="dxa"/>
              <w:bottom w:w="70" w:type="dxa"/>
              <w:end w:w="80" w:type="dxa"/>
            </w:tcMar>
          </w:tcPr>
          <w:p>
            <w:r>
              <w:rPr>
                <w:sz w:val="14"/>
              </w:rPr>
              <w:t>92.0</w:t>
            </w:r>
          </w:p>
        </w:tc>
        <w:tc>
          <w:tcPr>
            <w:tcW w:type="dxa" w:w="1152"/>
            <w:vAlign w:val="center"/>
            <w:tcMar>
              <w:top w:w="70" w:type="dxa"/>
              <w:start w:w="80" w:type="dxa"/>
              <w:bottom w:w="70" w:type="dxa"/>
              <w:end w:w="80" w:type="dxa"/>
            </w:tcMar>
          </w:tcPr>
          <w:p>
            <w:r>
              <w:rPr>
                <w:sz w:val="14"/>
              </w:rPr>
              <w:t>97.8</w:t>
            </w:r>
          </w:p>
        </w:tc>
        <w:tc>
          <w:tcPr>
            <w:tcW w:type="dxa" w:w="1080"/>
            <w:vAlign w:val="center"/>
            <w:tcMar>
              <w:top w:w="70" w:type="dxa"/>
              <w:start w:w="80" w:type="dxa"/>
              <w:bottom w:w="70" w:type="dxa"/>
              <w:end w:w="80" w:type="dxa"/>
            </w:tcMar>
          </w:tcPr>
          <w:p>
            <w:r>
              <w:rPr>
                <w:sz w:val="14"/>
              </w:rPr>
              <w:t>6.7</w:t>
            </w:r>
          </w:p>
        </w:tc>
        <w:tc>
          <w:tcPr>
            <w:tcW w:type="dxa" w:w="1152"/>
            <w:vAlign w:val="center"/>
            <w:tcMar>
              <w:top w:w="70" w:type="dxa"/>
              <w:start w:w="80" w:type="dxa"/>
              <w:bottom w:w="70" w:type="dxa"/>
              <w:end w:w="80" w:type="dxa"/>
            </w:tcMar>
          </w:tcPr>
          <w:p>
            <w:r>
              <w:rPr>
                <w:sz w:val="14"/>
              </w:rPr>
              <w:t>79.00</w:t>
            </w:r>
          </w:p>
        </w:tc>
        <w:tc>
          <w:tcPr>
            <w:tcW w:type="dxa" w:w="1008"/>
            <w:vAlign w:val="center"/>
            <w:tcMar>
              <w:top w:w="70" w:type="dxa"/>
              <w:start w:w="80" w:type="dxa"/>
              <w:bottom w:w="70" w:type="dxa"/>
              <w:end w:w="80" w:type="dxa"/>
            </w:tcMar>
          </w:tcPr>
          <w:p>
            <w:r>
              <w:rPr>
                <w:sz w:val="14"/>
              </w:rPr>
              <w:t>98</w:t>
            </w:r>
          </w:p>
        </w:tc>
        <w:tc>
          <w:tcPr>
            <w:tcW w:type="dxa" w:w="1152"/>
            <w:vAlign w:val="center"/>
            <w:tcMar>
              <w:top w:w="70" w:type="dxa"/>
              <w:start w:w="80" w:type="dxa"/>
              <w:bottom w:w="70" w:type="dxa"/>
              <w:end w:w="80" w:type="dxa"/>
            </w:tcMar>
          </w:tcPr>
          <w:p>
            <w:r>
              <w:rPr>
                <w:sz w:val="14"/>
              </w:rPr>
              <w:t>5.8</w:t>
            </w:r>
          </w:p>
        </w:tc>
        <w:tc>
          <w:tcPr>
            <w:tcW w:type="dxa" w:w="1368"/>
            <w:vAlign w:val="center"/>
            <w:tcMar>
              <w:top w:w="70" w:type="dxa"/>
              <w:start w:w="80" w:type="dxa"/>
              <w:bottom w:w="70" w:type="dxa"/>
              <w:end w:w="80" w:type="dxa"/>
            </w:tcMar>
          </w:tcPr>
          <w:p>
            <w:r>
              <w:rPr>
                <w:sz w:val="14"/>
              </w:rPr>
              <w:t>2050</w:t>
            </w:r>
          </w:p>
        </w:tc>
        <w:tc>
          <w:tcPr>
            <w:tcW w:type="dxa" w:w="936"/>
            <w:vAlign w:val="center"/>
            <w:tcMar>
              <w:top w:w="70" w:type="dxa"/>
              <w:start w:w="80" w:type="dxa"/>
              <w:bottom w:w="70" w:type="dxa"/>
              <w:end w:w="80" w:type="dxa"/>
            </w:tcMar>
          </w:tcPr>
          <w:p>
            <w:r>
              <w:rPr>
                <w:sz w:val="14"/>
              </w:rPr>
              <w:t>88.6</w:t>
            </w:r>
          </w:p>
        </w:tc>
      </w:tr>
      <w:tr>
        <w:trPr>
          <w:cantSplit/>
        </w:trPr>
        <w:tc>
          <w:tcPr>
            <w:tcW w:type="dxa" w:w="864"/>
            <w:vAlign w:val="center"/>
            <w:tcMar>
              <w:top w:w="70" w:type="dxa"/>
              <w:start w:w="80" w:type="dxa"/>
              <w:bottom w:w="70" w:type="dxa"/>
              <w:end w:w="80" w:type="dxa"/>
            </w:tcMar>
            <w:shd w:fill="F8FAFC"/>
          </w:tcPr>
          <w:p>
            <w:r>
              <w:rPr>
                <w:sz w:val="14"/>
              </w:rPr>
              <w:t>Jul</w:t>
            </w:r>
          </w:p>
        </w:tc>
        <w:tc>
          <w:tcPr>
            <w:tcW w:type="dxa" w:w="936"/>
            <w:vAlign w:val="center"/>
            <w:tcMar>
              <w:top w:w="70" w:type="dxa"/>
              <w:start w:w="80" w:type="dxa"/>
              <w:bottom w:w="70" w:type="dxa"/>
              <w:end w:w="80" w:type="dxa"/>
            </w:tcMar>
            <w:shd w:fill="F8FAFC"/>
          </w:tcPr>
          <w:p>
            <w:r>
              <w:rPr>
                <w:sz w:val="14"/>
              </w:rPr>
              <w:t>93.5</w:t>
            </w:r>
          </w:p>
        </w:tc>
        <w:tc>
          <w:tcPr>
            <w:tcW w:type="dxa" w:w="1152"/>
            <w:vAlign w:val="center"/>
            <w:tcMar>
              <w:top w:w="70" w:type="dxa"/>
              <w:start w:w="80" w:type="dxa"/>
              <w:bottom w:w="70" w:type="dxa"/>
              <w:end w:w="80" w:type="dxa"/>
            </w:tcMar>
            <w:shd w:fill="F8FAFC"/>
          </w:tcPr>
          <w:p>
            <w:r>
              <w:rPr>
                <w:sz w:val="14"/>
              </w:rPr>
              <w:t>98.4</w:t>
            </w:r>
          </w:p>
        </w:tc>
        <w:tc>
          <w:tcPr>
            <w:tcW w:type="dxa" w:w="1080"/>
            <w:vAlign w:val="center"/>
            <w:tcMar>
              <w:top w:w="70" w:type="dxa"/>
              <w:start w:w="80" w:type="dxa"/>
              <w:bottom w:w="70" w:type="dxa"/>
              <w:end w:w="80" w:type="dxa"/>
            </w:tcMar>
            <w:shd w:fill="F8FAFC"/>
          </w:tcPr>
          <w:p>
            <w:r>
              <w:rPr>
                <w:sz w:val="14"/>
              </w:rPr>
              <w:t>7.0</w:t>
            </w:r>
          </w:p>
        </w:tc>
        <w:tc>
          <w:tcPr>
            <w:tcW w:type="dxa" w:w="1152"/>
            <w:vAlign w:val="center"/>
            <w:tcMar>
              <w:top w:w="70" w:type="dxa"/>
              <w:start w:w="80" w:type="dxa"/>
              <w:bottom w:w="70" w:type="dxa"/>
              <w:end w:w="80" w:type="dxa"/>
            </w:tcMar>
            <w:shd w:fill="F8FAFC"/>
          </w:tcPr>
          <w:p>
            <w:r>
              <w:rPr>
                <w:sz w:val="14"/>
              </w:rPr>
              <w:t>84.00</w:t>
            </w:r>
          </w:p>
        </w:tc>
        <w:tc>
          <w:tcPr>
            <w:tcW w:type="dxa" w:w="1008"/>
            <w:vAlign w:val="center"/>
            <w:tcMar>
              <w:top w:w="70" w:type="dxa"/>
              <w:start w:w="80" w:type="dxa"/>
              <w:bottom w:w="70" w:type="dxa"/>
              <w:end w:w="80" w:type="dxa"/>
            </w:tcMar>
            <w:shd w:fill="F8FAFC"/>
          </w:tcPr>
          <w:p>
            <w:r>
              <w:rPr>
                <w:sz w:val="14"/>
              </w:rPr>
              <w:t>90</w:t>
            </w:r>
          </w:p>
        </w:tc>
        <w:tc>
          <w:tcPr>
            <w:tcW w:type="dxa" w:w="1152"/>
            <w:vAlign w:val="center"/>
            <w:tcMar>
              <w:top w:w="70" w:type="dxa"/>
              <w:start w:w="80" w:type="dxa"/>
              <w:bottom w:w="70" w:type="dxa"/>
              <w:end w:w="80" w:type="dxa"/>
            </w:tcMar>
            <w:shd w:fill="F8FAFC"/>
          </w:tcPr>
          <w:p>
            <w:r>
              <w:rPr>
                <w:sz w:val="14"/>
              </w:rPr>
              <w:t>4.5</w:t>
            </w:r>
          </w:p>
        </w:tc>
        <w:tc>
          <w:tcPr>
            <w:tcW w:type="dxa" w:w="1368"/>
            <w:vAlign w:val="center"/>
            <w:tcMar>
              <w:top w:w="70" w:type="dxa"/>
              <w:start w:w="80" w:type="dxa"/>
              <w:bottom w:w="70" w:type="dxa"/>
              <w:end w:w="80" w:type="dxa"/>
            </w:tcMar>
            <w:shd w:fill="F8FAFC"/>
          </w:tcPr>
          <w:p>
            <w:r>
              <w:rPr>
                <w:sz w:val="14"/>
              </w:rPr>
              <w:t>1980</w:t>
            </w:r>
          </w:p>
        </w:tc>
        <w:tc>
          <w:tcPr>
            <w:tcW w:type="dxa" w:w="936"/>
            <w:vAlign w:val="center"/>
            <w:tcMar>
              <w:top w:w="70" w:type="dxa"/>
              <w:start w:w="80" w:type="dxa"/>
              <w:bottom w:w="70" w:type="dxa"/>
              <w:end w:w="80" w:type="dxa"/>
            </w:tcMar>
            <w:shd w:fill="F8FAFC"/>
          </w:tcPr>
          <w:p>
            <w:r>
              <w:rPr>
                <w:sz w:val="14"/>
              </w:rPr>
              <w:t>92.8</w:t>
            </w:r>
          </w:p>
        </w:tc>
      </w:tr>
      <w:tr>
        <w:trPr>
          <w:cantSplit/>
        </w:trPr>
        <w:tc>
          <w:tcPr>
            <w:tcW w:type="dxa" w:w="864"/>
            <w:vAlign w:val="center"/>
            <w:tcMar>
              <w:top w:w="70" w:type="dxa"/>
              <w:start w:w="80" w:type="dxa"/>
              <w:bottom w:w="70" w:type="dxa"/>
              <w:end w:w="80" w:type="dxa"/>
            </w:tcMar>
          </w:tcPr>
          <w:p>
            <w:r>
              <w:rPr>
                <w:sz w:val="14"/>
              </w:rPr>
              <w:t>Aug</w:t>
            </w:r>
          </w:p>
        </w:tc>
        <w:tc>
          <w:tcPr>
            <w:tcW w:type="dxa" w:w="936"/>
            <w:vAlign w:val="center"/>
            <w:tcMar>
              <w:top w:w="70" w:type="dxa"/>
              <w:start w:w="80" w:type="dxa"/>
              <w:bottom w:w="70" w:type="dxa"/>
              <w:end w:w="80" w:type="dxa"/>
            </w:tcMar>
          </w:tcPr>
          <w:p>
            <w:r>
              <w:rPr>
                <w:sz w:val="14"/>
              </w:rPr>
              <w:t>95.0</w:t>
            </w:r>
          </w:p>
        </w:tc>
        <w:tc>
          <w:tcPr>
            <w:tcW w:type="dxa" w:w="1152"/>
            <w:vAlign w:val="center"/>
            <w:tcMar>
              <w:top w:w="70" w:type="dxa"/>
              <w:start w:w="80" w:type="dxa"/>
              <w:bottom w:w="70" w:type="dxa"/>
              <w:end w:w="80" w:type="dxa"/>
            </w:tcMar>
          </w:tcPr>
          <w:p>
            <w:r>
              <w:rPr>
                <w:sz w:val="14"/>
              </w:rPr>
              <w:t>98.8</w:t>
            </w:r>
          </w:p>
        </w:tc>
        <w:tc>
          <w:tcPr>
            <w:tcW w:type="dxa" w:w="1080"/>
            <w:vAlign w:val="center"/>
            <w:tcMar>
              <w:top w:w="70" w:type="dxa"/>
              <w:start w:w="80" w:type="dxa"/>
              <w:bottom w:w="70" w:type="dxa"/>
              <w:end w:w="80" w:type="dxa"/>
            </w:tcMar>
          </w:tcPr>
          <w:p>
            <w:r>
              <w:rPr>
                <w:sz w:val="14"/>
              </w:rPr>
              <w:t>7.2</w:t>
            </w:r>
          </w:p>
        </w:tc>
        <w:tc>
          <w:tcPr>
            <w:tcW w:type="dxa" w:w="1152"/>
            <w:vAlign w:val="center"/>
            <w:tcMar>
              <w:top w:w="70" w:type="dxa"/>
              <w:start w:w="80" w:type="dxa"/>
              <w:bottom w:w="70" w:type="dxa"/>
              <w:end w:w="80" w:type="dxa"/>
            </w:tcMar>
          </w:tcPr>
          <w:p>
            <w:r>
              <w:rPr>
                <w:sz w:val="14"/>
              </w:rPr>
              <w:t>89.00</w:t>
            </w:r>
          </w:p>
        </w:tc>
        <w:tc>
          <w:tcPr>
            <w:tcW w:type="dxa" w:w="1008"/>
            <w:vAlign w:val="center"/>
            <w:tcMar>
              <w:top w:w="70" w:type="dxa"/>
              <w:start w:w="80" w:type="dxa"/>
              <w:bottom w:w="70" w:type="dxa"/>
              <w:end w:w="80" w:type="dxa"/>
            </w:tcMar>
          </w:tcPr>
          <w:p>
            <w:r>
              <w:rPr>
                <w:sz w:val="14"/>
              </w:rPr>
              <w:t>82</w:t>
            </w:r>
          </w:p>
        </w:tc>
        <w:tc>
          <w:tcPr>
            <w:tcW w:type="dxa" w:w="1152"/>
            <w:vAlign w:val="center"/>
            <w:tcMar>
              <w:top w:w="70" w:type="dxa"/>
              <w:start w:w="80" w:type="dxa"/>
              <w:bottom w:w="70" w:type="dxa"/>
              <w:end w:w="80" w:type="dxa"/>
            </w:tcMar>
          </w:tcPr>
          <w:p>
            <w:r>
              <w:rPr>
                <w:sz w:val="14"/>
              </w:rPr>
              <w:t>3.3</w:t>
            </w:r>
          </w:p>
        </w:tc>
        <w:tc>
          <w:tcPr>
            <w:tcW w:type="dxa" w:w="1368"/>
            <w:vAlign w:val="center"/>
            <w:tcMar>
              <w:top w:w="70" w:type="dxa"/>
              <w:start w:w="80" w:type="dxa"/>
              <w:bottom w:w="70" w:type="dxa"/>
              <w:end w:w="80" w:type="dxa"/>
            </w:tcMar>
          </w:tcPr>
          <w:p>
            <w:r>
              <w:rPr>
                <w:sz w:val="14"/>
              </w:rPr>
              <w:t>1900</w:t>
            </w:r>
          </w:p>
        </w:tc>
        <w:tc>
          <w:tcPr>
            <w:tcW w:type="dxa" w:w="936"/>
            <w:vAlign w:val="center"/>
            <w:tcMar>
              <w:top w:w="70" w:type="dxa"/>
              <w:start w:w="80" w:type="dxa"/>
              <w:bottom w:w="70" w:type="dxa"/>
              <w:end w:w="80" w:type="dxa"/>
            </w:tcMar>
          </w:tcPr>
          <w:p>
            <w:r>
              <w:rPr>
                <w:sz w:val="14"/>
              </w:rPr>
              <w:t>98.1</w:t>
            </w:r>
          </w:p>
        </w:tc>
      </w:tr>
      <w:tr>
        <w:trPr>
          <w:cantSplit/>
        </w:trPr>
        <w:tc>
          <w:tcPr>
            <w:tcW w:type="dxa" w:w="864"/>
            <w:vAlign w:val="center"/>
            <w:tcMar>
              <w:top w:w="70" w:type="dxa"/>
              <w:start w:w="80" w:type="dxa"/>
              <w:bottom w:w="70" w:type="dxa"/>
              <w:end w:w="80" w:type="dxa"/>
            </w:tcMar>
            <w:shd w:fill="F8FAFC"/>
          </w:tcPr>
          <w:p>
            <w:r>
              <w:rPr>
                <w:sz w:val="14"/>
              </w:rPr>
              <w:t>Sep</w:t>
            </w:r>
          </w:p>
        </w:tc>
        <w:tc>
          <w:tcPr>
            <w:tcW w:type="dxa" w:w="936"/>
            <w:vAlign w:val="center"/>
            <w:tcMar>
              <w:top w:w="70" w:type="dxa"/>
              <w:start w:w="80" w:type="dxa"/>
              <w:bottom w:w="70" w:type="dxa"/>
              <w:end w:w="80" w:type="dxa"/>
            </w:tcMar>
            <w:shd w:fill="F8FAFC"/>
          </w:tcPr>
          <w:p>
            <w:r>
              <w:rPr>
                <w:sz w:val="14"/>
              </w:rPr>
              <w:t>96.0</w:t>
            </w:r>
          </w:p>
        </w:tc>
        <w:tc>
          <w:tcPr>
            <w:tcW w:type="dxa" w:w="1152"/>
            <w:vAlign w:val="center"/>
            <w:tcMar>
              <w:top w:w="70" w:type="dxa"/>
              <w:start w:w="80" w:type="dxa"/>
              <w:bottom w:w="70" w:type="dxa"/>
              <w:end w:w="80" w:type="dxa"/>
            </w:tcMar>
            <w:shd w:fill="F8FAFC"/>
          </w:tcPr>
          <w:p>
            <w:r>
              <w:rPr>
                <w:sz w:val="14"/>
              </w:rPr>
              <w:t>99.1</w:t>
            </w:r>
          </w:p>
        </w:tc>
        <w:tc>
          <w:tcPr>
            <w:tcW w:type="dxa" w:w="1080"/>
            <w:vAlign w:val="center"/>
            <w:tcMar>
              <w:top w:w="70" w:type="dxa"/>
              <w:start w:w="80" w:type="dxa"/>
              <w:bottom w:w="70" w:type="dxa"/>
              <w:end w:w="80" w:type="dxa"/>
            </w:tcMar>
            <w:shd w:fill="F8FAFC"/>
          </w:tcPr>
          <w:p>
            <w:r>
              <w:rPr>
                <w:sz w:val="14"/>
              </w:rPr>
              <w:t>7.4</w:t>
            </w:r>
          </w:p>
        </w:tc>
        <w:tc>
          <w:tcPr>
            <w:tcW w:type="dxa" w:w="1152"/>
            <w:vAlign w:val="center"/>
            <w:tcMar>
              <w:top w:w="70" w:type="dxa"/>
              <w:start w:w="80" w:type="dxa"/>
              <w:bottom w:w="70" w:type="dxa"/>
              <w:end w:w="80" w:type="dxa"/>
            </w:tcMar>
            <w:shd w:fill="F8FAFC"/>
          </w:tcPr>
          <w:p>
            <w:r>
              <w:rPr>
                <w:sz w:val="14"/>
              </w:rPr>
              <w:t>93.75</w:t>
            </w:r>
          </w:p>
        </w:tc>
        <w:tc>
          <w:tcPr>
            <w:tcW w:type="dxa" w:w="1008"/>
            <w:vAlign w:val="center"/>
            <w:tcMar>
              <w:top w:w="70" w:type="dxa"/>
              <w:start w:w="80" w:type="dxa"/>
              <w:bottom w:w="70" w:type="dxa"/>
              <w:end w:w="80" w:type="dxa"/>
            </w:tcMar>
            <w:shd w:fill="F8FAFC"/>
          </w:tcPr>
          <w:p>
            <w:r>
              <w:rPr>
                <w:sz w:val="14"/>
              </w:rPr>
              <w:t>75</w:t>
            </w:r>
          </w:p>
        </w:tc>
        <w:tc>
          <w:tcPr>
            <w:tcW w:type="dxa" w:w="1152"/>
            <w:vAlign w:val="center"/>
            <w:tcMar>
              <w:top w:w="70" w:type="dxa"/>
              <w:start w:w="80" w:type="dxa"/>
              <w:bottom w:w="70" w:type="dxa"/>
              <w:end w:w="80" w:type="dxa"/>
            </w:tcMar>
            <w:shd w:fill="F8FAFC"/>
          </w:tcPr>
          <w:p>
            <w:r>
              <w:rPr>
                <w:sz w:val="14"/>
              </w:rPr>
              <w:t>2.4</w:t>
            </w:r>
          </w:p>
        </w:tc>
        <w:tc>
          <w:tcPr>
            <w:tcW w:type="dxa" w:w="1368"/>
            <w:vAlign w:val="center"/>
            <w:tcMar>
              <w:top w:w="70" w:type="dxa"/>
              <w:start w:w="80" w:type="dxa"/>
              <w:bottom w:w="70" w:type="dxa"/>
              <w:end w:w="80" w:type="dxa"/>
            </w:tcMar>
            <w:shd w:fill="F8FAFC"/>
          </w:tcPr>
          <w:p>
            <w:r>
              <w:rPr>
                <w:sz w:val="14"/>
              </w:rPr>
              <w:t>1825</w:t>
            </w:r>
          </w:p>
        </w:tc>
        <w:tc>
          <w:tcPr>
            <w:tcW w:type="dxa" w:w="936"/>
            <w:vAlign w:val="center"/>
            <w:tcMar>
              <w:top w:w="70" w:type="dxa"/>
              <w:start w:w="80" w:type="dxa"/>
              <w:bottom w:w="70" w:type="dxa"/>
              <w:end w:w="80" w:type="dxa"/>
            </w:tcMar>
            <w:shd w:fill="F8FAFC"/>
          </w:tcPr>
          <w:p>
            <w:r>
              <w:rPr>
                <w:sz w:val="14"/>
              </w:rPr>
              <w:t>99.8</w:t>
            </w:r>
          </w:p>
        </w:tc>
      </w:tr>
    </w:tbl>
    <w:tbl>
      <w:tblPr>
        <w:tblW w:type="auto" w:w="0"/>
        <w:jc w:val="center"/>
        <w:tblLook w:firstColumn="1" w:firstRow="1" w:lastColumn="0" w:lastRow="0" w:noHBand="0" w:noVBand="1" w:val="04A0"/>
      </w:tblPr>
      <w:tblGrid>
        <w:gridCol w:w="10282"/>
      </w:tblGrid>
      <w:tr>
        <w:tc>
          <w:tcPr>
            <w:tcW w:type="dxa" w:w="10282"/>
            <w:shd w:fill="FFF4D6"/>
            <w:tcMar>
              <w:top w:w="110" w:type="dxa"/>
              <w:start w:w="130" w:type="dxa"/>
              <w:bottom w:w="110" w:type="dxa"/>
              <w:end w:w="130" w:type="dxa"/>
            </w:tcMar>
          </w:tcPr>
          <w:p>
            <w:r>
              <w:rPr>
                <w:b/>
                <w:color w:val="17365D"/>
              </w:rPr>
              <w:t xml:space="preserve">Interpretation: </w:t>
            </w:r>
            <w:r>
              <w:t>The composite score is not a replacement for individual KPIs. It is a management summary. Any red service KPI still requires action even if the weighted total remains high.</w:t>
            </w:r>
          </w:p>
        </w:tc>
      </w:tr>
    </w:tbl>
    <w:p>
      <w:pPr>
        <w:pStyle w:val="Heading1"/>
      </w:pPr>
      <w:r>
        <w:t>8. Analysis Findings and Charts</w:t>
      </w:r>
    </w:p>
    <w:p>
      <w:pPr>
        <w:pStyle w:val="Heading2"/>
      </w:pPr>
      <w:r>
        <w:t>8.1 Service and quality trend</w:t>
      </w:r>
    </w:p>
    <w:p>
      <w:r>
        <w:drawing>
          <wp:inline xmlns:a="http://schemas.openxmlformats.org/drawingml/2006/main" xmlns:pic="http://schemas.openxmlformats.org/drawingml/2006/picture">
            <wp:extent cx="6217920" cy="3391593"/>
            <wp:docPr id="4" name="Picture 4"/>
            <wp:cNvGraphicFramePr>
              <a:graphicFrameLocks noChangeAspect="1"/>
            </wp:cNvGraphicFramePr>
            <a:graphic>
              <a:graphicData uri="http://schemas.openxmlformats.org/drawingml/2006/picture">
                <pic:pic>
                  <pic:nvPicPr>
                    <pic:cNvPr id="0" name="service_quality_trend.png"/>
                    <pic:cNvPicPr/>
                  </pic:nvPicPr>
                  <pic:blipFill>
                    <a:blip r:embed="rId14"/>
                    <a:stretch>
                      <a:fillRect/>
                    </a:stretch>
                  </pic:blipFill>
                  <pic:spPr>
                    <a:xfrm>
                      <a:off x="0" y="0"/>
                      <a:ext cx="6217920" cy="3391593"/>
                    </a:xfrm>
                    <a:prstGeom prst="rect"/>
                  </pic:spPr>
                </pic:pic>
              </a:graphicData>
            </a:graphic>
          </wp:inline>
        </w:drawing>
      </w:r>
    </w:p>
    <w:p>
      <w:pPr>
        <w:jc w:val="center"/>
      </w:pPr>
      <w:r>
        <w:rPr>
          <w:i/>
          <w:color w:val="5A5A5A"/>
          <w:sz w:val="17"/>
        </w:rPr>
        <w:t>Figure 4. Service and quality KPI trend, Apr-Sep</w:t>
      </w:r>
    </w:p>
    <w:p>
      <w:pPr>
        <w:pStyle w:val="BodyText"/>
      </w:pPr>
      <w:r>
        <w:t>OTIF rises by 7 percentage points, from 89% to 96%. For a volume of 1,000 orders per month, that represents approximately 70 additional orders meeting the OTIF definition each month. Order and pick accuracy also improve, reducing rework and customer complaints.</w:t>
      </w:r>
    </w:p>
    <w:p>
      <w:pPr>
        <w:pStyle w:val="Heading2"/>
      </w:pPr>
      <w:r>
        <w:t>8.2 Efficiency and cost target attainment</w:t>
      </w:r>
    </w:p>
    <w:p>
      <w:r>
        <w:drawing>
          <wp:inline xmlns:a="http://schemas.openxmlformats.org/drawingml/2006/main" xmlns:pic="http://schemas.openxmlformats.org/drawingml/2006/picture">
            <wp:extent cx="6217920" cy="3391593"/>
            <wp:docPr id="5" name="Picture 5"/>
            <wp:cNvGraphicFramePr>
              <a:graphicFrameLocks noChangeAspect="1"/>
            </wp:cNvGraphicFramePr>
            <a:graphic>
              <a:graphicData uri="http://schemas.openxmlformats.org/drawingml/2006/picture">
                <pic:pic>
                  <pic:nvPicPr>
                    <pic:cNvPr id="0" name="efficiency_target_attainment.png"/>
                    <pic:cNvPicPr/>
                  </pic:nvPicPr>
                  <pic:blipFill>
                    <a:blip r:embed="rId15"/>
                    <a:stretch>
                      <a:fillRect/>
                    </a:stretch>
                  </pic:blipFill>
                  <pic:spPr>
                    <a:xfrm>
                      <a:off x="0" y="0"/>
                      <a:ext cx="6217920" cy="3391593"/>
                    </a:xfrm>
                    <a:prstGeom prst="rect"/>
                  </pic:spPr>
                </pic:pic>
              </a:graphicData>
            </a:graphic>
          </wp:inline>
        </w:drawing>
      </w:r>
    </w:p>
    <w:p>
      <w:pPr>
        <w:jc w:val="center"/>
      </w:pPr>
      <w:r>
        <w:rPr>
          <w:i/>
          <w:color w:val="5A5A5A"/>
          <w:sz w:val="17"/>
        </w:rPr>
        <w:t>Figure 5. Efficiency and cost KPIs normalized to target attainment</w:t>
      </w:r>
    </w:p>
    <w:p>
      <w:pPr>
        <w:pStyle w:val="BodyText"/>
      </w:pPr>
      <w:r>
        <w:t>The normalized chart makes different units comparable. A value of 100 means the KPI target has been reached. Truck utilization, dock turnaround, stock-out rate, freight cost and order cycle time all move materially toward target across the six periods.</w:t>
      </w:r>
    </w:p>
    <w:p>
      <w:pPr>
        <w:pStyle w:val="Heading2"/>
      </w:pPr>
      <w:r>
        <w:t>8.3 Composite score</w:t>
      </w:r>
    </w:p>
    <w:p>
      <w:r>
        <w:drawing>
          <wp:inline xmlns:a="http://schemas.openxmlformats.org/drawingml/2006/main" xmlns:pic="http://schemas.openxmlformats.org/drawingml/2006/picture">
            <wp:extent cx="6217920" cy="3108960"/>
            <wp:docPr id="6" name="Picture 6"/>
            <wp:cNvGraphicFramePr>
              <a:graphicFrameLocks noChangeAspect="1"/>
            </wp:cNvGraphicFramePr>
            <a:graphic>
              <a:graphicData uri="http://schemas.openxmlformats.org/drawingml/2006/picture">
                <pic:pic>
                  <pic:nvPicPr>
                    <pic:cNvPr id="0" name="composite_score.png"/>
                    <pic:cNvPicPr/>
                  </pic:nvPicPr>
                  <pic:blipFill>
                    <a:blip r:embed="rId16"/>
                    <a:stretch>
                      <a:fillRect/>
                    </a:stretch>
                  </pic:blipFill>
                  <pic:spPr>
                    <a:xfrm>
                      <a:off x="0" y="0"/>
                      <a:ext cx="6217920" cy="3108960"/>
                    </a:xfrm>
                    <a:prstGeom prst="rect"/>
                  </pic:spPr>
                </pic:pic>
              </a:graphicData>
            </a:graphic>
          </wp:inline>
        </w:drawing>
      </w:r>
    </w:p>
    <w:p>
      <w:pPr>
        <w:jc w:val="center"/>
      </w:pPr>
      <w:r>
        <w:rPr>
          <w:i/>
          <w:color w:val="5A5A5A"/>
          <w:sz w:val="17"/>
        </w:rPr>
        <w:t>Figure 6. Weighted composite logistics performance score</w:t>
      </w:r>
    </w:p>
    <w:p>
      <w:pPr>
        <w:pStyle w:val="BodyText"/>
      </w:pPr>
      <w:r>
        <w:t>The weighted score improves from 83.1 to 99.8. The April result is Amber: service and efficiency are improving but several metrics are still materially below target. By September most targets are achieved, although order accuracy, inventory turnover, pick accuracy and inventory accuracy remain slightly below their stretch targets and should continue to be monitored.</w:t>
      </w:r>
    </w:p>
    <w:p>
      <w:pPr>
        <w:pStyle w:val="Heading2"/>
      </w:pPr>
      <w:r>
        <w:t>8.4 Exception distribution</w:t>
      </w:r>
    </w:p>
    <w:p>
      <w:r>
        <w:drawing>
          <wp:inline xmlns:a="http://schemas.openxmlformats.org/drawingml/2006/main" xmlns:pic="http://schemas.openxmlformats.org/drawingml/2006/picture">
            <wp:extent cx="6217920" cy="3179618"/>
            <wp:docPr id="7" name="Picture 7"/>
            <wp:cNvGraphicFramePr>
              <a:graphicFrameLocks noChangeAspect="1"/>
            </wp:cNvGraphicFramePr>
            <a:graphic>
              <a:graphicData uri="http://schemas.openxmlformats.org/drawingml/2006/picture">
                <pic:pic>
                  <pic:nvPicPr>
                    <pic:cNvPr id="0" name="exception_distribution.png"/>
                    <pic:cNvPicPr/>
                  </pic:nvPicPr>
                  <pic:blipFill>
                    <a:blip r:embed="rId17"/>
                    <a:stretch>
                      <a:fillRect/>
                    </a:stretch>
                  </pic:blipFill>
                  <pic:spPr>
                    <a:xfrm>
                      <a:off x="0" y="0"/>
                      <a:ext cx="6217920" cy="3179618"/>
                    </a:xfrm>
                    <a:prstGeom prst="rect"/>
                  </pic:spPr>
                </pic:pic>
              </a:graphicData>
            </a:graphic>
          </wp:inline>
        </w:drawing>
      </w:r>
    </w:p>
    <w:p>
      <w:pPr>
        <w:jc w:val="center"/>
      </w:pPr>
      <w:r>
        <w:rPr>
          <w:i/>
          <w:color w:val="5A5A5A"/>
          <w:sz w:val="17"/>
        </w:rPr>
        <w:t>Figure 7. Simulated logistics exception distribution</w:t>
      </w:r>
    </w:p>
    <w:p>
      <w:pPr>
        <w:pStyle w:val="BodyText"/>
      </w:pPr>
      <w:r>
        <w:t>Late carrier pickup and warehouse staging delay account for 56% of simulated logistics exceptions. This suggests that carrier appointment discipline and wave/staging synchronization should receive higher priority than broad, unfocused process changes.</w:t>
      </w:r>
    </w:p>
    <w:p>
      <w:pPr>
        <w:pStyle w:val="Heading1"/>
      </w:pPr>
      <w:r>
        <w:t>9. Worked Examples and Business Impact</w:t>
      </w:r>
    </w:p>
    <w:p>
      <w:pPr>
        <w:pStyle w:val="Heading2"/>
      </w:pPr>
      <w:r>
        <w:t>9.1 Freight-cost impact from transport efficiency</w:t>
      </w:r>
    </w:p>
    <w:p>
      <w:pPr>
        <w:pStyle w:val="BodyText"/>
      </w:pPr>
      <w:r>
        <w:t>Freight cost per tonne improves from INR 2,150 to INR 1,825, a reduction of INR 325/tonne. At 150 tonnes/week, annualized volume is 150 x 52 = 7,800 tonnes. Illustrative annualized freight saving = INR 325 x 7,800 = INR 2,535,000, or about INR 25.35 lakh, if the improved rate is sustained for a full year.</w:t>
      </w:r>
    </w:p>
    <w:p>
      <w:pPr>
        <w:pStyle w:val="Heading2"/>
      </w:pPr>
      <w:r>
        <w:t>9.2 Dock productivity impact</w:t>
      </w:r>
    </w:p>
    <w:p>
      <w:pPr>
        <w:pStyle w:val="BodyText"/>
      </w:pPr>
      <w:r>
        <w:t>Average dock turnaround falls from 110 to 75 minutes, saving 35 minutes per truck visit. If the warehouse handles 18 truck visits per week, time released = 35 x 18 = 630 minutes = 10.5 dock-hours/week. This capacity can reduce queueing and protect planned departure times without adding physical dock doors.</w:t>
      </w:r>
    </w:p>
    <w:p>
      <w:pPr>
        <w:pStyle w:val="Heading2"/>
      </w:pPr>
      <w:r>
        <w:t>9.3 Stock-out reduction</w:t>
      </w:r>
    </w:p>
    <w:p>
      <w:pPr>
        <w:pStyle w:val="BodyText"/>
      </w:pPr>
      <w:r>
        <w:t>The simulated stock-out rate falls from 7.5% to 2.4%. On 1,000 order lines, stock-out affected lines reduce from 75 to 24, or 51 fewer affected lines per comparable period. This can reduce expedites, split deliveries and customer-service exceptions.</w:t>
      </w:r>
    </w:p>
    <w:p>
      <w:pPr>
        <w:pStyle w:val="Heading2"/>
      </w:pPr>
      <w:r>
        <w:t>9.4 Weighted-score method</w:t>
      </w:r>
    </w:p>
    <w:p>
      <w:pPr>
        <w:pStyle w:val="BodyText"/>
      </w:pPr>
      <w:r>
        <w:t>Each KPI is converted to a target-attainment score. Higher-is-better KPIs use Actual / Target; lower-is-better KPIs use Target / Actual. Scores are capped at 100 so over-performance in one area does not mask a serious shortfall elsewhere. The result is multiplied by the KPI weight and summed to produce the composite score.</w:t>
      </w:r>
    </w:p>
    <w:tbl>
      <w:tblPr>
        <w:tblW w:type="auto" w:w="0"/>
        <w:jc w:val="center"/>
        <w:tblLook w:firstColumn="1" w:firstRow="1" w:lastColumn="0" w:lastRow="0" w:noHBand="0" w:noVBand="1" w:val="04A0"/>
      </w:tblPr>
      <w:tblGrid>
        <w:gridCol w:w="10282"/>
      </w:tblGrid>
      <w:tr>
        <w:tc>
          <w:tcPr>
            <w:tcW w:type="dxa" w:w="10282"/>
            <w:shd w:fill="FDECEC"/>
            <w:tcMar>
              <w:top w:w="110" w:type="dxa"/>
              <w:start w:w="130" w:type="dxa"/>
              <w:bottom w:w="110" w:type="dxa"/>
              <w:end w:w="130" w:type="dxa"/>
            </w:tcMar>
          </w:tcPr>
          <w:p>
            <w:r>
              <w:rPr>
                <w:b/>
                <w:color w:val="17365D"/>
              </w:rPr>
              <w:t xml:space="preserve">Control principle: </w:t>
            </w:r>
            <w:r>
              <w:t>A composite score should never be used to hide a red customer-service or compliance KPI. Critical breaches remain separately visible and require action regardless of the total score.</w:t>
            </w:r>
          </w:p>
        </w:tc>
      </w:tr>
    </w:tbl>
    <w:p>
      <w:pPr>
        <w:pStyle w:val="Heading1"/>
      </w:pPr>
      <w:r>
        <w:t>10. SAP SCM Reporting Configuration Guidelines</w:t>
      </w:r>
    </w:p>
    <w:p>
      <w:pPr>
        <w:pStyle w:val="BodyText"/>
      </w:pPr>
      <w:r>
        <w:t>The following configuration sequence shows how the KPI framework could be implemented in a typical SAP logistics landscape. Names and available analytical applications vary by release, so the design should be adapted to the organization's actual architecture.</w:t>
      </w:r>
    </w:p>
    <w:p>
      <w:pPr>
        <w:pStyle w:val="BodyText"/>
        <w:ind w:left="259" w:hanging="259"/>
      </w:pPr>
      <w:r>
        <w:rPr>
          <w:b/>
        </w:rPr>
        <w:t xml:space="preserve">1.  </w:t>
      </w:r>
      <w:r>
        <w:t>Create a KPI dictionary with formula, unit, target, tolerance, owner and reporting frequency.</w:t>
      </w:r>
    </w:p>
    <w:p>
      <w:pPr>
        <w:pStyle w:val="BodyText"/>
        <w:ind w:left="259" w:hanging="259"/>
      </w:pPr>
      <w:r>
        <w:rPr>
          <w:b/>
        </w:rPr>
        <w:t xml:space="preserve">2.  </w:t>
      </w:r>
      <w:r>
        <w:t>Identify source documents and events: ERP orders/deliveries, TM freight orders and execution events, EWM stock and warehouse tasks, and APO planning alerts.</w:t>
      </w:r>
    </w:p>
    <w:p>
      <w:pPr>
        <w:pStyle w:val="BodyText"/>
        <w:ind w:left="259" w:hanging="259"/>
      </w:pPr>
      <w:r>
        <w:rPr>
          <w:b/>
        </w:rPr>
        <w:t xml:space="preserve">3.  </w:t>
      </w:r>
      <w:r>
        <w:t>Validate master-data keys such as product, location, carrier, warehouse number, route/mode and unit of measure so records can be joined consistently.</w:t>
      </w:r>
    </w:p>
    <w:p>
      <w:pPr>
        <w:pStyle w:val="BodyText"/>
        <w:ind w:left="259" w:hanging="259"/>
      </w:pPr>
      <w:r>
        <w:rPr>
          <w:b/>
        </w:rPr>
        <w:t xml:space="preserve">4.  </w:t>
      </w:r>
      <w:r>
        <w:t>For SAP TM, enable or use operational reporting / analytical content appropriate to the system release; include freight-order execution, quantity/utilization and cost dimensions.</w:t>
      </w:r>
    </w:p>
    <w:p>
      <w:pPr>
        <w:pStyle w:val="BodyText"/>
        <w:ind w:left="259" w:hanging="259"/>
      </w:pPr>
      <w:r>
        <w:rPr>
          <w:b/>
        </w:rPr>
        <w:t xml:space="preserve">5.  </w:t>
      </w:r>
      <w:r>
        <w:t>For SAP EWM, configure warehouse-monitor views, measurement services or BW content for warehouse tasks, stock, transportation units, warehouse orders and performance measurements.</w:t>
      </w:r>
    </w:p>
    <w:p>
      <w:pPr>
        <w:pStyle w:val="BodyText"/>
        <w:ind w:left="259" w:hanging="259"/>
      </w:pPr>
      <w:r>
        <w:rPr>
          <w:b/>
        </w:rPr>
        <w:t xml:space="preserve">6.  </w:t>
      </w:r>
      <w:r>
        <w:t>For SAP APO, define Alert Monitor profiles for SNP/PPDS exceptions that affect service, shortage, capacity or plan adherence.</w:t>
      </w:r>
    </w:p>
    <w:p>
      <w:pPr>
        <w:pStyle w:val="BodyText"/>
        <w:ind w:left="259" w:hanging="259"/>
      </w:pPr>
      <w:r>
        <w:rPr>
          <w:b/>
        </w:rPr>
        <w:t xml:space="preserve">7.  </w:t>
      </w:r>
      <w:r>
        <w:t>Use BW, ODP/CDS-based analytics or an enterprise analytics layer to consolidate cross-process measures where direct operational views are insufficient.</w:t>
      </w:r>
    </w:p>
    <w:p>
      <w:pPr>
        <w:pStyle w:val="BodyText"/>
        <w:ind w:left="259" w:hanging="259"/>
      </w:pPr>
      <w:r>
        <w:rPr>
          <w:b/>
        </w:rPr>
        <w:t xml:space="preserve">8.  </w:t>
      </w:r>
      <w:r>
        <w:t>Create filters by month, product group, customer region, carrier, warehouse, route and exception type.</w:t>
      </w:r>
    </w:p>
    <w:p>
      <w:pPr>
        <w:pStyle w:val="BodyText"/>
        <w:ind w:left="259" w:hanging="259"/>
      </w:pPr>
      <w:r>
        <w:rPr>
          <w:b/>
        </w:rPr>
        <w:t xml:space="preserve">9.  </w:t>
      </w:r>
      <w:r>
        <w:t>Apply refresh schedules: near-real-time for urgent execution exceptions, daily for operational KPIs and monthly for management scorecards.</w:t>
      </w:r>
    </w:p>
    <w:p>
      <w:pPr>
        <w:pStyle w:val="BodyText"/>
        <w:ind w:left="259" w:hanging="259"/>
      </w:pPr>
      <w:r>
        <w:rPr>
          <w:b/>
        </w:rPr>
        <w:t xml:space="preserve">10.  </w:t>
      </w:r>
      <w:r>
        <w:t>Reconcile calculated KPI results with source transactions before publishing and retain evidence for material variances.</w:t>
      </w:r>
    </w:p>
    <w:p>
      <w:r>
        <w:br w:type="page"/>
      </w:r>
    </w:p>
    <w:p>
      <w:pPr>
        <w:pStyle w:val="Heading2"/>
      </w:pPr>
      <w:r>
        <w:t>10.1 SAP tool-to-purpose mapping</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16"/>
            <w:shd w:fill="17365D"/>
            <w:vAlign w:val="center"/>
            <w:tcMar>
              <w:top w:w="70" w:type="dxa"/>
              <w:start w:w="80" w:type="dxa"/>
              <w:bottom w:w="70" w:type="dxa"/>
              <w:end w:w="80" w:type="dxa"/>
            </w:tcMar>
          </w:tcPr>
          <w:p>
            <w:pPr>
              <w:jc w:val="center"/>
            </w:pPr>
            <w:r>
              <w:rPr>
                <w:b/>
                <w:color w:val="FFFFFF"/>
                <w:sz w:val="16"/>
              </w:rPr>
              <w:t>SAP capability</w:t>
            </w:r>
          </w:p>
        </w:tc>
        <w:tc>
          <w:tcPr>
            <w:tcW w:type="dxa" w:w="3888"/>
            <w:shd w:fill="17365D"/>
            <w:vAlign w:val="center"/>
            <w:tcMar>
              <w:top w:w="70" w:type="dxa"/>
              <w:start w:w="80" w:type="dxa"/>
              <w:bottom w:w="70" w:type="dxa"/>
              <w:end w:w="80" w:type="dxa"/>
            </w:tcMar>
          </w:tcPr>
          <w:p>
            <w:pPr>
              <w:jc w:val="center"/>
            </w:pPr>
            <w:r>
              <w:rPr>
                <w:b/>
                <w:color w:val="FFFFFF"/>
                <w:sz w:val="16"/>
              </w:rPr>
              <w:t>Use in framework</w:t>
            </w:r>
          </w:p>
        </w:tc>
        <w:tc>
          <w:tcPr>
            <w:tcW w:type="dxa" w:w="3600"/>
            <w:shd w:fill="17365D"/>
            <w:vAlign w:val="center"/>
            <w:tcMar>
              <w:top w:w="70" w:type="dxa"/>
              <w:start w:w="80" w:type="dxa"/>
              <w:bottom w:w="70" w:type="dxa"/>
              <w:end w:w="80" w:type="dxa"/>
            </w:tcMar>
          </w:tcPr>
          <w:p>
            <w:pPr>
              <w:jc w:val="center"/>
            </w:pPr>
            <w:r>
              <w:rPr>
                <w:b/>
                <w:color w:val="FFFFFF"/>
                <w:sz w:val="16"/>
              </w:rPr>
              <w:t>Example output</w:t>
            </w:r>
          </w:p>
        </w:tc>
      </w:tr>
      <w:tr>
        <w:trPr>
          <w:cantSplit/>
        </w:trPr>
        <w:tc>
          <w:tcPr>
            <w:tcW w:type="dxa" w:w="2016"/>
            <w:vAlign w:val="center"/>
            <w:tcMar>
              <w:top w:w="70" w:type="dxa"/>
              <w:start w:w="80" w:type="dxa"/>
              <w:bottom w:w="70" w:type="dxa"/>
              <w:end w:w="80" w:type="dxa"/>
            </w:tcMar>
          </w:tcPr>
          <w:p>
            <w:r>
              <w:rPr>
                <w:sz w:val="16"/>
              </w:rPr>
              <w:t>SAP TM operational analytics</w:t>
            </w:r>
          </w:p>
        </w:tc>
        <w:tc>
          <w:tcPr>
            <w:tcW w:type="dxa" w:w="3888"/>
            <w:vAlign w:val="center"/>
            <w:tcMar>
              <w:top w:w="70" w:type="dxa"/>
              <w:start w:w="80" w:type="dxa"/>
              <w:bottom w:w="70" w:type="dxa"/>
              <w:end w:w="80" w:type="dxa"/>
            </w:tcMar>
          </w:tcPr>
          <w:p>
            <w:r>
              <w:rPr>
                <w:sz w:val="16"/>
              </w:rPr>
              <w:t>Transport execution, quantity, utilization and cost analysis</w:t>
            </w:r>
          </w:p>
        </w:tc>
        <w:tc>
          <w:tcPr>
            <w:tcW w:type="dxa" w:w="3600"/>
            <w:vAlign w:val="center"/>
            <w:tcMar>
              <w:top w:w="70" w:type="dxa"/>
              <w:start w:w="80" w:type="dxa"/>
              <w:bottom w:w="70" w:type="dxa"/>
              <w:end w:w="80" w:type="dxa"/>
            </w:tcMar>
          </w:tcPr>
          <w:p>
            <w:r>
              <w:rPr>
                <w:sz w:val="16"/>
              </w:rPr>
              <w:t>carrier on-time ratio, delayed freight orders, weight/volume and freight-cost views</w:t>
            </w:r>
          </w:p>
        </w:tc>
      </w:tr>
      <w:tr>
        <w:trPr>
          <w:cantSplit/>
        </w:trPr>
        <w:tc>
          <w:tcPr>
            <w:tcW w:type="dxa" w:w="2016"/>
            <w:vAlign w:val="center"/>
            <w:tcMar>
              <w:top w:w="70" w:type="dxa"/>
              <w:start w:w="80" w:type="dxa"/>
              <w:bottom w:w="70" w:type="dxa"/>
              <w:end w:w="80" w:type="dxa"/>
            </w:tcMar>
            <w:shd w:fill="F8FAFC"/>
          </w:tcPr>
          <w:p>
            <w:r>
              <w:rPr>
                <w:sz w:val="16"/>
              </w:rPr>
              <w:t>SAP EWM Warehouse Monitor / Analytics</w:t>
            </w:r>
          </w:p>
        </w:tc>
        <w:tc>
          <w:tcPr>
            <w:tcW w:type="dxa" w:w="3888"/>
            <w:vAlign w:val="center"/>
            <w:tcMar>
              <w:top w:w="70" w:type="dxa"/>
              <w:start w:w="80" w:type="dxa"/>
              <w:bottom w:w="70" w:type="dxa"/>
              <w:end w:w="80" w:type="dxa"/>
            </w:tcMar>
            <w:shd w:fill="F8FAFC"/>
          </w:tcPr>
          <w:p>
            <w:r>
              <w:rPr>
                <w:sz w:val="16"/>
              </w:rPr>
              <w:t>Warehouse process and stock monitoring</w:t>
            </w:r>
          </w:p>
        </w:tc>
        <w:tc>
          <w:tcPr>
            <w:tcW w:type="dxa" w:w="3600"/>
            <w:vAlign w:val="center"/>
            <w:tcMar>
              <w:top w:w="70" w:type="dxa"/>
              <w:start w:w="80" w:type="dxa"/>
              <w:bottom w:w="70" w:type="dxa"/>
              <w:end w:w="80" w:type="dxa"/>
            </w:tcMar>
            <w:shd w:fill="F8FAFC"/>
          </w:tcPr>
          <w:p>
            <w:r>
              <w:rPr>
                <w:sz w:val="16"/>
              </w:rPr>
              <w:t>warehouse tasks, stock, transportation units, exception and KPI views</w:t>
            </w:r>
          </w:p>
        </w:tc>
      </w:tr>
      <w:tr>
        <w:trPr>
          <w:cantSplit/>
        </w:trPr>
        <w:tc>
          <w:tcPr>
            <w:tcW w:type="dxa" w:w="2016"/>
            <w:vAlign w:val="center"/>
            <w:tcMar>
              <w:top w:w="70" w:type="dxa"/>
              <w:start w:w="80" w:type="dxa"/>
              <w:bottom w:w="70" w:type="dxa"/>
              <w:end w:w="80" w:type="dxa"/>
            </w:tcMar>
          </w:tcPr>
          <w:p>
            <w:r>
              <w:rPr>
                <w:sz w:val="16"/>
              </w:rPr>
              <w:t>SAP APO Alert Monitor</w:t>
            </w:r>
          </w:p>
        </w:tc>
        <w:tc>
          <w:tcPr>
            <w:tcW w:type="dxa" w:w="3888"/>
            <w:vAlign w:val="center"/>
            <w:tcMar>
              <w:top w:w="70" w:type="dxa"/>
              <w:start w:w="80" w:type="dxa"/>
              <w:bottom w:w="70" w:type="dxa"/>
              <w:end w:w="80" w:type="dxa"/>
            </w:tcMar>
          </w:tcPr>
          <w:p>
            <w:r>
              <w:rPr>
                <w:sz w:val="16"/>
              </w:rPr>
              <w:t>Planning exception management</w:t>
            </w:r>
          </w:p>
        </w:tc>
        <w:tc>
          <w:tcPr>
            <w:tcW w:type="dxa" w:w="3600"/>
            <w:vAlign w:val="center"/>
            <w:tcMar>
              <w:top w:w="70" w:type="dxa"/>
              <w:start w:w="80" w:type="dxa"/>
              <w:bottom w:w="70" w:type="dxa"/>
              <w:end w:w="80" w:type="dxa"/>
            </w:tcMar>
          </w:tcPr>
          <w:p>
            <w:r>
              <w:rPr>
                <w:sz w:val="16"/>
              </w:rPr>
              <w:t>SNP/PPDS shortage, date, capacity or macro-dependent alerts</w:t>
            </w:r>
          </w:p>
        </w:tc>
      </w:tr>
      <w:tr>
        <w:trPr>
          <w:cantSplit/>
        </w:trPr>
        <w:tc>
          <w:tcPr>
            <w:tcW w:type="dxa" w:w="2016"/>
            <w:vAlign w:val="center"/>
            <w:tcMar>
              <w:top w:w="70" w:type="dxa"/>
              <w:start w:w="80" w:type="dxa"/>
              <w:bottom w:w="70" w:type="dxa"/>
              <w:end w:w="80" w:type="dxa"/>
            </w:tcMar>
            <w:shd w:fill="F8FAFC"/>
          </w:tcPr>
          <w:p>
            <w:r>
              <w:rPr>
                <w:sz w:val="16"/>
              </w:rPr>
              <w:t>BW / ODP / CDS analytical layer</w:t>
            </w:r>
          </w:p>
        </w:tc>
        <w:tc>
          <w:tcPr>
            <w:tcW w:type="dxa" w:w="3888"/>
            <w:vAlign w:val="center"/>
            <w:tcMar>
              <w:top w:w="70" w:type="dxa"/>
              <w:start w:w="80" w:type="dxa"/>
              <w:bottom w:w="70" w:type="dxa"/>
              <w:end w:w="80" w:type="dxa"/>
            </w:tcMar>
            <w:shd w:fill="F8FAFC"/>
          </w:tcPr>
          <w:p>
            <w:r>
              <w:rPr>
                <w:sz w:val="16"/>
              </w:rPr>
              <w:t>Historical consolidation and cross-process analysis</w:t>
            </w:r>
          </w:p>
        </w:tc>
        <w:tc>
          <w:tcPr>
            <w:tcW w:type="dxa" w:w="3600"/>
            <w:vAlign w:val="center"/>
            <w:tcMar>
              <w:top w:w="70" w:type="dxa"/>
              <w:start w:w="80" w:type="dxa"/>
              <w:bottom w:w="70" w:type="dxa"/>
              <w:end w:w="80" w:type="dxa"/>
            </w:tcMar>
            <w:shd w:fill="F8FAFC"/>
          </w:tcPr>
          <w:p>
            <w:r>
              <w:rPr>
                <w:sz w:val="16"/>
              </w:rPr>
              <w:t>monthly KPI trends, scorecards, drilldown by product/location/carrier</w:t>
            </w:r>
          </w:p>
        </w:tc>
      </w:tr>
      <w:tr>
        <w:trPr>
          <w:cantSplit/>
        </w:trPr>
        <w:tc>
          <w:tcPr>
            <w:tcW w:type="dxa" w:w="2016"/>
            <w:vAlign w:val="center"/>
            <w:tcMar>
              <w:top w:w="70" w:type="dxa"/>
              <w:start w:w="80" w:type="dxa"/>
              <w:bottom w:w="70" w:type="dxa"/>
              <w:end w:w="80" w:type="dxa"/>
            </w:tcMar>
          </w:tcPr>
          <w:p>
            <w:r>
              <w:rPr>
                <w:sz w:val="16"/>
              </w:rPr>
              <w:t>SAP Analytics Cloud or equivalent dashboard</w:t>
            </w:r>
          </w:p>
        </w:tc>
        <w:tc>
          <w:tcPr>
            <w:tcW w:type="dxa" w:w="3888"/>
            <w:vAlign w:val="center"/>
            <w:tcMar>
              <w:top w:w="70" w:type="dxa"/>
              <w:start w:w="80" w:type="dxa"/>
              <w:bottom w:w="70" w:type="dxa"/>
              <w:end w:w="80" w:type="dxa"/>
            </w:tcMar>
          </w:tcPr>
          <w:p>
            <w:r>
              <w:rPr>
                <w:sz w:val="16"/>
              </w:rPr>
              <w:t>Management visualization when connected to governed data</w:t>
            </w:r>
          </w:p>
        </w:tc>
        <w:tc>
          <w:tcPr>
            <w:tcW w:type="dxa" w:w="3600"/>
            <w:vAlign w:val="center"/>
            <w:tcMar>
              <w:top w:w="70" w:type="dxa"/>
              <w:start w:w="80" w:type="dxa"/>
              <w:bottom w:w="70" w:type="dxa"/>
              <w:end w:w="80" w:type="dxa"/>
            </w:tcMar>
          </w:tcPr>
          <w:p>
            <w:r>
              <w:rPr>
                <w:sz w:val="16"/>
              </w:rPr>
              <w:t>executive KPI tiles, trends, variance and action tracking</w:t>
            </w:r>
          </w:p>
        </w:tc>
      </w:tr>
    </w:tbl>
    <w:p>
      <w:pPr>
        <w:pStyle w:val="Heading1"/>
      </w:pPr>
      <w:r>
        <w:t>11. Validation, Governance and Control Model</w:t>
      </w:r>
    </w:p>
    <w:p>
      <w:pPr>
        <w:pStyle w:val="Heading2"/>
      </w:pPr>
      <w:r>
        <w:t>11.1 Validation test plan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720"/>
            <w:shd w:fill="17365D"/>
            <w:vAlign w:val="center"/>
            <w:tcMar>
              <w:top w:w="70" w:type="dxa"/>
              <w:start w:w="80" w:type="dxa"/>
              <w:bottom w:w="70" w:type="dxa"/>
              <w:end w:w="80" w:type="dxa"/>
            </w:tcMar>
          </w:tcPr>
          <w:p>
            <w:pPr>
              <w:jc w:val="center"/>
            </w:pPr>
            <w:r>
              <w:rPr>
                <w:b/>
                <w:color w:val="FFFFFF"/>
                <w:sz w:val="15"/>
              </w:rPr>
              <w:t>ID</w:t>
            </w:r>
          </w:p>
        </w:tc>
        <w:tc>
          <w:tcPr>
            <w:tcW w:type="dxa" w:w="2016"/>
            <w:shd w:fill="17365D"/>
            <w:vAlign w:val="center"/>
            <w:tcMar>
              <w:top w:w="70" w:type="dxa"/>
              <w:start w:w="80" w:type="dxa"/>
              <w:bottom w:w="70" w:type="dxa"/>
              <w:end w:w="80" w:type="dxa"/>
            </w:tcMar>
          </w:tcPr>
          <w:p>
            <w:pPr>
              <w:jc w:val="center"/>
            </w:pPr>
            <w:r>
              <w:rPr>
                <w:b/>
                <w:color w:val="FFFFFF"/>
                <w:sz w:val="15"/>
              </w:rPr>
              <w:t>Test</w:t>
            </w:r>
          </w:p>
        </w:tc>
        <w:tc>
          <w:tcPr>
            <w:tcW w:type="dxa" w:w="4896"/>
            <w:shd w:fill="17365D"/>
            <w:vAlign w:val="center"/>
            <w:tcMar>
              <w:top w:w="70" w:type="dxa"/>
              <w:start w:w="80" w:type="dxa"/>
              <w:bottom w:w="70" w:type="dxa"/>
              <w:end w:w="80" w:type="dxa"/>
            </w:tcMar>
          </w:tcPr>
          <w:p>
            <w:pPr>
              <w:jc w:val="center"/>
            </w:pPr>
            <w:r>
              <w:rPr>
                <w:b/>
                <w:color w:val="FFFFFF"/>
                <w:sz w:val="15"/>
              </w:rPr>
              <w:t>Procedure</w:t>
            </w:r>
          </w:p>
        </w:tc>
        <w:tc>
          <w:tcPr>
            <w:tcW w:type="dxa" w:w="2160"/>
            <w:shd w:fill="17365D"/>
            <w:vAlign w:val="center"/>
            <w:tcMar>
              <w:top w:w="70" w:type="dxa"/>
              <w:start w:w="80" w:type="dxa"/>
              <w:bottom w:w="70" w:type="dxa"/>
              <w:end w:w="80" w:type="dxa"/>
            </w:tcMar>
          </w:tcPr>
          <w:p>
            <w:pPr>
              <w:jc w:val="center"/>
            </w:pPr>
            <w:r>
              <w:rPr>
                <w:b/>
                <w:color w:val="FFFFFF"/>
                <w:sz w:val="15"/>
              </w:rPr>
              <w:t>Pass criterion</w:t>
            </w:r>
          </w:p>
        </w:tc>
      </w:tr>
      <w:tr>
        <w:trPr>
          <w:cantSplit/>
        </w:trPr>
        <w:tc>
          <w:tcPr>
            <w:tcW w:type="dxa" w:w="720"/>
            <w:vAlign w:val="center"/>
            <w:tcMar>
              <w:top w:w="70" w:type="dxa"/>
              <w:start w:w="80" w:type="dxa"/>
              <w:bottom w:w="70" w:type="dxa"/>
              <w:end w:w="80" w:type="dxa"/>
            </w:tcMar>
          </w:tcPr>
          <w:p>
            <w:r>
              <w:rPr>
                <w:sz w:val="15"/>
              </w:rPr>
              <w:t>V1</w:t>
            </w:r>
          </w:p>
        </w:tc>
        <w:tc>
          <w:tcPr>
            <w:tcW w:type="dxa" w:w="2016"/>
            <w:vAlign w:val="center"/>
            <w:tcMar>
              <w:top w:w="70" w:type="dxa"/>
              <w:start w:w="80" w:type="dxa"/>
              <w:bottom w:w="70" w:type="dxa"/>
              <w:end w:w="80" w:type="dxa"/>
            </w:tcMar>
          </w:tcPr>
          <w:p>
            <w:r>
              <w:rPr>
                <w:sz w:val="15"/>
              </w:rPr>
              <w:t>OTIF sample reconciliation</w:t>
            </w:r>
          </w:p>
        </w:tc>
        <w:tc>
          <w:tcPr>
            <w:tcW w:type="dxa" w:w="4896"/>
            <w:vAlign w:val="center"/>
            <w:tcMar>
              <w:top w:w="70" w:type="dxa"/>
              <w:start w:w="80" w:type="dxa"/>
              <w:bottom w:w="70" w:type="dxa"/>
              <w:end w:w="80" w:type="dxa"/>
            </w:tcMar>
          </w:tcPr>
          <w:p>
            <w:r>
              <w:rPr>
                <w:sz w:val="15"/>
              </w:rPr>
              <w:t>Select 30 deliveries; compare requested and actual events plus delivered quantity</w:t>
            </w:r>
          </w:p>
        </w:tc>
        <w:tc>
          <w:tcPr>
            <w:tcW w:type="dxa" w:w="2160"/>
            <w:vAlign w:val="center"/>
            <w:tcMar>
              <w:top w:w="70" w:type="dxa"/>
              <w:start w:w="80" w:type="dxa"/>
              <w:bottom w:w="70" w:type="dxa"/>
              <w:end w:w="80" w:type="dxa"/>
            </w:tcMar>
          </w:tcPr>
          <w:p>
            <w:r>
              <w:rPr>
                <w:sz w:val="15"/>
              </w:rPr>
              <w:t>100% formula agreement</w:t>
            </w:r>
          </w:p>
        </w:tc>
      </w:tr>
      <w:tr>
        <w:trPr>
          <w:cantSplit/>
        </w:trPr>
        <w:tc>
          <w:tcPr>
            <w:tcW w:type="dxa" w:w="720"/>
            <w:vAlign w:val="center"/>
            <w:tcMar>
              <w:top w:w="70" w:type="dxa"/>
              <w:start w:w="80" w:type="dxa"/>
              <w:bottom w:w="70" w:type="dxa"/>
              <w:end w:w="80" w:type="dxa"/>
            </w:tcMar>
            <w:shd w:fill="F8FAFC"/>
          </w:tcPr>
          <w:p>
            <w:r>
              <w:rPr>
                <w:sz w:val="15"/>
              </w:rPr>
              <w:t>V2</w:t>
            </w:r>
          </w:p>
        </w:tc>
        <w:tc>
          <w:tcPr>
            <w:tcW w:type="dxa" w:w="2016"/>
            <w:vAlign w:val="center"/>
            <w:tcMar>
              <w:top w:w="70" w:type="dxa"/>
              <w:start w:w="80" w:type="dxa"/>
              <w:bottom w:w="70" w:type="dxa"/>
              <w:end w:w="80" w:type="dxa"/>
            </w:tcMar>
            <w:shd w:fill="F8FAFC"/>
          </w:tcPr>
          <w:p>
            <w:r>
              <w:rPr>
                <w:sz w:val="15"/>
              </w:rPr>
              <w:t>Freight quantity reconciliation</w:t>
            </w:r>
          </w:p>
        </w:tc>
        <w:tc>
          <w:tcPr>
            <w:tcW w:type="dxa" w:w="4896"/>
            <w:vAlign w:val="center"/>
            <w:tcMar>
              <w:top w:w="70" w:type="dxa"/>
              <w:start w:w="80" w:type="dxa"/>
              <w:bottom w:w="70" w:type="dxa"/>
              <w:end w:w="80" w:type="dxa"/>
            </w:tcMar>
            <w:shd w:fill="F8FAFC"/>
          </w:tcPr>
          <w:p>
            <w:r>
              <w:rPr>
                <w:sz w:val="15"/>
              </w:rPr>
              <w:t>Compare TM freight order weight with delivery/shipment weight</w:t>
            </w:r>
          </w:p>
        </w:tc>
        <w:tc>
          <w:tcPr>
            <w:tcW w:type="dxa" w:w="2160"/>
            <w:vAlign w:val="center"/>
            <w:tcMar>
              <w:top w:w="70" w:type="dxa"/>
              <w:start w:w="80" w:type="dxa"/>
              <w:bottom w:w="70" w:type="dxa"/>
              <w:end w:w="80" w:type="dxa"/>
            </w:tcMar>
            <w:shd w:fill="F8FAFC"/>
          </w:tcPr>
          <w:p>
            <w:r>
              <w:rPr>
                <w:sz w:val="15"/>
              </w:rPr>
              <w:t>Variance &lt;=1% or explained</w:t>
            </w:r>
          </w:p>
        </w:tc>
      </w:tr>
      <w:tr>
        <w:trPr>
          <w:cantSplit/>
        </w:trPr>
        <w:tc>
          <w:tcPr>
            <w:tcW w:type="dxa" w:w="720"/>
            <w:vAlign w:val="center"/>
            <w:tcMar>
              <w:top w:w="70" w:type="dxa"/>
              <w:start w:w="80" w:type="dxa"/>
              <w:bottom w:w="70" w:type="dxa"/>
              <w:end w:w="80" w:type="dxa"/>
            </w:tcMar>
          </w:tcPr>
          <w:p>
            <w:r>
              <w:rPr>
                <w:sz w:val="15"/>
              </w:rPr>
              <w:t>V3</w:t>
            </w:r>
          </w:p>
        </w:tc>
        <w:tc>
          <w:tcPr>
            <w:tcW w:type="dxa" w:w="2016"/>
            <w:vAlign w:val="center"/>
            <w:tcMar>
              <w:top w:w="70" w:type="dxa"/>
              <w:start w:w="80" w:type="dxa"/>
              <w:bottom w:w="70" w:type="dxa"/>
              <w:end w:w="80" w:type="dxa"/>
            </w:tcMar>
          </w:tcPr>
          <w:p>
            <w:r>
              <w:rPr>
                <w:sz w:val="15"/>
              </w:rPr>
              <w:t>Warehouse pick accuracy</w:t>
            </w:r>
          </w:p>
        </w:tc>
        <w:tc>
          <w:tcPr>
            <w:tcW w:type="dxa" w:w="4896"/>
            <w:vAlign w:val="center"/>
            <w:tcMar>
              <w:top w:w="70" w:type="dxa"/>
              <w:start w:w="80" w:type="dxa"/>
              <w:bottom w:w="70" w:type="dxa"/>
              <w:end w:w="80" w:type="dxa"/>
            </w:tcMar>
          </w:tcPr>
          <w:p>
            <w:r>
              <w:rPr>
                <w:sz w:val="15"/>
              </w:rPr>
              <w:t>Reconcile 50 warehouse-task confirmations to outbound items</w:t>
            </w:r>
          </w:p>
        </w:tc>
        <w:tc>
          <w:tcPr>
            <w:tcW w:type="dxa" w:w="2160"/>
            <w:vAlign w:val="center"/>
            <w:tcMar>
              <w:top w:w="70" w:type="dxa"/>
              <w:start w:w="80" w:type="dxa"/>
              <w:bottom w:w="70" w:type="dxa"/>
              <w:end w:w="80" w:type="dxa"/>
            </w:tcMar>
          </w:tcPr>
          <w:p>
            <w:r>
              <w:rPr>
                <w:sz w:val="15"/>
              </w:rPr>
              <w:t>No unexplained quantity mismatch</w:t>
            </w:r>
          </w:p>
        </w:tc>
      </w:tr>
      <w:tr>
        <w:trPr>
          <w:cantSplit/>
        </w:trPr>
        <w:tc>
          <w:tcPr>
            <w:tcW w:type="dxa" w:w="720"/>
            <w:vAlign w:val="center"/>
            <w:tcMar>
              <w:top w:w="70" w:type="dxa"/>
              <w:start w:w="80" w:type="dxa"/>
              <w:bottom w:w="70" w:type="dxa"/>
              <w:end w:w="80" w:type="dxa"/>
            </w:tcMar>
            <w:shd w:fill="F8FAFC"/>
          </w:tcPr>
          <w:p>
            <w:r>
              <w:rPr>
                <w:sz w:val="15"/>
              </w:rPr>
              <w:t>V4</w:t>
            </w:r>
          </w:p>
        </w:tc>
        <w:tc>
          <w:tcPr>
            <w:tcW w:type="dxa" w:w="2016"/>
            <w:vAlign w:val="center"/>
            <w:tcMar>
              <w:top w:w="70" w:type="dxa"/>
              <w:start w:w="80" w:type="dxa"/>
              <w:bottom w:w="70" w:type="dxa"/>
              <w:end w:w="80" w:type="dxa"/>
            </w:tcMar>
            <w:shd w:fill="F8FAFC"/>
          </w:tcPr>
          <w:p>
            <w:r>
              <w:rPr>
                <w:sz w:val="15"/>
              </w:rPr>
              <w:t>Inventory snapshot</w:t>
            </w:r>
          </w:p>
        </w:tc>
        <w:tc>
          <w:tcPr>
            <w:tcW w:type="dxa" w:w="4896"/>
            <w:vAlign w:val="center"/>
            <w:tcMar>
              <w:top w:w="70" w:type="dxa"/>
              <w:start w:w="80" w:type="dxa"/>
              <w:bottom w:w="70" w:type="dxa"/>
              <w:end w:w="80" w:type="dxa"/>
            </w:tcMar>
            <w:shd w:fill="F8FAFC"/>
          </w:tcPr>
          <w:p>
            <w:r>
              <w:rPr>
                <w:sz w:val="15"/>
              </w:rPr>
              <w:t>Compare EWM stock snapshot to physical/cycle count sample</w:t>
            </w:r>
          </w:p>
        </w:tc>
        <w:tc>
          <w:tcPr>
            <w:tcW w:type="dxa" w:w="2160"/>
            <w:vAlign w:val="center"/>
            <w:tcMar>
              <w:top w:w="70" w:type="dxa"/>
              <w:start w:w="80" w:type="dxa"/>
              <w:bottom w:w="70" w:type="dxa"/>
              <w:end w:w="80" w:type="dxa"/>
            </w:tcMar>
            <w:shd w:fill="F8FAFC"/>
          </w:tcPr>
          <w:p>
            <w:r>
              <w:rPr>
                <w:sz w:val="15"/>
              </w:rPr>
              <w:t>Accuracy &gt;=99.5%</w:t>
            </w:r>
          </w:p>
        </w:tc>
      </w:tr>
      <w:tr>
        <w:trPr>
          <w:cantSplit/>
        </w:trPr>
        <w:tc>
          <w:tcPr>
            <w:tcW w:type="dxa" w:w="720"/>
            <w:vAlign w:val="center"/>
            <w:tcMar>
              <w:top w:w="70" w:type="dxa"/>
              <w:start w:w="80" w:type="dxa"/>
              <w:bottom w:w="70" w:type="dxa"/>
              <w:end w:w="80" w:type="dxa"/>
            </w:tcMar>
          </w:tcPr>
          <w:p>
            <w:r>
              <w:rPr>
                <w:sz w:val="15"/>
              </w:rPr>
              <w:t>V5</w:t>
            </w:r>
          </w:p>
        </w:tc>
        <w:tc>
          <w:tcPr>
            <w:tcW w:type="dxa" w:w="2016"/>
            <w:vAlign w:val="center"/>
            <w:tcMar>
              <w:top w:w="70" w:type="dxa"/>
              <w:start w:w="80" w:type="dxa"/>
              <w:bottom w:w="70" w:type="dxa"/>
              <w:end w:w="80" w:type="dxa"/>
            </w:tcMar>
          </w:tcPr>
          <w:p>
            <w:r>
              <w:rPr>
                <w:sz w:val="15"/>
              </w:rPr>
              <w:t>Cost completeness</w:t>
            </w:r>
          </w:p>
        </w:tc>
        <w:tc>
          <w:tcPr>
            <w:tcW w:type="dxa" w:w="4896"/>
            <w:vAlign w:val="center"/>
            <w:tcMar>
              <w:top w:w="70" w:type="dxa"/>
              <w:start w:w="80" w:type="dxa"/>
              <w:bottom w:w="70" w:type="dxa"/>
              <w:end w:w="80" w:type="dxa"/>
            </w:tcMar>
          </w:tcPr>
          <w:p>
            <w:r>
              <w:rPr>
                <w:sz w:val="15"/>
              </w:rPr>
              <w:t>Compare freight settlement totals to KPI dataset</w:t>
            </w:r>
          </w:p>
        </w:tc>
        <w:tc>
          <w:tcPr>
            <w:tcW w:type="dxa" w:w="2160"/>
            <w:vAlign w:val="center"/>
            <w:tcMar>
              <w:top w:w="70" w:type="dxa"/>
              <w:start w:w="80" w:type="dxa"/>
              <w:bottom w:w="70" w:type="dxa"/>
              <w:end w:w="80" w:type="dxa"/>
            </w:tcMar>
          </w:tcPr>
          <w:p>
            <w:r>
              <w:rPr>
                <w:sz w:val="15"/>
              </w:rPr>
              <w:t>100% document population for completed period</w:t>
            </w:r>
          </w:p>
        </w:tc>
      </w:tr>
      <w:tr>
        <w:trPr>
          <w:cantSplit/>
        </w:trPr>
        <w:tc>
          <w:tcPr>
            <w:tcW w:type="dxa" w:w="720"/>
            <w:vAlign w:val="center"/>
            <w:tcMar>
              <w:top w:w="70" w:type="dxa"/>
              <w:start w:w="80" w:type="dxa"/>
              <w:bottom w:w="70" w:type="dxa"/>
              <w:end w:w="80" w:type="dxa"/>
            </w:tcMar>
            <w:shd w:fill="F8FAFC"/>
          </w:tcPr>
          <w:p>
            <w:r>
              <w:rPr>
                <w:sz w:val="15"/>
              </w:rPr>
              <w:t>V6</w:t>
            </w:r>
          </w:p>
        </w:tc>
        <w:tc>
          <w:tcPr>
            <w:tcW w:type="dxa" w:w="2016"/>
            <w:vAlign w:val="center"/>
            <w:tcMar>
              <w:top w:w="70" w:type="dxa"/>
              <w:start w:w="80" w:type="dxa"/>
              <w:bottom w:w="70" w:type="dxa"/>
              <w:end w:w="80" w:type="dxa"/>
            </w:tcMar>
            <w:shd w:fill="F8FAFC"/>
          </w:tcPr>
          <w:p>
            <w:r>
              <w:rPr>
                <w:sz w:val="15"/>
              </w:rPr>
              <w:t>Duplicate check</w:t>
            </w:r>
          </w:p>
        </w:tc>
        <w:tc>
          <w:tcPr>
            <w:tcW w:type="dxa" w:w="4896"/>
            <w:vAlign w:val="center"/>
            <w:tcMar>
              <w:top w:w="70" w:type="dxa"/>
              <w:start w:w="80" w:type="dxa"/>
              <w:bottom w:w="70" w:type="dxa"/>
              <w:end w:w="80" w:type="dxa"/>
            </w:tcMar>
            <w:shd w:fill="F8FAFC"/>
          </w:tcPr>
          <w:p>
            <w:r>
              <w:rPr>
                <w:sz w:val="15"/>
              </w:rPr>
              <w:t>Search duplicate freight/order/warehouse records in extract</w:t>
            </w:r>
          </w:p>
        </w:tc>
        <w:tc>
          <w:tcPr>
            <w:tcW w:type="dxa" w:w="2160"/>
            <w:vAlign w:val="center"/>
            <w:tcMar>
              <w:top w:w="70" w:type="dxa"/>
              <w:start w:w="80" w:type="dxa"/>
              <w:bottom w:w="70" w:type="dxa"/>
              <w:end w:w="80" w:type="dxa"/>
            </w:tcMar>
            <w:shd w:fill="F8FAFC"/>
          </w:tcPr>
          <w:p>
            <w:r>
              <w:rPr>
                <w:sz w:val="15"/>
              </w:rPr>
              <w:t>Zero duplicate business keys</w:t>
            </w:r>
          </w:p>
        </w:tc>
      </w:tr>
      <w:tr>
        <w:trPr>
          <w:cantSplit/>
        </w:trPr>
        <w:tc>
          <w:tcPr>
            <w:tcW w:type="dxa" w:w="720"/>
            <w:vAlign w:val="center"/>
            <w:tcMar>
              <w:top w:w="70" w:type="dxa"/>
              <w:start w:w="80" w:type="dxa"/>
              <w:bottom w:w="70" w:type="dxa"/>
              <w:end w:w="80" w:type="dxa"/>
            </w:tcMar>
          </w:tcPr>
          <w:p>
            <w:r>
              <w:rPr>
                <w:sz w:val="15"/>
              </w:rPr>
              <w:t>V7</w:t>
            </w:r>
          </w:p>
        </w:tc>
        <w:tc>
          <w:tcPr>
            <w:tcW w:type="dxa" w:w="2016"/>
            <w:vAlign w:val="center"/>
            <w:tcMar>
              <w:top w:w="70" w:type="dxa"/>
              <w:start w:w="80" w:type="dxa"/>
              <w:bottom w:w="70" w:type="dxa"/>
              <w:end w:w="80" w:type="dxa"/>
            </w:tcMar>
          </w:tcPr>
          <w:p>
            <w:r>
              <w:rPr>
                <w:sz w:val="15"/>
              </w:rPr>
              <w:t>Timestamp sequencing</w:t>
            </w:r>
          </w:p>
        </w:tc>
        <w:tc>
          <w:tcPr>
            <w:tcW w:type="dxa" w:w="4896"/>
            <w:vAlign w:val="center"/>
            <w:tcMar>
              <w:top w:w="70" w:type="dxa"/>
              <w:start w:w="80" w:type="dxa"/>
              <w:bottom w:w="70" w:type="dxa"/>
              <w:end w:w="80" w:type="dxa"/>
            </w:tcMar>
          </w:tcPr>
          <w:p>
            <w:r>
              <w:rPr>
                <w:sz w:val="15"/>
              </w:rPr>
              <w:t>Check order release &lt; pick &lt; load &lt; departure &lt; delivery</w:t>
            </w:r>
          </w:p>
        </w:tc>
        <w:tc>
          <w:tcPr>
            <w:tcW w:type="dxa" w:w="2160"/>
            <w:vAlign w:val="center"/>
            <w:tcMar>
              <w:top w:w="70" w:type="dxa"/>
              <w:start w:w="80" w:type="dxa"/>
              <w:bottom w:w="70" w:type="dxa"/>
              <w:end w:w="80" w:type="dxa"/>
            </w:tcMar>
          </w:tcPr>
          <w:p>
            <w:r>
              <w:rPr>
                <w:sz w:val="15"/>
              </w:rPr>
              <w:t>No impossible time sequence</w:t>
            </w:r>
          </w:p>
        </w:tc>
      </w:tr>
      <w:tr>
        <w:trPr>
          <w:cantSplit/>
        </w:trPr>
        <w:tc>
          <w:tcPr>
            <w:tcW w:type="dxa" w:w="720"/>
            <w:vAlign w:val="center"/>
            <w:tcMar>
              <w:top w:w="70" w:type="dxa"/>
              <w:start w:w="80" w:type="dxa"/>
              <w:bottom w:w="70" w:type="dxa"/>
              <w:end w:w="80" w:type="dxa"/>
            </w:tcMar>
            <w:shd w:fill="F8FAFC"/>
          </w:tcPr>
          <w:p>
            <w:r>
              <w:rPr>
                <w:sz w:val="15"/>
              </w:rPr>
              <w:t>V8</w:t>
            </w:r>
          </w:p>
        </w:tc>
        <w:tc>
          <w:tcPr>
            <w:tcW w:type="dxa" w:w="2016"/>
            <w:vAlign w:val="center"/>
            <w:tcMar>
              <w:top w:w="70" w:type="dxa"/>
              <w:start w:w="80" w:type="dxa"/>
              <w:bottom w:w="70" w:type="dxa"/>
              <w:end w:w="80" w:type="dxa"/>
            </w:tcMar>
            <w:shd w:fill="F8FAFC"/>
          </w:tcPr>
          <w:p>
            <w:r>
              <w:rPr>
                <w:sz w:val="15"/>
              </w:rPr>
              <w:t>Unit conversion</w:t>
            </w:r>
          </w:p>
        </w:tc>
        <w:tc>
          <w:tcPr>
            <w:tcW w:type="dxa" w:w="4896"/>
            <w:vAlign w:val="center"/>
            <w:tcMar>
              <w:top w:w="70" w:type="dxa"/>
              <w:start w:w="80" w:type="dxa"/>
              <w:bottom w:w="70" w:type="dxa"/>
              <w:end w:w="80" w:type="dxa"/>
            </w:tcMar>
            <w:shd w:fill="F8FAFC"/>
          </w:tcPr>
          <w:p>
            <w:r>
              <w:rPr>
                <w:sz w:val="15"/>
              </w:rPr>
              <w:t>Verify kg/tonne and volume conversions</w:t>
            </w:r>
          </w:p>
        </w:tc>
        <w:tc>
          <w:tcPr>
            <w:tcW w:type="dxa" w:w="2160"/>
            <w:vAlign w:val="center"/>
            <w:tcMar>
              <w:top w:w="70" w:type="dxa"/>
              <w:start w:w="80" w:type="dxa"/>
              <w:bottom w:w="70" w:type="dxa"/>
              <w:end w:w="80" w:type="dxa"/>
            </w:tcMar>
            <w:shd w:fill="F8FAFC"/>
          </w:tcPr>
          <w:p>
            <w:r>
              <w:rPr>
                <w:sz w:val="15"/>
              </w:rPr>
              <w:t>100% approved conversion logic</w:t>
            </w:r>
          </w:p>
        </w:tc>
      </w:tr>
      <w:tr>
        <w:trPr>
          <w:cantSplit/>
        </w:trPr>
        <w:tc>
          <w:tcPr>
            <w:tcW w:type="dxa" w:w="720"/>
            <w:vAlign w:val="center"/>
            <w:tcMar>
              <w:top w:w="70" w:type="dxa"/>
              <w:start w:w="80" w:type="dxa"/>
              <w:bottom w:w="70" w:type="dxa"/>
              <w:end w:w="80" w:type="dxa"/>
            </w:tcMar>
          </w:tcPr>
          <w:p>
            <w:r>
              <w:rPr>
                <w:sz w:val="15"/>
              </w:rPr>
              <w:t>V9</w:t>
            </w:r>
          </w:p>
        </w:tc>
        <w:tc>
          <w:tcPr>
            <w:tcW w:type="dxa" w:w="2016"/>
            <w:vAlign w:val="center"/>
            <w:tcMar>
              <w:top w:w="70" w:type="dxa"/>
              <w:start w:w="80" w:type="dxa"/>
              <w:bottom w:w="70" w:type="dxa"/>
              <w:end w:w="80" w:type="dxa"/>
            </w:tcMar>
          </w:tcPr>
          <w:p>
            <w:r>
              <w:rPr>
                <w:sz w:val="15"/>
              </w:rPr>
              <w:t>Threshold logic</w:t>
            </w:r>
          </w:p>
        </w:tc>
        <w:tc>
          <w:tcPr>
            <w:tcW w:type="dxa" w:w="4896"/>
            <w:vAlign w:val="center"/>
            <w:tcMar>
              <w:top w:w="70" w:type="dxa"/>
              <w:start w:w="80" w:type="dxa"/>
              <w:bottom w:w="70" w:type="dxa"/>
              <w:end w:w="80" w:type="dxa"/>
            </w:tcMar>
          </w:tcPr>
          <w:p>
            <w:r>
              <w:rPr>
                <w:sz w:val="15"/>
              </w:rPr>
              <w:t>Test one Green, Amber and Red case</w:t>
            </w:r>
          </w:p>
        </w:tc>
        <w:tc>
          <w:tcPr>
            <w:tcW w:type="dxa" w:w="2160"/>
            <w:vAlign w:val="center"/>
            <w:tcMar>
              <w:top w:w="70" w:type="dxa"/>
              <w:start w:w="80" w:type="dxa"/>
              <w:bottom w:w="70" w:type="dxa"/>
              <w:end w:w="80" w:type="dxa"/>
            </w:tcMar>
          </w:tcPr>
          <w:p>
            <w:r>
              <w:rPr>
                <w:sz w:val="15"/>
              </w:rPr>
              <w:t>Correct status returned</w:t>
            </w:r>
          </w:p>
        </w:tc>
      </w:tr>
      <w:tr>
        <w:trPr>
          <w:cantSplit/>
        </w:trPr>
        <w:tc>
          <w:tcPr>
            <w:tcW w:type="dxa" w:w="720"/>
            <w:vAlign w:val="center"/>
            <w:tcMar>
              <w:top w:w="70" w:type="dxa"/>
              <w:start w:w="80" w:type="dxa"/>
              <w:bottom w:w="70" w:type="dxa"/>
              <w:end w:w="80" w:type="dxa"/>
            </w:tcMar>
            <w:shd w:fill="F8FAFC"/>
          </w:tcPr>
          <w:p>
            <w:r>
              <w:rPr>
                <w:sz w:val="15"/>
              </w:rPr>
              <w:t>V10</w:t>
            </w:r>
          </w:p>
        </w:tc>
        <w:tc>
          <w:tcPr>
            <w:tcW w:type="dxa" w:w="2016"/>
            <w:vAlign w:val="center"/>
            <w:tcMar>
              <w:top w:w="70" w:type="dxa"/>
              <w:start w:w="80" w:type="dxa"/>
              <w:bottom w:w="70" w:type="dxa"/>
              <w:end w:w="80" w:type="dxa"/>
            </w:tcMar>
            <w:shd w:fill="F8FAFC"/>
          </w:tcPr>
          <w:p>
            <w:r>
              <w:rPr>
                <w:sz w:val="15"/>
              </w:rPr>
              <w:t>Composite score</w:t>
            </w:r>
          </w:p>
        </w:tc>
        <w:tc>
          <w:tcPr>
            <w:tcW w:type="dxa" w:w="4896"/>
            <w:vAlign w:val="center"/>
            <w:tcMar>
              <w:top w:w="70" w:type="dxa"/>
              <w:start w:w="80" w:type="dxa"/>
              <w:bottom w:w="70" w:type="dxa"/>
              <w:end w:w="80" w:type="dxa"/>
            </w:tcMar>
            <w:shd w:fill="F8FAFC"/>
          </w:tcPr>
          <w:p>
            <w:r>
              <w:rPr>
                <w:sz w:val="15"/>
              </w:rPr>
              <w:t>Recalculate weighted score independently</w:t>
            </w:r>
          </w:p>
        </w:tc>
        <w:tc>
          <w:tcPr>
            <w:tcW w:type="dxa" w:w="2160"/>
            <w:vAlign w:val="center"/>
            <w:tcMar>
              <w:top w:w="70" w:type="dxa"/>
              <w:start w:w="80" w:type="dxa"/>
              <w:bottom w:w="70" w:type="dxa"/>
              <w:end w:w="80" w:type="dxa"/>
            </w:tcMar>
            <w:shd w:fill="F8FAFC"/>
          </w:tcPr>
          <w:p>
            <w:r>
              <w:rPr>
                <w:sz w:val="15"/>
              </w:rPr>
              <w:t>Difference &lt;0.1 point</w:t>
            </w:r>
          </w:p>
        </w:tc>
      </w:tr>
    </w:tbl>
    <w:p>
      <w:pPr>
        <w:pStyle w:val="Heading2"/>
      </w:pPr>
      <w:r>
        <w:t>11.2 Governance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00"/>
            <w:shd w:fill="17365D"/>
            <w:vAlign w:val="center"/>
            <w:tcMar>
              <w:top w:w="70" w:type="dxa"/>
              <w:start w:w="80" w:type="dxa"/>
              <w:bottom w:w="70" w:type="dxa"/>
              <w:end w:w="80" w:type="dxa"/>
            </w:tcMar>
          </w:tcPr>
          <w:p>
            <w:pPr>
              <w:jc w:val="center"/>
            </w:pPr>
            <w:r>
              <w:rPr>
                <w:b/>
                <w:color w:val="FFFFFF"/>
                <w:sz w:val="15"/>
              </w:rPr>
              <w:t>Role</w:t>
            </w:r>
          </w:p>
        </w:tc>
        <w:tc>
          <w:tcPr>
            <w:tcW w:type="dxa" w:w="3888"/>
            <w:shd w:fill="17365D"/>
            <w:vAlign w:val="center"/>
            <w:tcMar>
              <w:top w:w="70" w:type="dxa"/>
              <w:start w:w="80" w:type="dxa"/>
              <w:bottom w:w="70" w:type="dxa"/>
              <w:end w:w="80" w:type="dxa"/>
            </w:tcMar>
          </w:tcPr>
          <w:p>
            <w:pPr>
              <w:jc w:val="center"/>
            </w:pPr>
            <w:r>
              <w:rPr>
                <w:b/>
                <w:color w:val="FFFFFF"/>
                <w:sz w:val="15"/>
              </w:rPr>
              <w:t>Accountability</w:t>
            </w:r>
          </w:p>
        </w:tc>
        <w:tc>
          <w:tcPr>
            <w:tcW w:type="dxa" w:w="1440"/>
            <w:shd w:fill="17365D"/>
            <w:vAlign w:val="center"/>
            <w:tcMar>
              <w:top w:w="70" w:type="dxa"/>
              <w:start w:w="80" w:type="dxa"/>
              <w:bottom w:w="70" w:type="dxa"/>
              <w:end w:w="80" w:type="dxa"/>
            </w:tcMar>
          </w:tcPr>
          <w:p>
            <w:pPr>
              <w:jc w:val="center"/>
            </w:pPr>
            <w:r>
              <w:rPr>
                <w:b/>
                <w:color w:val="FFFFFF"/>
                <w:sz w:val="15"/>
              </w:rPr>
              <w:t>Frequency</w:t>
            </w:r>
          </w:p>
        </w:tc>
        <w:tc>
          <w:tcPr>
            <w:tcW w:type="dxa" w:w="2592"/>
            <w:shd w:fill="17365D"/>
            <w:vAlign w:val="center"/>
            <w:tcMar>
              <w:top w:w="70" w:type="dxa"/>
              <w:start w:w="80" w:type="dxa"/>
              <w:bottom w:w="70" w:type="dxa"/>
              <w:end w:w="80" w:type="dxa"/>
            </w:tcMar>
          </w:tcPr>
          <w:p>
            <w:pPr>
              <w:jc w:val="center"/>
            </w:pPr>
            <w:r>
              <w:rPr>
                <w:b/>
                <w:color w:val="FFFFFF"/>
                <w:sz w:val="15"/>
              </w:rPr>
              <w:t>Evidence</w:t>
            </w:r>
          </w:p>
        </w:tc>
      </w:tr>
      <w:tr>
        <w:trPr>
          <w:cantSplit/>
        </w:trPr>
        <w:tc>
          <w:tcPr>
            <w:tcW w:type="dxa" w:w="1800"/>
            <w:vAlign w:val="center"/>
            <w:tcMar>
              <w:top w:w="70" w:type="dxa"/>
              <w:start w:w="80" w:type="dxa"/>
              <w:bottom w:w="70" w:type="dxa"/>
              <w:end w:w="80" w:type="dxa"/>
            </w:tcMar>
          </w:tcPr>
          <w:p>
            <w:r>
              <w:rPr>
                <w:sz w:val="15"/>
              </w:rPr>
              <w:t>Logistics performance owner</w:t>
            </w:r>
          </w:p>
        </w:tc>
        <w:tc>
          <w:tcPr>
            <w:tcW w:type="dxa" w:w="3888"/>
            <w:vAlign w:val="center"/>
            <w:tcMar>
              <w:top w:w="70" w:type="dxa"/>
              <w:start w:w="80" w:type="dxa"/>
              <w:bottom w:w="70" w:type="dxa"/>
              <w:end w:w="80" w:type="dxa"/>
            </w:tcMar>
          </w:tcPr>
          <w:p>
            <w:r>
              <w:rPr>
                <w:sz w:val="15"/>
              </w:rPr>
              <w:t>Own KPI dictionary, targets and monthly scorecard</w:t>
            </w:r>
          </w:p>
        </w:tc>
        <w:tc>
          <w:tcPr>
            <w:tcW w:type="dxa" w:w="1440"/>
            <w:vAlign w:val="center"/>
            <w:tcMar>
              <w:top w:w="70" w:type="dxa"/>
              <w:start w:w="80" w:type="dxa"/>
              <w:bottom w:w="70" w:type="dxa"/>
              <w:end w:w="80" w:type="dxa"/>
            </w:tcMar>
          </w:tcPr>
          <w:p>
            <w:r>
              <w:rPr>
                <w:sz w:val="15"/>
              </w:rPr>
              <w:t>Monthly</w:t>
            </w:r>
          </w:p>
        </w:tc>
        <w:tc>
          <w:tcPr>
            <w:tcW w:type="dxa" w:w="2592"/>
            <w:vAlign w:val="center"/>
            <w:tcMar>
              <w:top w:w="70" w:type="dxa"/>
              <w:start w:w="80" w:type="dxa"/>
              <w:bottom w:w="70" w:type="dxa"/>
              <w:end w:w="80" w:type="dxa"/>
            </w:tcMar>
          </w:tcPr>
          <w:p>
            <w:r>
              <w:rPr>
                <w:sz w:val="15"/>
              </w:rPr>
              <w:t>approved scorecard and action log</w:t>
            </w:r>
          </w:p>
        </w:tc>
      </w:tr>
      <w:tr>
        <w:trPr>
          <w:cantSplit/>
        </w:trPr>
        <w:tc>
          <w:tcPr>
            <w:tcW w:type="dxa" w:w="1800"/>
            <w:vAlign w:val="center"/>
            <w:tcMar>
              <w:top w:w="70" w:type="dxa"/>
              <w:start w:w="80" w:type="dxa"/>
              <w:bottom w:w="70" w:type="dxa"/>
              <w:end w:w="80" w:type="dxa"/>
            </w:tcMar>
            <w:shd w:fill="F8FAFC"/>
          </w:tcPr>
          <w:p>
            <w:r>
              <w:rPr>
                <w:sz w:val="15"/>
              </w:rPr>
              <w:t>Transport planner</w:t>
            </w:r>
          </w:p>
        </w:tc>
        <w:tc>
          <w:tcPr>
            <w:tcW w:type="dxa" w:w="3888"/>
            <w:vAlign w:val="center"/>
            <w:tcMar>
              <w:top w:w="70" w:type="dxa"/>
              <w:start w:w="80" w:type="dxa"/>
              <w:bottom w:w="70" w:type="dxa"/>
              <w:end w:w="80" w:type="dxa"/>
            </w:tcMar>
            <w:shd w:fill="F8FAFC"/>
          </w:tcPr>
          <w:p>
            <w:r>
              <w:rPr>
                <w:sz w:val="15"/>
              </w:rPr>
              <w:t>Validate TM events, utilization, carrier and freight-cost exceptions</w:t>
            </w:r>
          </w:p>
        </w:tc>
        <w:tc>
          <w:tcPr>
            <w:tcW w:type="dxa" w:w="1440"/>
            <w:vAlign w:val="center"/>
            <w:tcMar>
              <w:top w:w="70" w:type="dxa"/>
              <w:start w:w="80" w:type="dxa"/>
              <w:bottom w:w="70" w:type="dxa"/>
              <w:end w:w="80" w:type="dxa"/>
            </w:tcMar>
            <w:shd w:fill="F8FAFC"/>
          </w:tcPr>
          <w:p>
            <w:r>
              <w:rPr>
                <w:sz w:val="15"/>
              </w:rPr>
              <w:t>Daily/weekly</w:t>
            </w:r>
          </w:p>
        </w:tc>
        <w:tc>
          <w:tcPr>
            <w:tcW w:type="dxa" w:w="2592"/>
            <w:vAlign w:val="center"/>
            <w:tcMar>
              <w:top w:w="70" w:type="dxa"/>
              <w:start w:w="80" w:type="dxa"/>
              <w:bottom w:w="70" w:type="dxa"/>
              <w:end w:w="80" w:type="dxa"/>
            </w:tcMar>
            <w:shd w:fill="F8FAFC"/>
          </w:tcPr>
          <w:p>
            <w:r>
              <w:rPr>
                <w:sz w:val="15"/>
              </w:rPr>
              <w:t>exception list and carrier review</w:t>
            </w:r>
          </w:p>
        </w:tc>
      </w:tr>
      <w:tr>
        <w:trPr>
          <w:cantSplit/>
        </w:trPr>
        <w:tc>
          <w:tcPr>
            <w:tcW w:type="dxa" w:w="1800"/>
            <w:vAlign w:val="center"/>
            <w:tcMar>
              <w:top w:w="70" w:type="dxa"/>
              <w:start w:w="80" w:type="dxa"/>
              <w:bottom w:w="70" w:type="dxa"/>
              <w:end w:w="80" w:type="dxa"/>
            </w:tcMar>
          </w:tcPr>
          <w:p>
            <w:r>
              <w:rPr>
                <w:sz w:val="15"/>
              </w:rPr>
              <w:t>Warehouse supervisor</w:t>
            </w:r>
          </w:p>
        </w:tc>
        <w:tc>
          <w:tcPr>
            <w:tcW w:type="dxa" w:w="3888"/>
            <w:vAlign w:val="center"/>
            <w:tcMar>
              <w:top w:w="70" w:type="dxa"/>
              <w:start w:w="80" w:type="dxa"/>
              <w:bottom w:w="70" w:type="dxa"/>
              <w:end w:w="80" w:type="dxa"/>
            </w:tcMar>
          </w:tcPr>
          <w:p>
            <w:r>
              <w:rPr>
                <w:sz w:val="15"/>
              </w:rPr>
              <w:t>Validate task, pick, staging and dock KPIs</w:t>
            </w:r>
          </w:p>
        </w:tc>
        <w:tc>
          <w:tcPr>
            <w:tcW w:type="dxa" w:w="1440"/>
            <w:vAlign w:val="center"/>
            <w:tcMar>
              <w:top w:w="70" w:type="dxa"/>
              <w:start w:w="80" w:type="dxa"/>
              <w:bottom w:w="70" w:type="dxa"/>
              <w:end w:w="80" w:type="dxa"/>
            </w:tcMar>
          </w:tcPr>
          <w:p>
            <w:r>
              <w:rPr>
                <w:sz w:val="15"/>
              </w:rPr>
              <w:t>Daily/weekly</w:t>
            </w:r>
          </w:p>
        </w:tc>
        <w:tc>
          <w:tcPr>
            <w:tcW w:type="dxa" w:w="2592"/>
            <w:vAlign w:val="center"/>
            <w:tcMar>
              <w:top w:w="70" w:type="dxa"/>
              <w:start w:w="80" w:type="dxa"/>
              <w:bottom w:w="70" w:type="dxa"/>
              <w:end w:w="80" w:type="dxa"/>
            </w:tcMar>
          </w:tcPr>
          <w:p>
            <w:r>
              <w:rPr>
                <w:sz w:val="15"/>
              </w:rPr>
              <w:t>warehouse monitor extract and shift actions</w:t>
            </w:r>
          </w:p>
        </w:tc>
      </w:tr>
      <w:tr>
        <w:trPr>
          <w:cantSplit/>
        </w:trPr>
        <w:tc>
          <w:tcPr>
            <w:tcW w:type="dxa" w:w="1800"/>
            <w:vAlign w:val="center"/>
            <w:tcMar>
              <w:top w:w="70" w:type="dxa"/>
              <w:start w:w="80" w:type="dxa"/>
              <w:bottom w:w="70" w:type="dxa"/>
              <w:end w:w="80" w:type="dxa"/>
            </w:tcMar>
            <w:shd w:fill="F8FAFC"/>
          </w:tcPr>
          <w:p>
            <w:r>
              <w:rPr>
                <w:sz w:val="15"/>
              </w:rPr>
              <w:t>Inventory controller</w:t>
            </w:r>
          </w:p>
        </w:tc>
        <w:tc>
          <w:tcPr>
            <w:tcW w:type="dxa" w:w="3888"/>
            <w:vAlign w:val="center"/>
            <w:tcMar>
              <w:top w:w="70" w:type="dxa"/>
              <w:start w:w="80" w:type="dxa"/>
              <w:bottom w:w="70" w:type="dxa"/>
              <w:end w:w="80" w:type="dxa"/>
            </w:tcMar>
            <w:shd w:fill="F8FAFC"/>
          </w:tcPr>
          <w:p>
            <w:r>
              <w:rPr>
                <w:sz w:val="15"/>
              </w:rPr>
              <w:t>Review stock-out, inventory accuracy and turnover inputs</w:t>
            </w:r>
          </w:p>
        </w:tc>
        <w:tc>
          <w:tcPr>
            <w:tcW w:type="dxa" w:w="1440"/>
            <w:vAlign w:val="center"/>
            <w:tcMar>
              <w:top w:w="70" w:type="dxa"/>
              <w:start w:w="80" w:type="dxa"/>
              <w:bottom w:w="70" w:type="dxa"/>
              <w:end w:w="80" w:type="dxa"/>
            </w:tcMar>
            <w:shd w:fill="F8FAFC"/>
          </w:tcPr>
          <w:p>
            <w:r>
              <w:rPr>
                <w:sz w:val="15"/>
              </w:rPr>
              <w:t>Weekly/monthly</w:t>
            </w:r>
          </w:p>
        </w:tc>
        <w:tc>
          <w:tcPr>
            <w:tcW w:type="dxa" w:w="2592"/>
            <w:vAlign w:val="center"/>
            <w:tcMar>
              <w:top w:w="70" w:type="dxa"/>
              <w:start w:w="80" w:type="dxa"/>
              <w:bottom w:w="70" w:type="dxa"/>
              <w:end w:w="80" w:type="dxa"/>
            </w:tcMar>
            <w:shd w:fill="F8FAFC"/>
          </w:tcPr>
          <w:p>
            <w:r>
              <w:rPr>
                <w:sz w:val="15"/>
              </w:rPr>
              <w:t>stock reconciliation and count evidence</w:t>
            </w:r>
          </w:p>
        </w:tc>
      </w:tr>
      <w:tr>
        <w:trPr>
          <w:cantSplit/>
        </w:trPr>
        <w:tc>
          <w:tcPr>
            <w:tcW w:type="dxa" w:w="1800"/>
            <w:vAlign w:val="center"/>
            <w:tcMar>
              <w:top w:w="70" w:type="dxa"/>
              <w:start w:w="80" w:type="dxa"/>
              <w:bottom w:w="70" w:type="dxa"/>
              <w:end w:w="80" w:type="dxa"/>
            </w:tcMar>
          </w:tcPr>
          <w:p>
            <w:r>
              <w:rPr>
                <w:sz w:val="15"/>
              </w:rPr>
              <w:t>SAP support / data analyst</w:t>
            </w:r>
          </w:p>
        </w:tc>
        <w:tc>
          <w:tcPr>
            <w:tcW w:type="dxa" w:w="3888"/>
            <w:vAlign w:val="center"/>
            <w:tcMar>
              <w:top w:w="70" w:type="dxa"/>
              <w:start w:w="80" w:type="dxa"/>
              <w:bottom w:w="70" w:type="dxa"/>
              <w:end w:w="80" w:type="dxa"/>
            </w:tcMar>
          </w:tcPr>
          <w:p>
            <w:r>
              <w:rPr>
                <w:sz w:val="15"/>
              </w:rPr>
              <w:t>Maintain extraction logic, mappings and calculation version control</w:t>
            </w:r>
          </w:p>
        </w:tc>
        <w:tc>
          <w:tcPr>
            <w:tcW w:type="dxa" w:w="1440"/>
            <w:vAlign w:val="center"/>
            <w:tcMar>
              <w:top w:w="70" w:type="dxa"/>
              <w:start w:w="80" w:type="dxa"/>
              <w:bottom w:w="70" w:type="dxa"/>
              <w:end w:w="80" w:type="dxa"/>
            </w:tcMar>
          </w:tcPr>
          <w:p>
            <w:r>
              <w:rPr>
                <w:sz w:val="15"/>
              </w:rPr>
              <w:t>As changed</w:t>
            </w:r>
          </w:p>
        </w:tc>
        <w:tc>
          <w:tcPr>
            <w:tcW w:type="dxa" w:w="2592"/>
            <w:vAlign w:val="center"/>
            <w:tcMar>
              <w:top w:w="70" w:type="dxa"/>
              <w:start w:w="80" w:type="dxa"/>
              <w:bottom w:w="70" w:type="dxa"/>
              <w:end w:w="80" w:type="dxa"/>
            </w:tcMar>
          </w:tcPr>
          <w:p>
            <w:r>
              <w:rPr>
                <w:sz w:val="15"/>
              </w:rPr>
              <w:t>transport request/change log and test evidence</w:t>
            </w:r>
          </w:p>
        </w:tc>
      </w:tr>
      <w:tr>
        <w:trPr>
          <w:cantSplit/>
        </w:trPr>
        <w:tc>
          <w:tcPr>
            <w:tcW w:type="dxa" w:w="1800"/>
            <w:vAlign w:val="center"/>
            <w:tcMar>
              <w:top w:w="70" w:type="dxa"/>
              <w:start w:w="80" w:type="dxa"/>
              <w:bottom w:w="70" w:type="dxa"/>
              <w:end w:w="80" w:type="dxa"/>
            </w:tcMar>
            <w:shd w:fill="F8FAFC"/>
          </w:tcPr>
          <w:p>
            <w:r>
              <w:rPr>
                <w:sz w:val="15"/>
              </w:rPr>
              <w:t>Business manager</w:t>
            </w:r>
          </w:p>
        </w:tc>
        <w:tc>
          <w:tcPr>
            <w:tcW w:type="dxa" w:w="3888"/>
            <w:vAlign w:val="center"/>
            <w:tcMar>
              <w:top w:w="70" w:type="dxa"/>
              <w:start w:w="80" w:type="dxa"/>
              <w:bottom w:w="70" w:type="dxa"/>
              <w:end w:w="80" w:type="dxa"/>
            </w:tcMar>
            <w:shd w:fill="F8FAFC"/>
          </w:tcPr>
          <w:p>
            <w:r>
              <w:rPr>
                <w:sz w:val="15"/>
              </w:rPr>
              <w:t>Approve target changes and major corrective actions</w:t>
            </w:r>
          </w:p>
        </w:tc>
        <w:tc>
          <w:tcPr>
            <w:tcW w:type="dxa" w:w="1440"/>
            <w:vAlign w:val="center"/>
            <w:tcMar>
              <w:top w:w="70" w:type="dxa"/>
              <w:start w:w="80" w:type="dxa"/>
              <w:bottom w:w="70" w:type="dxa"/>
              <w:end w:w="80" w:type="dxa"/>
            </w:tcMar>
            <w:shd w:fill="F8FAFC"/>
          </w:tcPr>
          <w:p>
            <w:r>
              <w:rPr>
                <w:sz w:val="15"/>
              </w:rPr>
              <w:t>Monthly/quarterly</w:t>
            </w:r>
          </w:p>
        </w:tc>
        <w:tc>
          <w:tcPr>
            <w:tcW w:type="dxa" w:w="2592"/>
            <w:vAlign w:val="center"/>
            <w:tcMar>
              <w:top w:w="70" w:type="dxa"/>
              <w:start w:w="80" w:type="dxa"/>
              <w:bottom w:w="70" w:type="dxa"/>
              <w:end w:w="80" w:type="dxa"/>
            </w:tcMar>
            <w:shd w:fill="F8FAFC"/>
          </w:tcPr>
          <w:p>
            <w:r>
              <w:rPr>
                <w:sz w:val="15"/>
              </w:rPr>
              <w:t>management review minutes</w:t>
            </w:r>
          </w:p>
        </w:tc>
      </w:tr>
    </w:tbl>
    <w:p>
      <w:pPr>
        <w:pStyle w:val="Heading1"/>
      </w:pPr>
      <w:r>
        <w:t>12. Risk Analysis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728"/>
            <w:shd w:fill="17365D"/>
            <w:vAlign w:val="center"/>
            <w:tcMar>
              <w:top w:w="70" w:type="dxa"/>
              <w:start w:w="80" w:type="dxa"/>
              <w:bottom w:w="70" w:type="dxa"/>
              <w:end w:w="80" w:type="dxa"/>
            </w:tcMar>
          </w:tcPr>
          <w:p>
            <w:pPr>
              <w:jc w:val="center"/>
            </w:pPr>
            <w:r>
              <w:rPr>
                <w:b/>
                <w:color w:val="FFFFFF"/>
                <w:sz w:val="15"/>
              </w:rPr>
              <w:t>Risk</w:t>
            </w:r>
          </w:p>
        </w:tc>
        <w:tc>
          <w:tcPr>
            <w:tcW w:type="dxa" w:w="2304"/>
            <w:shd w:fill="17365D"/>
            <w:vAlign w:val="center"/>
            <w:tcMar>
              <w:top w:w="70" w:type="dxa"/>
              <w:start w:w="80" w:type="dxa"/>
              <w:bottom w:w="70" w:type="dxa"/>
              <w:end w:w="80" w:type="dxa"/>
            </w:tcMar>
          </w:tcPr>
          <w:p>
            <w:pPr>
              <w:jc w:val="center"/>
            </w:pPr>
            <w:r>
              <w:rPr>
                <w:b/>
                <w:color w:val="FFFFFF"/>
                <w:sz w:val="15"/>
              </w:rPr>
              <w:t>Impact on KPI</w:t>
            </w:r>
          </w:p>
        </w:tc>
        <w:tc>
          <w:tcPr>
            <w:tcW w:type="dxa" w:w="4176"/>
            <w:shd w:fill="17365D"/>
            <w:vAlign w:val="center"/>
            <w:tcMar>
              <w:top w:w="70" w:type="dxa"/>
              <w:start w:w="80" w:type="dxa"/>
              <w:bottom w:w="70" w:type="dxa"/>
              <w:end w:w="80" w:type="dxa"/>
            </w:tcMar>
          </w:tcPr>
          <w:p>
            <w:pPr>
              <w:jc w:val="center"/>
            </w:pPr>
            <w:r>
              <w:rPr>
                <w:b/>
                <w:color w:val="FFFFFF"/>
                <w:sz w:val="15"/>
              </w:rPr>
              <w:t>Control / contingency</w:t>
            </w:r>
          </w:p>
        </w:tc>
        <w:tc>
          <w:tcPr>
            <w:tcW w:type="dxa" w:w="1440"/>
            <w:shd w:fill="17365D"/>
            <w:vAlign w:val="center"/>
            <w:tcMar>
              <w:top w:w="70" w:type="dxa"/>
              <w:start w:w="80" w:type="dxa"/>
              <w:bottom w:w="70" w:type="dxa"/>
              <w:end w:w="80" w:type="dxa"/>
            </w:tcMar>
          </w:tcPr>
          <w:p>
            <w:pPr>
              <w:jc w:val="center"/>
            </w:pPr>
            <w:r>
              <w:rPr>
                <w:b/>
                <w:color w:val="FFFFFF"/>
                <w:sz w:val="15"/>
              </w:rPr>
              <w:t>Owner</w:t>
            </w:r>
          </w:p>
        </w:tc>
      </w:tr>
      <w:tr>
        <w:trPr>
          <w:cantSplit/>
        </w:trPr>
        <w:tc>
          <w:tcPr>
            <w:tcW w:type="dxa" w:w="1728"/>
            <w:vAlign w:val="center"/>
            <w:tcMar>
              <w:top w:w="70" w:type="dxa"/>
              <w:start w:w="80" w:type="dxa"/>
              <w:bottom w:w="70" w:type="dxa"/>
              <w:end w:w="80" w:type="dxa"/>
            </w:tcMar>
          </w:tcPr>
          <w:p>
            <w:r>
              <w:rPr>
                <w:sz w:val="15"/>
              </w:rPr>
              <w:t>Missing execution event</w:t>
            </w:r>
          </w:p>
        </w:tc>
        <w:tc>
          <w:tcPr>
            <w:tcW w:type="dxa" w:w="2304"/>
            <w:vAlign w:val="center"/>
            <w:tcMar>
              <w:top w:w="70" w:type="dxa"/>
              <w:start w:w="80" w:type="dxa"/>
              <w:bottom w:w="70" w:type="dxa"/>
              <w:end w:w="80" w:type="dxa"/>
            </w:tcMar>
          </w:tcPr>
          <w:p>
            <w:r>
              <w:rPr>
                <w:sz w:val="15"/>
              </w:rPr>
              <w:t>False OTIF or cycle-time result</w:t>
            </w:r>
          </w:p>
        </w:tc>
        <w:tc>
          <w:tcPr>
            <w:tcW w:type="dxa" w:w="4176"/>
            <w:vAlign w:val="center"/>
            <w:tcMar>
              <w:top w:w="70" w:type="dxa"/>
              <w:start w:w="80" w:type="dxa"/>
              <w:bottom w:w="70" w:type="dxa"/>
              <w:end w:w="80" w:type="dxa"/>
            </w:tcMar>
          </w:tcPr>
          <w:p>
            <w:r>
              <w:rPr>
                <w:sz w:val="15"/>
              </w:rPr>
              <w:t>event completeness check; fallback to approved document timestamp; flag incomplete records</w:t>
            </w:r>
          </w:p>
        </w:tc>
        <w:tc>
          <w:tcPr>
            <w:tcW w:type="dxa" w:w="1440"/>
            <w:vAlign w:val="center"/>
            <w:tcMar>
              <w:top w:w="70" w:type="dxa"/>
              <w:start w:w="80" w:type="dxa"/>
              <w:bottom w:w="70" w:type="dxa"/>
              <w:end w:w="80" w:type="dxa"/>
            </w:tcMar>
          </w:tcPr>
          <w:p>
            <w:r>
              <w:rPr>
                <w:sz w:val="15"/>
              </w:rPr>
              <w:t>Transport planner</w:t>
            </w:r>
          </w:p>
        </w:tc>
      </w:tr>
      <w:tr>
        <w:trPr>
          <w:cantSplit/>
        </w:trPr>
        <w:tc>
          <w:tcPr>
            <w:tcW w:type="dxa" w:w="1728"/>
            <w:vAlign w:val="center"/>
            <w:tcMar>
              <w:top w:w="70" w:type="dxa"/>
              <w:start w:w="80" w:type="dxa"/>
              <w:bottom w:w="70" w:type="dxa"/>
              <w:end w:w="80" w:type="dxa"/>
            </w:tcMar>
            <w:shd w:fill="F8FAFC"/>
          </w:tcPr>
          <w:p>
            <w:r>
              <w:rPr>
                <w:sz w:val="15"/>
              </w:rPr>
              <w:t>Incorrect unit conversion</w:t>
            </w:r>
          </w:p>
        </w:tc>
        <w:tc>
          <w:tcPr>
            <w:tcW w:type="dxa" w:w="2304"/>
            <w:vAlign w:val="center"/>
            <w:tcMar>
              <w:top w:w="70" w:type="dxa"/>
              <w:start w:w="80" w:type="dxa"/>
              <w:bottom w:w="70" w:type="dxa"/>
              <w:end w:w="80" w:type="dxa"/>
            </w:tcMar>
            <w:shd w:fill="F8FAFC"/>
          </w:tcPr>
          <w:p>
            <w:r>
              <w:rPr>
                <w:sz w:val="15"/>
              </w:rPr>
              <w:t>Distorted vehicle utilization or cost/tonne</w:t>
            </w:r>
          </w:p>
        </w:tc>
        <w:tc>
          <w:tcPr>
            <w:tcW w:type="dxa" w:w="4176"/>
            <w:vAlign w:val="center"/>
            <w:tcMar>
              <w:top w:w="70" w:type="dxa"/>
              <w:start w:w="80" w:type="dxa"/>
              <w:bottom w:w="70" w:type="dxa"/>
              <w:end w:w="80" w:type="dxa"/>
            </w:tcMar>
            <w:shd w:fill="F8FAFC"/>
          </w:tcPr>
          <w:p>
            <w:r>
              <w:rPr>
                <w:sz w:val="15"/>
              </w:rPr>
              <w:t>central conversion table; validation test V8</w:t>
            </w:r>
          </w:p>
        </w:tc>
        <w:tc>
          <w:tcPr>
            <w:tcW w:type="dxa" w:w="1440"/>
            <w:vAlign w:val="center"/>
            <w:tcMar>
              <w:top w:w="70" w:type="dxa"/>
              <w:start w:w="80" w:type="dxa"/>
              <w:bottom w:w="70" w:type="dxa"/>
              <w:end w:w="80" w:type="dxa"/>
            </w:tcMar>
            <w:shd w:fill="F8FAFC"/>
          </w:tcPr>
          <w:p>
            <w:r>
              <w:rPr>
                <w:sz w:val="15"/>
              </w:rPr>
              <w:t>Data analyst</w:t>
            </w:r>
          </w:p>
        </w:tc>
      </w:tr>
      <w:tr>
        <w:trPr>
          <w:cantSplit/>
        </w:trPr>
        <w:tc>
          <w:tcPr>
            <w:tcW w:type="dxa" w:w="1728"/>
            <w:vAlign w:val="center"/>
            <w:tcMar>
              <w:top w:w="70" w:type="dxa"/>
              <w:start w:w="80" w:type="dxa"/>
              <w:bottom w:w="70" w:type="dxa"/>
              <w:end w:w="80" w:type="dxa"/>
            </w:tcMar>
          </w:tcPr>
          <w:p>
            <w:r>
              <w:rPr>
                <w:sz w:val="15"/>
              </w:rPr>
              <w:t>Late postings</w:t>
            </w:r>
          </w:p>
        </w:tc>
        <w:tc>
          <w:tcPr>
            <w:tcW w:type="dxa" w:w="2304"/>
            <w:vAlign w:val="center"/>
            <w:tcMar>
              <w:top w:w="70" w:type="dxa"/>
              <w:start w:w="80" w:type="dxa"/>
              <w:bottom w:w="70" w:type="dxa"/>
              <w:end w:w="80" w:type="dxa"/>
            </w:tcMar>
          </w:tcPr>
          <w:p>
            <w:r>
              <w:rPr>
                <w:sz w:val="15"/>
              </w:rPr>
              <w:t>Month-to-month volatility and false trend</w:t>
            </w:r>
          </w:p>
        </w:tc>
        <w:tc>
          <w:tcPr>
            <w:tcW w:type="dxa" w:w="4176"/>
            <w:vAlign w:val="center"/>
            <w:tcMar>
              <w:top w:w="70" w:type="dxa"/>
              <w:start w:w="80" w:type="dxa"/>
              <w:bottom w:w="70" w:type="dxa"/>
              <w:end w:w="80" w:type="dxa"/>
            </w:tcMar>
          </w:tcPr>
          <w:p>
            <w:r>
              <w:rPr>
                <w:sz w:val="15"/>
              </w:rPr>
              <w:t>reporting cutoff rule; late-posting adjustment log</w:t>
            </w:r>
          </w:p>
        </w:tc>
        <w:tc>
          <w:tcPr>
            <w:tcW w:type="dxa" w:w="1440"/>
            <w:vAlign w:val="center"/>
            <w:tcMar>
              <w:top w:w="70" w:type="dxa"/>
              <w:start w:w="80" w:type="dxa"/>
              <w:bottom w:w="70" w:type="dxa"/>
              <w:end w:w="80" w:type="dxa"/>
            </w:tcMar>
          </w:tcPr>
          <w:p>
            <w:r>
              <w:rPr>
                <w:sz w:val="15"/>
              </w:rPr>
              <w:t>Performance owner</w:t>
            </w:r>
          </w:p>
        </w:tc>
      </w:tr>
      <w:tr>
        <w:trPr>
          <w:cantSplit/>
        </w:trPr>
        <w:tc>
          <w:tcPr>
            <w:tcW w:type="dxa" w:w="1728"/>
            <w:vAlign w:val="center"/>
            <w:tcMar>
              <w:top w:w="70" w:type="dxa"/>
              <w:start w:w="80" w:type="dxa"/>
              <w:bottom w:w="70" w:type="dxa"/>
              <w:end w:w="80" w:type="dxa"/>
            </w:tcMar>
            <w:shd w:fill="F8FAFC"/>
          </w:tcPr>
          <w:p>
            <w:r>
              <w:rPr>
                <w:sz w:val="15"/>
              </w:rPr>
              <w:t>Duplicate records</w:t>
            </w:r>
          </w:p>
        </w:tc>
        <w:tc>
          <w:tcPr>
            <w:tcW w:type="dxa" w:w="2304"/>
            <w:vAlign w:val="center"/>
            <w:tcMar>
              <w:top w:w="70" w:type="dxa"/>
              <w:start w:w="80" w:type="dxa"/>
              <w:bottom w:w="70" w:type="dxa"/>
              <w:end w:w="80" w:type="dxa"/>
            </w:tcMar>
            <w:shd w:fill="F8FAFC"/>
          </w:tcPr>
          <w:p>
            <w:r>
              <w:rPr>
                <w:sz w:val="15"/>
              </w:rPr>
              <w:t>Inflated order/transport counts</w:t>
            </w:r>
          </w:p>
        </w:tc>
        <w:tc>
          <w:tcPr>
            <w:tcW w:type="dxa" w:w="4176"/>
            <w:vAlign w:val="center"/>
            <w:tcMar>
              <w:top w:w="70" w:type="dxa"/>
              <w:start w:w="80" w:type="dxa"/>
              <w:bottom w:w="70" w:type="dxa"/>
              <w:end w:w="80" w:type="dxa"/>
            </w:tcMar>
            <w:shd w:fill="F8FAFC"/>
          </w:tcPr>
          <w:p>
            <w:r>
              <w:rPr>
                <w:sz w:val="15"/>
              </w:rPr>
              <w:t>unique business key and duplicate validation</w:t>
            </w:r>
          </w:p>
        </w:tc>
        <w:tc>
          <w:tcPr>
            <w:tcW w:type="dxa" w:w="1440"/>
            <w:vAlign w:val="center"/>
            <w:tcMar>
              <w:top w:w="70" w:type="dxa"/>
              <w:start w:w="80" w:type="dxa"/>
              <w:bottom w:w="70" w:type="dxa"/>
              <w:end w:w="80" w:type="dxa"/>
            </w:tcMar>
            <w:shd w:fill="F8FAFC"/>
          </w:tcPr>
          <w:p>
            <w:r>
              <w:rPr>
                <w:sz w:val="15"/>
              </w:rPr>
              <w:t>Data analyst</w:t>
            </w:r>
          </w:p>
        </w:tc>
      </w:tr>
      <w:tr>
        <w:trPr>
          <w:cantSplit/>
        </w:trPr>
        <w:tc>
          <w:tcPr>
            <w:tcW w:type="dxa" w:w="1728"/>
            <w:vAlign w:val="center"/>
            <w:tcMar>
              <w:top w:w="70" w:type="dxa"/>
              <w:start w:w="80" w:type="dxa"/>
              <w:bottom w:w="70" w:type="dxa"/>
              <w:end w:w="80" w:type="dxa"/>
            </w:tcMar>
          </w:tcPr>
          <w:p>
            <w:r>
              <w:rPr>
                <w:sz w:val="15"/>
              </w:rPr>
              <w:t>Target gaming</w:t>
            </w:r>
          </w:p>
        </w:tc>
        <w:tc>
          <w:tcPr>
            <w:tcW w:type="dxa" w:w="2304"/>
            <w:vAlign w:val="center"/>
            <w:tcMar>
              <w:top w:w="70" w:type="dxa"/>
              <w:start w:w="80" w:type="dxa"/>
              <w:bottom w:w="70" w:type="dxa"/>
              <w:end w:w="80" w:type="dxa"/>
            </w:tcMar>
          </w:tcPr>
          <w:p>
            <w:r>
              <w:rPr>
                <w:sz w:val="15"/>
              </w:rPr>
              <w:t>Local optimization harms service or cost balance</w:t>
            </w:r>
          </w:p>
        </w:tc>
        <w:tc>
          <w:tcPr>
            <w:tcW w:type="dxa" w:w="4176"/>
            <w:vAlign w:val="center"/>
            <w:tcMar>
              <w:top w:w="70" w:type="dxa"/>
              <w:start w:w="80" w:type="dxa"/>
              <w:bottom w:w="70" w:type="dxa"/>
              <w:end w:w="80" w:type="dxa"/>
            </w:tcMar>
          </w:tcPr>
          <w:p>
            <w:r>
              <w:rPr>
                <w:sz w:val="15"/>
              </w:rPr>
              <w:t>balanced KPI set; cap score at 100; retain red critical metrics</w:t>
            </w:r>
          </w:p>
        </w:tc>
        <w:tc>
          <w:tcPr>
            <w:tcW w:type="dxa" w:w="1440"/>
            <w:vAlign w:val="center"/>
            <w:tcMar>
              <w:top w:w="70" w:type="dxa"/>
              <w:start w:w="80" w:type="dxa"/>
              <w:bottom w:w="70" w:type="dxa"/>
              <w:end w:w="80" w:type="dxa"/>
            </w:tcMar>
          </w:tcPr>
          <w:p>
            <w:r>
              <w:rPr>
                <w:sz w:val="15"/>
              </w:rPr>
              <w:t>Business manager</w:t>
            </w:r>
          </w:p>
        </w:tc>
      </w:tr>
      <w:tr>
        <w:trPr>
          <w:cantSplit/>
        </w:trPr>
        <w:tc>
          <w:tcPr>
            <w:tcW w:type="dxa" w:w="1728"/>
            <w:vAlign w:val="center"/>
            <w:tcMar>
              <w:top w:w="70" w:type="dxa"/>
              <w:start w:w="80" w:type="dxa"/>
              <w:bottom w:w="70" w:type="dxa"/>
              <w:end w:w="80" w:type="dxa"/>
            </w:tcMar>
            <w:shd w:fill="F8FAFC"/>
          </w:tcPr>
          <w:p>
            <w:r>
              <w:rPr>
                <w:sz w:val="15"/>
              </w:rPr>
              <w:t>Stale master data</w:t>
            </w:r>
          </w:p>
        </w:tc>
        <w:tc>
          <w:tcPr>
            <w:tcW w:type="dxa" w:w="2304"/>
            <w:vAlign w:val="center"/>
            <w:tcMar>
              <w:top w:w="70" w:type="dxa"/>
              <w:start w:w="80" w:type="dxa"/>
              <w:bottom w:w="70" w:type="dxa"/>
              <w:end w:w="80" w:type="dxa"/>
            </w:tcMar>
            <w:shd w:fill="F8FAFC"/>
          </w:tcPr>
          <w:p>
            <w:r>
              <w:rPr>
                <w:sz w:val="15"/>
              </w:rPr>
              <w:t>Wrong carrier/location/product grouping</w:t>
            </w:r>
          </w:p>
        </w:tc>
        <w:tc>
          <w:tcPr>
            <w:tcW w:type="dxa" w:w="4176"/>
            <w:vAlign w:val="center"/>
            <w:tcMar>
              <w:top w:w="70" w:type="dxa"/>
              <w:start w:w="80" w:type="dxa"/>
              <w:bottom w:w="70" w:type="dxa"/>
              <w:end w:w="80" w:type="dxa"/>
            </w:tcMar>
            <w:shd w:fill="F8FAFC"/>
          </w:tcPr>
          <w:p>
            <w:r>
              <w:rPr>
                <w:sz w:val="15"/>
              </w:rPr>
              <w:t>master-data owner review and exception list</w:t>
            </w:r>
          </w:p>
        </w:tc>
        <w:tc>
          <w:tcPr>
            <w:tcW w:type="dxa" w:w="1440"/>
            <w:vAlign w:val="center"/>
            <w:tcMar>
              <w:top w:w="70" w:type="dxa"/>
              <w:start w:w="80" w:type="dxa"/>
              <w:bottom w:w="70" w:type="dxa"/>
              <w:end w:w="80" w:type="dxa"/>
            </w:tcMar>
            <w:shd w:fill="F8FAFC"/>
          </w:tcPr>
          <w:p>
            <w:r>
              <w:rPr>
                <w:sz w:val="15"/>
              </w:rPr>
              <w:t>SAP support</w:t>
            </w:r>
          </w:p>
        </w:tc>
      </w:tr>
      <w:tr>
        <w:trPr>
          <w:cantSplit/>
        </w:trPr>
        <w:tc>
          <w:tcPr>
            <w:tcW w:type="dxa" w:w="1728"/>
            <w:vAlign w:val="center"/>
            <w:tcMar>
              <w:top w:w="70" w:type="dxa"/>
              <w:start w:w="80" w:type="dxa"/>
              <w:bottom w:w="70" w:type="dxa"/>
              <w:end w:w="80" w:type="dxa"/>
            </w:tcMar>
          </w:tcPr>
          <w:p>
            <w:r>
              <w:rPr>
                <w:sz w:val="15"/>
              </w:rPr>
              <w:t>Interface failure</w:t>
            </w:r>
          </w:p>
        </w:tc>
        <w:tc>
          <w:tcPr>
            <w:tcW w:type="dxa" w:w="2304"/>
            <w:vAlign w:val="center"/>
            <w:tcMar>
              <w:top w:w="70" w:type="dxa"/>
              <w:start w:w="80" w:type="dxa"/>
              <w:bottom w:w="70" w:type="dxa"/>
              <w:end w:w="80" w:type="dxa"/>
            </w:tcMar>
          </w:tcPr>
          <w:p>
            <w:r>
              <w:rPr>
                <w:sz w:val="15"/>
              </w:rPr>
              <w:t>Incomplete cross-system scorecard</w:t>
            </w:r>
          </w:p>
        </w:tc>
        <w:tc>
          <w:tcPr>
            <w:tcW w:type="dxa" w:w="4176"/>
            <w:vAlign w:val="center"/>
            <w:tcMar>
              <w:top w:w="70" w:type="dxa"/>
              <w:start w:w="80" w:type="dxa"/>
              <w:bottom w:w="70" w:type="dxa"/>
              <w:end w:w="80" w:type="dxa"/>
            </w:tcMar>
          </w:tcPr>
          <w:p>
            <w:r>
              <w:rPr>
                <w:sz w:val="15"/>
              </w:rPr>
              <w:t>queue/interface monitoring; completeness threshold before publish</w:t>
            </w:r>
          </w:p>
        </w:tc>
        <w:tc>
          <w:tcPr>
            <w:tcW w:type="dxa" w:w="1440"/>
            <w:vAlign w:val="center"/>
            <w:tcMar>
              <w:top w:w="70" w:type="dxa"/>
              <w:start w:w="80" w:type="dxa"/>
              <w:bottom w:w="70" w:type="dxa"/>
              <w:end w:w="80" w:type="dxa"/>
            </w:tcMar>
          </w:tcPr>
          <w:p>
            <w:r>
              <w:rPr>
                <w:sz w:val="15"/>
              </w:rPr>
              <w:t>SAP support</w:t>
            </w:r>
          </w:p>
        </w:tc>
      </w:tr>
      <w:tr>
        <w:trPr>
          <w:cantSplit/>
        </w:trPr>
        <w:tc>
          <w:tcPr>
            <w:tcW w:type="dxa" w:w="1728"/>
            <w:vAlign w:val="center"/>
            <w:tcMar>
              <w:top w:w="70" w:type="dxa"/>
              <w:start w:w="80" w:type="dxa"/>
              <w:bottom w:w="70" w:type="dxa"/>
              <w:end w:w="80" w:type="dxa"/>
            </w:tcMar>
            <w:shd w:fill="F8FAFC"/>
          </w:tcPr>
          <w:p>
            <w:r>
              <w:rPr>
                <w:sz w:val="15"/>
              </w:rPr>
              <w:t>Over-aggregation</w:t>
            </w:r>
          </w:p>
        </w:tc>
        <w:tc>
          <w:tcPr>
            <w:tcW w:type="dxa" w:w="2304"/>
            <w:vAlign w:val="center"/>
            <w:tcMar>
              <w:top w:w="70" w:type="dxa"/>
              <w:start w:w="80" w:type="dxa"/>
              <w:bottom w:w="70" w:type="dxa"/>
              <w:end w:w="80" w:type="dxa"/>
            </w:tcMar>
            <w:shd w:fill="F8FAFC"/>
          </w:tcPr>
          <w:p>
            <w:r>
              <w:rPr>
                <w:sz w:val="15"/>
              </w:rPr>
              <w:t>Root cause hidden by monthly average</w:t>
            </w:r>
          </w:p>
        </w:tc>
        <w:tc>
          <w:tcPr>
            <w:tcW w:type="dxa" w:w="4176"/>
            <w:vAlign w:val="center"/>
            <w:tcMar>
              <w:top w:w="70" w:type="dxa"/>
              <w:start w:w="80" w:type="dxa"/>
              <w:bottom w:w="70" w:type="dxa"/>
              <w:end w:w="80" w:type="dxa"/>
            </w:tcMar>
            <w:shd w:fill="F8FAFC"/>
          </w:tcPr>
          <w:p>
            <w:r>
              <w:rPr>
                <w:sz w:val="15"/>
              </w:rPr>
              <w:t>drilldown by carrier, route, warehouse, product and day</w:t>
            </w:r>
          </w:p>
        </w:tc>
        <w:tc>
          <w:tcPr>
            <w:tcW w:type="dxa" w:w="1440"/>
            <w:vAlign w:val="center"/>
            <w:tcMar>
              <w:top w:w="70" w:type="dxa"/>
              <w:start w:w="80" w:type="dxa"/>
              <w:bottom w:w="70" w:type="dxa"/>
              <w:end w:w="80" w:type="dxa"/>
            </w:tcMar>
            <w:shd w:fill="F8FAFC"/>
          </w:tcPr>
          <w:p>
            <w:r>
              <w:rPr>
                <w:sz w:val="15"/>
              </w:rPr>
              <w:t>Performance owner</w:t>
            </w:r>
          </w:p>
        </w:tc>
      </w:tr>
    </w:tbl>
    <w:p>
      <w:pPr>
        <w:pStyle w:val="Heading1"/>
      </w:pPr>
      <w:r>
        <w:t>13. Recommendations and Improvement Roadmap</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04"/>
            <w:shd w:fill="17365D"/>
            <w:vAlign w:val="center"/>
            <w:tcMar>
              <w:top w:w="70" w:type="dxa"/>
              <w:start w:w="80" w:type="dxa"/>
              <w:bottom w:w="70" w:type="dxa"/>
              <w:end w:w="80" w:type="dxa"/>
            </w:tcMar>
          </w:tcPr>
          <w:p>
            <w:pPr>
              <w:jc w:val="center"/>
            </w:pPr>
            <w:r>
              <w:rPr>
                <w:b/>
                <w:color w:val="FFFFFF"/>
                <w:sz w:val="15"/>
              </w:rPr>
              <w:t>Recommendation</w:t>
            </w:r>
          </w:p>
        </w:tc>
        <w:tc>
          <w:tcPr>
            <w:tcW w:type="dxa" w:w="4896"/>
            <w:shd w:fill="17365D"/>
            <w:vAlign w:val="center"/>
            <w:tcMar>
              <w:top w:w="70" w:type="dxa"/>
              <w:start w:w="80" w:type="dxa"/>
              <w:bottom w:w="70" w:type="dxa"/>
              <w:end w:w="80" w:type="dxa"/>
            </w:tcMar>
          </w:tcPr>
          <w:p>
            <w:pPr>
              <w:jc w:val="center"/>
            </w:pPr>
            <w:r>
              <w:rPr>
                <w:b/>
                <w:color w:val="FFFFFF"/>
                <w:sz w:val="15"/>
              </w:rPr>
              <w:t>Rationale / action</w:t>
            </w:r>
          </w:p>
        </w:tc>
        <w:tc>
          <w:tcPr>
            <w:tcW w:type="dxa" w:w="2304"/>
            <w:shd w:fill="17365D"/>
            <w:vAlign w:val="center"/>
            <w:tcMar>
              <w:top w:w="70" w:type="dxa"/>
              <w:start w:w="80" w:type="dxa"/>
              <w:bottom w:w="70" w:type="dxa"/>
              <w:end w:w="80" w:type="dxa"/>
            </w:tcMar>
          </w:tcPr>
          <w:p>
            <w:pPr>
              <w:jc w:val="center"/>
            </w:pPr>
            <w:r>
              <w:rPr>
                <w:b/>
                <w:color w:val="FFFFFF"/>
                <w:sz w:val="15"/>
              </w:rPr>
              <w:t>Target outcome</w:t>
            </w:r>
          </w:p>
        </w:tc>
      </w:tr>
      <w:tr>
        <w:trPr>
          <w:cantSplit/>
        </w:trPr>
        <w:tc>
          <w:tcPr>
            <w:tcW w:type="dxa" w:w="2304"/>
            <w:vAlign w:val="center"/>
            <w:tcMar>
              <w:top w:w="70" w:type="dxa"/>
              <w:start w:w="80" w:type="dxa"/>
              <w:bottom w:w="70" w:type="dxa"/>
              <w:end w:w="80" w:type="dxa"/>
            </w:tcMar>
          </w:tcPr>
          <w:p>
            <w:r>
              <w:rPr>
                <w:sz w:val="15"/>
              </w:rPr>
              <w:t>1. Carrier appointment discipline</w:t>
            </w:r>
          </w:p>
        </w:tc>
        <w:tc>
          <w:tcPr>
            <w:tcW w:type="dxa" w:w="4896"/>
            <w:vAlign w:val="center"/>
            <w:tcMar>
              <w:top w:w="70" w:type="dxa"/>
              <w:start w:w="80" w:type="dxa"/>
              <w:bottom w:w="70" w:type="dxa"/>
              <w:end w:w="80" w:type="dxa"/>
            </w:tcMar>
          </w:tcPr>
          <w:p>
            <w:r>
              <w:rPr>
                <w:sz w:val="15"/>
              </w:rPr>
              <w:t>Address the largest exception category: late carrier pickup. Use carrier on-time performance and appointment adherence in weekly reviews.</w:t>
            </w:r>
          </w:p>
        </w:tc>
        <w:tc>
          <w:tcPr>
            <w:tcW w:type="dxa" w:w="2304"/>
            <w:vAlign w:val="center"/>
            <w:tcMar>
              <w:top w:w="70" w:type="dxa"/>
              <w:start w:w="80" w:type="dxa"/>
              <w:bottom w:w="70" w:type="dxa"/>
              <w:end w:w="80" w:type="dxa"/>
            </w:tcMar>
          </w:tcPr>
          <w:p>
            <w:r>
              <w:rPr>
                <w:sz w:val="15"/>
              </w:rPr>
              <w:t>Reduce transport-related exceptions by 20% within two months.</w:t>
            </w:r>
          </w:p>
        </w:tc>
      </w:tr>
      <w:tr>
        <w:trPr>
          <w:cantSplit/>
        </w:trPr>
        <w:tc>
          <w:tcPr>
            <w:tcW w:type="dxa" w:w="2304"/>
            <w:vAlign w:val="center"/>
            <w:tcMar>
              <w:top w:w="70" w:type="dxa"/>
              <w:start w:w="80" w:type="dxa"/>
              <w:bottom w:w="70" w:type="dxa"/>
              <w:end w:w="80" w:type="dxa"/>
            </w:tcMar>
            <w:shd w:fill="F8FAFC"/>
          </w:tcPr>
          <w:p>
            <w:r>
              <w:rPr>
                <w:sz w:val="15"/>
              </w:rPr>
              <w:t>2. Wave-to-departure synchronization</w:t>
            </w:r>
          </w:p>
        </w:tc>
        <w:tc>
          <w:tcPr>
            <w:tcW w:type="dxa" w:w="4896"/>
            <w:vAlign w:val="center"/>
            <w:tcMar>
              <w:top w:w="70" w:type="dxa"/>
              <w:start w:w="80" w:type="dxa"/>
              <w:bottom w:w="70" w:type="dxa"/>
              <w:end w:w="80" w:type="dxa"/>
            </w:tcMar>
            <w:shd w:fill="F8FAFC"/>
          </w:tcPr>
          <w:p>
            <w:r>
              <w:rPr>
                <w:sz w:val="15"/>
              </w:rPr>
              <w:t>Release picking waves backward from planned truck departure and protect staging capacity.</w:t>
            </w:r>
          </w:p>
        </w:tc>
        <w:tc>
          <w:tcPr>
            <w:tcW w:type="dxa" w:w="2304"/>
            <w:vAlign w:val="center"/>
            <w:tcMar>
              <w:top w:w="70" w:type="dxa"/>
              <w:start w:w="80" w:type="dxa"/>
              <w:bottom w:w="70" w:type="dxa"/>
              <w:end w:w="80" w:type="dxa"/>
            </w:tcMar>
            <w:shd w:fill="F8FAFC"/>
          </w:tcPr>
          <w:p>
            <w:r>
              <w:rPr>
                <w:sz w:val="15"/>
              </w:rPr>
              <w:t>Keep average dock turnaround &lt;=80 minutes.</w:t>
            </w:r>
          </w:p>
        </w:tc>
      </w:tr>
      <w:tr>
        <w:trPr>
          <w:cantSplit/>
        </w:trPr>
        <w:tc>
          <w:tcPr>
            <w:tcW w:type="dxa" w:w="2304"/>
            <w:vAlign w:val="center"/>
            <w:tcMar>
              <w:top w:w="70" w:type="dxa"/>
              <w:start w:w="80" w:type="dxa"/>
              <w:bottom w:w="70" w:type="dxa"/>
              <w:end w:w="80" w:type="dxa"/>
            </w:tcMar>
          </w:tcPr>
          <w:p>
            <w:r>
              <w:rPr>
                <w:sz w:val="15"/>
              </w:rPr>
              <w:t>3. Load-consolidation rule</w:t>
            </w:r>
          </w:p>
        </w:tc>
        <w:tc>
          <w:tcPr>
            <w:tcW w:type="dxa" w:w="4896"/>
            <w:vAlign w:val="center"/>
            <w:tcMar>
              <w:top w:w="70" w:type="dxa"/>
              <w:start w:w="80" w:type="dxa"/>
              <w:bottom w:w="70" w:type="dxa"/>
              <w:end w:w="80" w:type="dxa"/>
            </w:tcMar>
          </w:tcPr>
          <w:p>
            <w:r>
              <w:rPr>
                <w:sz w:val="15"/>
              </w:rPr>
              <w:t>Consolidate compatible freight only when the service window remains protected.</w:t>
            </w:r>
          </w:p>
        </w:tc>
        <w:tc>
          <w:tcPr>
            <w:tcW w:type="dxa" w:w="2304"/>
            <w:vAlign w:val="center"/>
            <w:tcMar>
              <w:top w:w="70" w:type="dxa"/>
              <w:start w:w="80" w:type="dxa"/>
              <w:bottom w:w="70" w:type="dxa"/>
              <w:end w:w="80" w:type="dxa"/>
            </w:tcMar>
          </w:tcPr>
          <w:p>
            <w:r>
              <w:rPr>
                <w:sz w:val="15"/>
              </w:rPr>
              <w:t>Maintain truck utilization &gt;=90% without reducing OTIF below 95%.</w:t>
            </w:r>
          </w:p>
        </w:tc>
      </w:tr>
      <w:tr>
        <w:trPr>
          <w:cantSplit/>
        </w:trPr>
        <w:tc>
          <w:tcPr>
            <w:tcW w:type="dxa" w:w="2304"/>
            <w:vAlign w:val="center"/>
            <w:tcMar>
              <w:top w:w="70" w:type="dxa"/>
              <w:start w:w="80" w:type="dxa"/>
              <w:bottom w:w="70" w:type="dxa"/>
              <w:end w:w="80" w:type="dxa"/>
            </w:tcMar>
            <w:shd w:fill="F8FAFC"/>
          </w:tcPr>
          <w:p>
            <w:r>
              <w:rPr>
                <w:sz w:val="15"/>
              </w:rPr>
              <w:t>4. Inventory exception segmentation</w:t>
            </w:r>
          </w:p>
        </w:tc>
        <w:tc>
          <w:tcPr>
            <w:tcW w:type="dxa" w:w="4896"/>
            <w:vAlign w:val="center"/>
            <w:tcMar>
              <w:top w:w="70" w:type="dxa"/>
              <w:start w:w="80" w:type="dxa"/>
              <w:bottom w:w="70" w:type="dxa"/>
              <w:end w:w="80" w:type="dxa"/>
            </w:tcMar>
            <w:shd w:fill="F8FAFC"/>
          </w:tcPr>
          <w:p>
            <w:r>
              <w:rPr>
                <w:sz w:val="15"/>
              </w:rPr>
              <w:t>Prioritize stock-out analysis for high-value/high-variability items rather than applying the same buffer everywhere.</w:t>
            </w:r>
          </w:p>
        </w:tc>
        <w:tc>
          <w:tcPr>
            <w:tcW w:type="dxa" w:w="2304"/>
            <w:vAlign w:val="center"/>
            <w:tcMar>
              <w:top w:w="70" w:type="dxa"/>
              <w:start w:w="80" w:type="dxa"/>
              <w:bottom w:w="70" w:type="dxa"/>
              <w:end w:w="80" w:type="dxa"/>
            </w:tcMar>
            <w:shd w:fill="F8FAFC"/>
          </w:tcPr>
          <w:p>
            <w:r>
              <w:rPr>
                <w:sz w:val="15"/>
              </w:rPr>
              <w:t>Stock-out rate &lt;=3% and turnover &gt;=7.5x.</w:t>
            </w:r>
          </w:p>
        </w:tc>
      </w:tr>
      <w:tr>
        <w:trPr>
          <w:cantSplit/>
        </w:trPr>
        <w:tc>
          <w:tcPr>
            <w:tcW w:type="dxa" w:w="2304"/>
            <w:vAlign w:val="center"/>
            <w:tcMar>
              <w:top w:w="70" w:type="dxa"/>
              <w:start w:w="80" w:type="dxa"/>
              <w:bottom w:w="70" w:type="dxa"/>
              <w:end w:w="80" w:type="dxa"/>
            </w:tcMar>
          </w:tcPr>
          <w:p>
            <w:r>
              <w:rPr>
                <w:sz w:val="15"/>
              </w:rPr>
              <w:t>5. Data-quality gate before scorecard</w:t>
            </w:r>
          </w:p>
        </w:tc>
        <w:tc>
          <w:tcPr>
            <w:tcW w:type="dxa" w:w="4896"/>
            <w:vAlign w:val="center"/>
            <w:tcMar>
              <w:top w:w="70" w:type="dxa"/>
              <w:start w:w="80" w:type="dxa"/>
              <w:bottom w:w="70" w:type="dxa"/>
              <w:end w:w="80" w:type="dxa"/>
            </w:tcMar>
          </w:tcPr>
          <w:p>
            <w:r>
              <w:rPr>
                <w:sz w:val="15"/>
              </w:rPr>
              <w:t>Do not publish the monthly scorecard until completeness, duplicate, unit and timestamp tests pass.</w:t>
            </w:r>
          </w:p>
        </w:tc>
        <w:tc>
          <w:tcPr>
            <w:tcW w:type="dxa" w:w="2304"/>
            <w:vAlign w:val="center"/>
            <w:tcMar>
              <w:top w:w="70" w:type="dxa"/>
              <w:start w:w="80" w:type="dxa"/>
              <w:bottom w:w="70" w:type="dxa"/>
              <w:end w:w="80" w:type="dxa"/>
            </w:tcMar>
          </w:tcPr>
          <w:p>
            <w:r>
              <w:rPr>
                <w:sz w:val="15"/>
              </w:rPr>
              <w:t>100% validation evidence for published period.</w:t>
            </w:r>
          </w:p>
        </w:tc>
      </w:tr>
      <w:tr>
        <w:trPr>
          <w:cantSplit/>
        </w:trPr>
        <w:tc>
          <w:tcPr>
            <w:tcW w:type="dxa" w:w="2304"/>
            <w:vAlign w:val="center"/>
            <w:tcMar>
              <w:top w:w="70" w:type="dxa"/>
              <w:start w:w="80" w:type="dxa"/>
              <w:bottom w:w="70" w:type="dxa"/>
              <w:end w:w="80" w:type="dxa"/>
            </w:tcMar>
            <w:shd w:fill="F8FAFC"/>
          </w:tcPr>
          <w:p>
            <w:r>
              <w:rPr>
                <w:sz w:val="15"/>
              </w:rPr>
              <w:t>6. Closed-loop action log</w:t>
            </w:r>
          </w:p>
        </w:tc>
        <w:tc>
          <w:tcPr>
            <w:tcW w:type="dxa" w:w="4896"/>
            <w:vAlign w:val="center"/>
            <w:tcMar>
              <w:top w:w="70" w:type="dxa"/>
              <w:start w:w="80" w:type="dxa"/>
              <w:bottom w:w="70" w:type="dxa"/>
              <w:end w:w="80" w:type="dxa"/>
            </w:tcMar>
            <w:shd w:fill="F8FAFC"/>
          </w:tcPr>
          <w:p>
            <w:r>
              <w:rPr>
                <w:sz w:val="15"/>
              </w:rPr>
              <w:t>Every Amber/Red KPI gets an owner, root cause, due date and verification date.</w:t>
            </w:r>
          </w:p>
        </w:tc>
        <w:tc>
          <w:tcPr>
            <w:tcW w:type="dxa" w:w="2304"/>
            <w:vAlign w:val="center"/>
            <w:tcMar>
              <w:top w:w="70" w:type="dxa"/>
              <w:start w:w="80" w:type="dxa"/>
              <w:bottom w:w="70" w:type="dxa"/>
              <w:end w:w="80" w:type="dxa"/>
            </w:tcMar>
            <w:shd w:fill="F8FAFC"/>
          </w:tcPr>
          <w:p>
            <w:r>
              <w:rPr>
                <w:sz w:val="15"/>
              </w:rPr>
              <w:t>&gt;=90% of actions closed by due date.</w:t>
            </w:r>
          </w:p>
        </w:tc>
      </w:tr>
    </w:tbl>
    <w:p>
      <w:pPr>
        <w:pStyle w:val="Heading2"/>
      </w:pPr>
      <w:r>
        <w:t>13.1 90-day roadmap</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440"/>
            <w:shd w:fill="17365D"/>
            <w:vAlign w:val="center"/>
            <w:tcMar>
              <w:top w:w="70" w:type="dxa"/>
              <w:start w:w="80" w:type="dxa"/>
              <w:bottom w:w="70" w:type="dxa"/>
              <w:end w:w="80" w:type="dxa"/>
            </w:tcMar>
          </w:tcPr>
          <w:p>
            <w:pPr>
              <w:jc w:val="center"/>
            </w:pPr>
            <w:r>
              <w:rPr>
                <w:b/>
                <w:color w:val="FFFFFF"/>
                <w:sz w:val="16"/>
              </w:rPr>
              <w:t>Period</w:t>
            </w:r>
          </w:p>
        </w:tc>
        <w:tc>
          <w:tcPr>
            <w:tcW w:type="dxa" w:w="3168"/>
            <w:shd w:fill="17365D"/>
            <w:vAlign w:val="center"/>
            <w:tcMar>
              <w:top w:w="70" w:type="dxa"/>
              <w:start w:w="80" w:type="dxa"/>
              <w:bottom w:w="70" w:type="dxa"/>
              <w:end w:w="80" w:type="dxa"/>
            </w:tcMar>
          </w:tcPr>
          <w:p>
            <w:pPr>
              <w:jc w:val="center"/>
            </w:pPr>
            <w:r>
              <w:rPr>
                <w:b/>
                <w:color w:val="FFFFFF"/>
                <w:sz w:val="16"/>
              </w:rPr>
              <w:t>Priority</w:t>
            </w:r>
          </w:p>
        </w:tc>
        <w:tc>
          <w:tcPr>
            <w:tcW w:type="dxa" w:w="4896"/>
            <w:shd w:fill="17365D"/>
            <w:vAlign w:val="center"/>
            <w:tcMar>
              <w:top w:w="70" w:type="dxa"/>
              <w:start w:w="80" w:type="dxa"/>
              <w:bottom w:w="70" w:type="dxa"/>
              <w:end w:w="80" w:type="dxa"/>
            </w:tcMar>
          </w:tcPr>
          <w:p>
            <w:pPr>
              <w:jc w:val="center"/>
            </w:pPr>
            <w:r>
              <w:rPr>
                <w:b/>
                <w:color w:val="FFFFFF"/>
                <w:sz w:val="16"/>
              </w:rPr>
              <w:t>Deliverable</w:t>
            </w:r>
          </w:p>
        </w:tc>
      </w:tr>
      <w:tr>
        <w:trPr>
          <w:cantSplit/>
        </w:trPr>
        <w:tc>
          <w:tcPr>
            <w:tcW w:type="dxa" w:w="1440"/>
            <w:vAlign w:val="center"/>
            <w:tcMar>
              <w:top w:w="70" w:type="dxa"/>
              <w:start w:w="80" w:type="dxa"/>
              <w:bottom w:w="70" w:type="dxa"/>
              <w:end w:w="80" w:type="dxa"/>
            </w:tcMar>
          </w:tcPr>
          <w:p>
            <w:r>
              <w:rPr>
                <w:sz w:val="16"/>
              </w:rPr>
              <w:t>Days 1-30</w:t>
            </w:r>
          </w:p>
        </w:tc>
        <w:tc>
          <w:tcPr>
            <w:tcW w:type="dxa" w:w="3168"/>
            <w:vAlign w:val="center"/>
            <w:tcMar>
              <w:top w:w="70" w:type="dxa"/>
              <w:start w:w="80" w:type="dxa"/>
              <w:bottom w:w="70" w:type="dxa"/>
              <w:end w:w="80" w:type="dxa"/>
            </w:tcMar>
          </w:tcPr>
          <w:p>
            <w:r>
              <w:rPr>
                <w:sz w:val="16"/>
              </w:rPr>
              <w:t>Stabilize data and definitions</w:t>
            </w:r>
          </w:p>
        </w:tc>
        <w:tc>
          <w:tcPr>
            <w:tcW w:type="dxa" w:w="4896"/>
            <w:vAlign w:val="center"/>
            <w:tcMar>
              <w:top w:w="70" w:type="dxa"/>
              <w:start w:w="80" w:type="dxa"/>
              <w:bottom w:w="70" w:type="dxa"/>
              <w:end w:w="80" w:type="dxa"/>
            </w:tcMar>
          </w:tcPr>
          <w:p>
            <w:r>
              <w:rPr>
                <w:sz w:val="16"/>
              </w:rPr>
              <w:t>approved KPI dictionary, validation rules, baseline dashboard</w:t>
            </w:r>
          </w:p>
        </w:tc>
      </w:tr>
      <w:tr>
        <w:trPr>
          <w:cantSplit/>
        </w:trPr>
        <w:tc>
          <w:tcPr>
            <w:tcW w:type="dxa" w:w="1440"/>
            <w:vAlign w:val="center"/>
            <w:tcMar>
              <w:top w:w="70" w:type="dxa"/>
              <w:start w:w="80" w:type="dxa"/>
              <w:bottom w:w="70" w:type="dxa"/>
              <w:end w:w="80" w:type="dxa"/>
            </w:tcMar>
            <w:shd w:fill="F8FAFC"/>
          </w:tcPr>
          <w:p>
            <w:r>
              <w:rPr>
                <w:sz w:val="16"/>
              </w:rPr>
              <w:t>Days 31-60</w:t>
            </w:r>
          </w:p>
        </w:tc>
        <w:tc>
          <w:tcPr>
            <w:tcW w:type="dxa" w:w="3168"/>
            <w:vAlign w:val="center"/>
            <w:tcMar>
              <w:top w:w="70" w:type="dxa"/>
              <w:start w:w="80" w:type="dxa"/>
              <w:bottom w:w="70" w:type="dxa"/>
              <w:end w:w="80" w:type="dxa"/>
            </w:tcMar>
            <w:shd w:fill="F8FAFC"/>
          </w:tcPr>
          <w:p>
            <w:r>
              <w:rPr>
                <w:sz w:val="16"/>
              </w:rPr>
              <w:t>Attack top operational gaps</w:t>
            </w:r>
          </w:p>
        </w:tc>
        <w:tc>
          <w:tcPr>
            <w:tcW w:type="dxa" w:w="4896"/>
            <w:vAlign w:val="center"/>
            <w:tcMar>
              <w:top w:w="70" w:type="dxa"/>
              <w:start w:w="80" w:type="dxa"/>
              <w:bottom w:w="70" w:type="dxa"/>
              <w:end w:w="80" w:type="dxa"/>
            </w:tcMar>
            <w:shd w:fill="F8FAFC"/>
          </w:tcPr>
          <w:p>
            <w:r>
              <w:rPr>
                <w:sz w:val="16"/>
              </w:rPr>
              <w:t>carrier and staging actions; load-consolidation and stock-out controls</w:t>
            </w:r>
          </w:p>
        </w:tc>
      </w:tr>
      <w:tr>
        <w:trPr>
          <w:cantSplit/>
        </w:trPr>
        <w:tc>
          <w:tcPr>
            <w:tcW w:type="dxa" w:w="1440"/>
            <w:vAlign w:val="center"/>
            <w:tcMar>
              <w:top w:w="70" w:type="dxa"/>
              <w:start w:w="80" w:type="dxa"/>
              <w:bottom w:w="70" w:type="dxa"/>
              <w:end w:w="80" w:type="dxa"/>
            </w:tcMar>
          </w:tcPr>
          <w:p>
            <w:r>
              <w:rPr>
                <w:sz w:val="16"/>
              </w:rPr>
              <w:t>Days 61-90</w:t>
            </w:r>
          </w:p>
        </w:tc>
        <w:tc>
          <w:tcPr>
            <w:tcW w:type="dxa" w:w="3168"/>
            <w:vAlign w:val="center"/>
            <w:tcMar>
              <w:top w:w="70" w:type="dxa"/>
              <w:start w:w="80" w:type="dxa"/>
              <w:bottom w:w="70" w:type="dxa"/>
              <w:end w:w="80" w:type="dxa"/>
            </w:tcMar>
          </w:tcPr>
          <w:p>
            <w:r>
              <w:rPr>
                <w:sz w:val="16"/>
              </w:rPr>
              <w:t>Standardize and automate</w:t>
            </w:r>
          </w:p>
        </w:tc>
        <w:tc>
          <w:tcPr>
            <w:tcW w:type="dxa" w:w="4896"/>
            <w:vAlign w:val="center"/>
            <w:tcMar>
              <w:top w:w="70" w:type="dxa"/>
              <w:start w:w="80" w:type="dxa"/>
              <w:bottom w:w="70" w:type="dxa"/>
              <w:end w:w="80" w:type="dxa"/>
            </w:tcMar>
          </w:tcPr>
          <w:p>
            <w:r>
              <w:rPr>
                <w:sz w:val="16"/>
              </w:rPr>
              <w:t>scheduled reporting, owner action log, target review and lessons learned</w:t>
            </w:r>
          </w:p>
        </w:tc>
      </w:tr>
    </w:tbl>
    <w:p>
      <w:pPr>
        <w:pStyle w:val="Heading1"/>
      </w:pPr>
      <w:r>
        <w:t>14. Estimated 33-Hour Work Plan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4320"/>
            <w:shd w:fill="17365D"/>
            <w:vAlign w:val="center"/>
            <w:tcMar>
              <w:top w:w="70" w:type="dxa"/>
              <w:start w:w="80" w:type="dxa"/>
              <w:bottom w:w="70" w:type="dxa"/>
              <w:end w:w="80" w:type="dxa"/>
            </w:tcMar>
          </w:tcPr>
          <w:p>
            <w:pPr>
              <w:jc w:val="center"/>
            </w:pPr>
            <w:r>
              <w:rPr>
                <w:b/>
                <w:color w:val="FFFFFF"/>
                <w:sz w:val="16"/>
              </w:rPr>
              <w:t>Activity</w:t>
            </w:r>
          </w:p>
        </w:tc>
        <w:tc>
          <w:tcPr>
            <w:tcW w:type="dxa" w:w="1152"/>
            <w:shd w:fill="17365D"/>
            <w:vAlign w:val="center"/>
            <w:tcMar>
              <w:top w:w="70" w:type="dxa"/>
              <w:start w:w="80" w:type="dxa"/>
              <w:bottom w:w="70" w:type="dxa"/>
              <w:end w:w="80" w:type="dxa"/>
            </w:tcMar>
          </w:tcPr>
          <w:p>
            <w:pPr>
              <w:jc w:val="center"/>
            </w:pPr>
            <w:r>
              <w:rPr>
                <w:b/>
                <w:color w:val="FFFFFF"/>
                <w:sz w:val="16"/>
              </w:rPr>
              <w:t>Hours</w:t>
            </w:r>
          </w:p>
        </w:tc>
        <w:tc>
          <w:tcPr>
            <w:tcW w:type="dxa" w:w="4320"/>
            <w:shd w:fill="17365D"/>
            <w:vAlign w:val="center"/>
            <w:tcMar>
              <w:top w:w="70" w:type="dxa"/>
              <w:start w:w="80" w:type="dxa"/>
              <w:bottom w:w="70" w:type="dxa"/>
              <w:end w:w="80" w:type="dxa"/>
            </w:tcMar>
          </w:tcPr>
          <w:p>
            <w:pPr>
              <w:jc w:val="center"/>
            </w:pPr>
            <w:r>
              <w:rPr>
                <w:b/>
                <w:color w:val="FFFFFF"/>
                <w:sz w:val="16"/>
              </w:rPr>
              <w:t>Evidence / output</w:t>
            </w:r>
          </w:p>
        </w:tc>
      </w:tr>
      <w:tr>
        <w:trPr>
          <w:cantSplit/>
        </w:trPr>
        <w:tc>
          <w:tcPr>
            <w:tcW w:type="dxa" w:w="4320"/>
            <w:vAlign w:val="center"/>
            <w:tcMar>
              <w:top w:w="70" w:type="dxa"/>
              <w:start w:w="80" w:type="dxa"/>
              <w:bottom w:w="70" w:type="dxa"/>
              <w:end w:w="80" w:type="dxa"/>
            </w:tcMar>
          </w:tcPr>
          <w:p>
            <w:r>
              <w:rPr>
                <w:sz w:val="16"/>
              </w:rPr>
              <w:t>Research SAP logistics KPI/reporting concepts</w:t>
            </w:r>
          </w:p>
        </w:tc>
        <w:tc>
          <w:tcPr>
            <w:tcW w:type="dxa" w:w="1152"/>
            <w:vAlign w:val="center"/>
            <w:tcMar>
              <w:top w:w="70" w:type="dxa"/>
              <w:start w:w="80" w:type="dxa"/>
              <w:bottom w:w="70" w:type="dxa"/>
              <w:end w:w="80" w:type="dxa"/>
            </w:tcMar>
          </w:tcPr>
          <w:p>
            <w:r>
              <w:rPr>
                <w:sz w:val="16"/>
              </w:rPr>
              <w:t>4.0</w:t>
            </w:r>
          </w:p>
        </w:tc>
        <w:tc>
          <w:tcPr>
            <w:tcW w:type="dxa" w:w="4320"/>
            <w:vAlign w:val="center"/>
            <w:tcMar>
              <w:top w:w="70" w:type="dxa"/>
              <w:start w:w="80" w:type="dxa"/>
              <w:bottom w:w="70" w:type="dxa"/>
              <w:end w:w="80" w:type="dxa"/>
            </w:tcMar>
          </w:tcPr>
          <w:p>
            <w:r>
              <w:rPr>
                <w:sz w:val="16"/>
              </w:rPr>
              <w:t>Reference list and reporting capability notes</w:t>
            </w:r>
          </w:p>
        </w:tc>
      </w:tr>
      <w:tr>
        <w:trPr>
          <w:cantSplit/>
        </w:trPr>
        <w:tc>
          <w:tcPr>
            <w:tcW w:type="dxa" w:w="4320"/>
            <w:vAlign w:val="center"/>
            <w:tcMar>
              <w:top w:w="70" w:type="dxa"/>
              <w:start w:w="80" w:type="dxa"/>
              <w:bottom w:w="70" w:type="dxa"/>
              <w:end w:w="80" w:type="dxa"/>
            </w:tcMar>
            <w:shd w:fill="F8FAFC"/>
          </w:tcPr>
          <w:p>
            <w:r>
              <w:rPr>
                <w:sz w:val="16"/>
              </w:rPr>
              <w:t>Define scenario, assumptions and KPI dictionary</w:t>
            </w:r>
          </w:p>
        </w:tc>
        <w:tc>
          <w:tcPr>
            <w:tcW w:type="dxa" w:w="1152"/>
            <w:vAlign w:val="center"/>
            <w:tcMar>
              <w:top w:w="70" w:type="dxa"/>
              <w:start w:w="80" w:type="dxa"/>
              <w:bottom w:w="70" w:type="dxa"/>
              <w:end w:w="80" w:type="dxa"/>
            </w:tcMar>
            <w:shd w:fill="F8FAFC"/>
          </w:tcPr>
          <w:p>
            <w:r>
              <w:rPr>
                <w:sz w:val="16"/>
              </w:rPr>
              <w:t>4.0</w:t>
            </w:r>
          </w:p>
        </w:tc>
        <w:tc>
          <w:tcPr>
            <w:tcW w:type="dxa" w:w="4320"/>
            <w:vAlign w:val="center"/>
            <w:tcMar>
              <w:top w:w="70" w:type="dxa"/>
              <w:start w:w="80" w:type="dxa"/>
              <w:bottom w:w="70" w:type="dxa"/>
              <w:end w:w="80" w:type="dxa"/>
            </w:tcMar>
            <w:shd w:fill="F8FAFC"/>
          </w:tcPr>
          <w:p>
            <w:r>
              <w:rPr>
                <w:sz w:val="16"/>
              </w:rPr>
              <w:t>10-KPI framework with targets and weights</w:t>
            </w:r>
          </w:p>
        </w:tc>
      </w:tr>
      <w:tr>
        <w:trPr>
          <w:cantSplit/>
        </w:trPr>
        <w:tc>
          <w:tcPr>
            <w:tcW w:type="dxa" w:w="4320"/>
            <w:vAlign w:val="center"/>
            <w:tcMar>
              <w:top w:w="70" w:type="dxa"/>
              <w:start w:w="80" w:type="dxa"/>
              <w:bottom w:w="70" w:type="dxa"/>
              <w:end w:w="80" w:type="dxa"/>
            </w:tcMar>
          </w:tcPr>
          <w:p>
            <w:r>
              <w:rPr>
                <w:sz w:val="16"/>
              </w:rPr>
              <w:t>Create simulated performance dataset</w:t>
            </w:r>
          </w:p>
        </w:tc>
        <w:tc>
          <w:tcPr>
            <w:tcW w:type="dxa" w:w="1152"/>
            <w:vAlign w:val="center"/>
            <w:tcMar>
              <w:top w:w="70" w:type="dxa"/>
              <w:start w:w="80" w:type="dxa"/>
              <w:bottom w:w="70" w:type="dxa"/>
              <w:end w:w="80" w:type="dxa"/>
            </w:tcMar>
          </w:tcPr>
          <w:p>
            <w:r>
              <w:rPr>
                <w:sz w:val="16"/>
              </w:rPr>
              <w:t>4.0</w:t>
            </w:r>
          </w:p>
        </w:tc>
        <w:tc>
          <w:tcPr>
            <w:tcW w:type="dxa" w:w="4320"/>
            <w:vAlign w:val="center"/>
            <w:tcMar>
              <w:top w:w="70" w:type="dxa"/>
              <w:start w:w="80" w:type="dxa"/>
              <w:bottom w:w="70" w:type="dxa"/>
              <w:end w:w="80" w:type="dxa"/>
            </w:tcMar>
          </w:tcPr>
          <w:p>
            <w:r>
              <w:rPr>
                <w:sz w:val="16"/>
              </w:rPr>
              <w:t>6-month dataset and formula checks</w:t>
            </w:r>
          </w:p>
        </w:tc>
      </w:tr>
      <w:tr>
        <w:trPr>
          <w:cantSplit/>
        </w:trPr>
        <w:tc>
          <w:tcPr>
            <w:tcW w:type="dxa" w:w="4320"/>
            <w:vAlign w:val="center"/>
            <w:tcMar>
              <w:top w:w="70" w:type="dxa"/>
              <w:start w:w="80" w:type="dxa"/>
              <w:bottom w:w="70" w:type="dxa"/>
              <w:end w:w="80" w:type="dxa"/>
            </w:tcMar>
            <w:shd w:fill="F8FAFC"/>
          </w:tcPr>
          <w:p>
            <w:r>
              <w:rPr>
                <w:sz w:val="16"/>
              </w:rPr>
              <w:t>Build charts and scorecard analysis</w:t>
            </w:r>
          </w:p>
        </w:tc>
        <w:tc>
          <w:tcPr>
            <w:tcW w:type="dxa" w:w="1152"/>
            <w:vAlign w:val="center"/>
            <w:tcMar>
              <w:top w:w="70" w:type="dxa"/>
              <w:start w:w="80" w:type="dxa"/>
              <w:bottom w:w="70" w:type="dxa"/>
              <w:end w:w="80" w:type="dxa"/>
            </w:tcMar>
            <w:shd w:fill="F8FAFC"/>
          </w:tcPr>
          <w:p>
            <w:r>
              <w:rPr>
                <w:sz w:val="16"/>
              </w:rPr>
              <w:t>4.5</w:t>
            </w:r>
          </w:p>
        </w:tc>
        <w:tc>
          <w:tcPr>
            <w:tcW w:type="dxa" w:w="4320"/>
            <w:vAlign w:val="center"/>
            <w:tcMar>
              <w:top w:w="70" w:type="dxa"/>
              <w:start w:w="80" w:type="dxa"/>
              <w:bottom w:w="70" w:type="dxa"/>
              <w:end w:w="80" w:type="dxa"/>
            </w:tcMar>
            <w:shd w:fill="F8FAFC"/>
          </w:tcPr>
          <w:p>
            <w:r>
              <w:rPr>
                <w:sz w:val="16"/>
              </w:rPr>
              <w:t>trend charts, target-attainment view and composite score</w:t>
            </w:r>
          </w:p>
        </w:tc>
      </w:tr>
      <w:tr>
        <w:trPr>
          <w:cantSplit/>
        </w:trPr>
        <w:tc>
          <w:tcPr>
            <w:tcW w:type="dxa" w:w="4320"/>
            <w:vAlign w:val="center"/>
            <w:tcMar>
              <w:top w:w="70" w:type="dxa"/>
              <w:start w:w="80" w:type="dxa"/>
              <w:bottom w:w="70" w:type="dxa"/>
              <w:end w:w="80" w:type="dxa"/>
            </w:tcMar>
          </w:tcPr>
          <w:p>
            <w:r>
              <w:rPr>
                <w:sz w:val="16"/>
              </w:rPr>
              <w:t>Develop worked examples and business-impact analysis</w:t>
            </w:r>
          </w:p>
        </w:tc>
        <w:tc>
          <w:tcPr>
            <w:tcW w:type="dxa" w:w="1152"/>
            <w:vAlign w:val="center"/>
            <w:tcMar>
              <w:top w:w="70" w:type="dxa"/>
              <w:start w:w="80" w:type="dxa"/>
              <w:bottom w:w="70" w:type="dxa"/>
              <w:end w:w="80" w:type="dxa"/>
            </w:tcMar>
          </w:tcPr>
          <w:p>
            <w:r>
              <w:rPr>
                <w:sz w:val="16"/>
              </w:rPr>
              <w:t>3.5</w:t>
            </w:r>
          </w:p>
        </w:tc>
        <w:tc>
          <w:tcPr>
            <w:tcW w:type="dxa" w:w="4320"/>
            <w:vAlign w:val="center"/>
            <w:tcMar>
              <w:top w:w="70" w:type="dxa"/>
              <w:start w:w="80" w:type="dxa"/>
              <w:bottom w:w="70" w:type="dxa"/>
              <w:end w:w="80" w:type="dxa"/>
            </w:tcMar>
          </w:tcPr>
          <w:p>
            <w:r>
              <w:rPr>
                <w:sz w:val="16"/>
              </w:rPr>
              <w:t>freight, dock and stock-out calculations</w:t>
            </w:r>
          </w:p>
        </w:tc>
      </w:tr>
      <w:tr>
        <w:trPr>
          <w:cantSplit/>
        </w:trPr>
        <w:tc>
          <w:tcPr>
            <w:tcW w:type="dxa" w:w="4320"/>
            <w:vAlign w:val="center"/>
            <w:tcMar>
              <w:top w:w="70" w:type="dxa"/>
              <w:start w:w="80" w:type="dxa"/>
              <w:bottom w:w="70" w:type="dxa"/>
              <w:end w:w="80" w:type="dxa"/>
            </w:tcMar>
            <w:shd w:fill="F8FAFC"/>
          </w:tcPr>
          <w:p>
            <w:r>
              <w:rPr>
                <w:sz w:val="16"/>
              </w:rPr>
              <w:t>Document SAP reporting/configuration guidelines</w:t>
            </w:r>
          </w:p>
        </w:tc>
        <w:tc>
          <w:tcPr>
            <w:tcW w:type="dxa" w:w="1152"/>
            <w:vAlign w:val="center"/>
            <w:tcMar>
              <w:top w:w="70" w:type="dxa"/>
              <w:start w:w="80" w:type="dxa"/>
              <w:bottom w:w="70" w:type="dxa"/>
              <w:end w:w="80" w:type="dxa"/>
            </w:tcMar>
            <w:shd w:fill="F8FAFC"/>
          </w:tcPr>
          <w:p>
            <w:r>
              <w:rPr>
                <w:sz w:val="16"/>
              </w:rPr>
              <w:t>4.0</w:t>
            </w:r>
          </w:p>
        </w:tc>
        <w:tc>
          <w:tcPr>
            <w:tcW w:type="dxa" w:w="4320"/>
            <w:vAlign w:val="center"/>
            <w:tcMar>
              <w:top w:w="70" w:type="dxa"/>
              <w:start w:w="80" w:type="dxa"/>
              <w:bottom w:w="70" w:type="dxa"/>
              <w:end w:w="80" w:type="dxa"/>
            </w:tcMar>
            <w:shd w:fill="F8FAFC"/>
          </w:tcPr>
          <w:p>
            <w:r>
              <w:rPr>
                <w:sz w:val="16"/>
              </w:rPr>
              <w:t>source mapping and 10-step configuration approach</w:t>
            </w:r>
          </w:p>
        </w:tc>
      </w:tr>
      <w:tr>
        <w:trPr>
          <w:cantSplit/>
        </w:trPr>
        <w:tc>
          <w:tcPr>
            <w:tcW w:type="dxa" w:w="4320"/>
            <w:vAlign w:val="center"/>
            <w:tcMar>
              <w:top w:w="70" w:type="dxa"/>
              <w:start w:w="80" w:type="dxa"/>
              <w:bottom w:w="70" w:type="dxa"/>
              <w:end w:w="80" w:type="dxa"/>
            </w:tcMar>
          </w:tcPr>
          <w:p>
            <w:r>
              <w:rPr>
                <w:sz w:val="16"/>
              </w:rPr>
              <w:t>Design validation, governance and risk controls</w:t>
            </w:r>
          </w:p>
        </w:tc>
        <w:tc>
          <w:tcPr>
            <w:tcW w:type="dxa" w:w="1152"/>
            <w:vAlign w:val="center"/>
            <w:tcMar>
              <w:top w:w="70" w:type="dxa"/>
              <w:start w:w="80" w:type="dxa"/>
              <w:bottom w:w="70" w:type="dxa"/>
              <w:end w:w="80" w:type="dxa"/>
            </w:tcMar>
          </w:tcPr>
          <w:p>
            <w:r>
              <w:rPr>
                <w:sz w:val="16"/>
              </w:rPr>
              <w:t>3.5</w:t>
            </w:r>
          </w:p>
        </w:tc>
        <w:tc>
          <w:tcPr>
            <w:tcW w:type="dxa" w:w="4320"/>
            <w:vAlign w:val="center"/>
            <w:tcMar>
              <w:top w:w="70" w:type="dxa"/>
              <w:start w:w="80" w:type="dxa"/>
              <w:bottom w:w="70" w:type="dxa"/>
              <w:end w:w="80" w:type="dxa"/>
            </w:tcMar>
          </w:tcPr>
          <w:p>
            <w:r>
              <w:rPr>
                <w:sz w:val="16"/>
              </w:rPr>
              <w:t>10 tests, governance matrix and risk register</w:t>
            </w:r>
          </w:p>
        </w:tc>
      </w:tr>
      <w:tr>
        <w:trPr>
          <w:cantSplit/>
        </w:trPr>
        <w:tc>
          <w:tcPr>
            <w:tcW w:type="dxa" w:w="4320"/>
            <w:vAlign w:val="center"/>
            <w:tcMar>
              <w:top w:w="70" w:type="dxa"/>
              <w:start w:w="80" w:type="dxa"/>
              <w:bottom w:w="70" w:type="dxa"/>
              <w:end w:w="80" w:type="dxa"/>
            </w:tcMar>
            <w:shd w:fill="F8FAFC"/>
          </w:tcPr>
          <w:p>
            <w:r>
              <w:rPr>
                <w:sz w:val="16"/>
              </w:rPr>
              <w:t>Develop recommendations and 90-day roadmap</w:t>
            </w:r>
          </w:p>
        </w:tc>
        <w:tc>
          <w:tcPr>
            <w:tcW w:type="dxa" w:w="1152"/>
            <w:vAlign w:val="center"/>
            <w:tcMar>
              <w:top w:w="70" w:type="dxa"/>
              <w:start w:w="80" w:type="dxa"/>
              <w:bottom w:w="70" w:type="dxa"/>
              <w:end w:w="80" w:type="dxa"/>
            </w:tcMar>
            <w:shd w:fill="F8FAFC"/>
          </w:tcPr>
          <w:p>
            <w:r>
              <w:rPr>
                <w:sz w:val="16"/>
              </w:rPr>
              <w:t>2.0</w:t>
            </w:r>
          </w:p>
        </w:tc>
        <w:tc>
          <w:tcPr>
            <w:tcW w:type="dxa" w:w="4320"/>
            <w:vAlign w:val="center"/>
            <w:tcMar>
              <w:top w:w="70" w:type="dxa"/>
              <w:start w:w="80" w:type="dxa"/>
              <w:bottom w:w="70" w:type="dxa"/>
              <w:end w:w="80" w:type="dxa"/>
            </w:tcMar>
            <w:shd w:fill="F8FAFC"/>
          </w:tcPr>
          <w:p>
            <w:r>
              <w:rPr>
                <w:sz w:val="16"/>
              </w:rPr>
              <w:t>prioritized action plan</w:t>
            </w:r>
          </w:p>
        </w:tc>
      </w:tr>
      <w:tr>
        <w:trPr>
          <w:cantSplit/>
        </w:trPr>
        <w:tc>
          <w:tcPr>
            <w:tcW w:type="dxa" w:w="4320"/>
            <w:vAlign w:val="center"/>
            <w:tcMar>
              <w:top w:w="70" w:type="dxa"/>
              <w:start w:w="80" w:type="dxa"/>
              <w:bottom w:w="70" w:type="dxa"/>
              <w:end w:w="80" w:type="dxa"/>
            </w:tcMar>
          </w:tcPr>
          <w:p>
            <w:r>
              <w:rPr>
                <w:sz w:val="16"/>
              </w:rPr>
              <w:t>Formatting, references and final QA</w:t>
            </w:r>
          </w:p>
        </w:tc>
        <w:tc>
          <w:tcPr>
            <w:tcW w:type="dxa" w:w="1152"/>
            <w:vAlign w:val="center"/>
            <w:tcMar>
              <w:top w:w="70" w:type="dxa"/>
              <w:start w:w="80" w:type="dxa"/>
              <w:bottom w:w="70" w:type="dxa"/>
              <w:end w:w="80" w:type="dxa"/>
            </w:tcMar>
          </w:tcPr>
          <w:p>
            <w:r>
              <w:rPr>
                <w:sz w:val="16"/>
              </w:rPr>
              <w:t>3.5</w:t>
            </w:r>
          </w:p>
        </w:tc>
        <w:tc>
          <w:tcPr>
            <w:tcW w:type="dxa" w:w="4320"/>
            <w:vAlign w:val="center"/>
            <w:tcMar>
              <w:top w:w="70" w:type="dxa"/>
              <w:start w:w="80" w:type="dxa"/>
              <w:bottom w:w="70" w:type="dxa"/>
              <w:end w:w="80" w:type="dxa"/>
            </w:tcMar>
          </w:tcPr>
          <w:p>
            <w:r>
              <w:rPr>
                <w:sz w:val="16"/>
              </w:rPr>
              <w:t>submission-ready DOCX and visual verification</w:t>
            </w:r>
          </w:p>
        </w:tc>
      </w:tr>
    </w:tbl>
    <w:p>
      <w:pPr>
        <w:pStyle w:val="BodyText"/>
      </w:pPr>
      <w:r>
        <w:t>Total estimated effort = 33.0 hours. This is an effort plan for the internship task, not a timesheet claim of actual production-system work.</w:t>
      </w:r>
    </w:p>
    <w:p>
      <w:pPr>
        <w:pStyle w:val="Heading1"/>
      </w:pPr>
      <w:r>
        <w:t>15. Learning Outcomes and Conclusion</w:t>
      </w:r>
    </w:p>
    <w:p>
      <w:pPr>
        <w:pStyle w:val="Heading2"/>
      </w:pPr>
      <w:r>
        <w:t>15.1 Learning outcomes</w:t>
      </w:r>
    </w:p>
    <w:p>
      <w:pPr>
        <w:pStyle w:val="ListBullet"/>
      </w:pPr>
      <w:r>
        <w:t>I learned that KPI quality depends first on consistent definitions and reliable source events, not on dashboard appearance.</w:t>
      </w:r>
    </w:p>
    <w:p>
      <w:pPr>
        <w:pStyle w:val="ListBullet"/>
      </w:pPr>
      <w:r>
        <w:t>I understood why service, cost, inventory and execution metrics must be reviewed together to avoid local optimization.</w:t>
      </w:r>
    </w:p>
    <w:p>
      <w:pPr>
        <w:pStyle w:val="ListBullet"/>
      </w:pPr>
      <w:r>
        <w:t>I applied weighted scoring, threshold logic, target attainment, root-cause prioritization and validation controls to a practical logistics dataset.</w:t>
      </w:r>
    </w:p>
    <w:p>
      <w:pPr>
        <w:pStyle w:val="ListBullet"/>
      </w:pPr>
      <w:r>
        <w:t>I connected SAP TM, EWM and APO monitoring concepts to a common reporting and governance workflow.</w:t>
      </w:r>
    </w:p>
    <w:p>
      <w:pPr>
        <w:pStyle w:val="ListBullet"/>
      </w:pPr>
      <w:r>
        <w:t>I practiced converting operational gaps into measurable actions with owners and verification criteria.</w:t>
      </w:r>
    </w:p>
    <w:p>
      <w:pPr>
        <w:pStyle w:val="Heading2"/>
      </w:pPr>
      <w:r>
        <w:t>15.2 Conclusion</w:t>
      </w:r>
    </w:p>
    <w:p>
      <w:pPr>
        <w:pStyle w:val="BodyText"/>
      </w:pPr>
      <w:r>
        <w:t>The Week 5 framework demonstrates how logistics performance can be evaluated systematically using governed KPIs, simulated SAP-relevant data and closed-loop action management. The analysis shows that improvements in vehicle utilization, dock turnaround, stock availability and order service can be translated into measurable cost and service outcomes. The strongest design feature is not the composite score itself but the controlled process behind it: source mapping, formula governance, validation, threshold-based escalation and evidence-based follow-up.</w:t>
      </w:r>
    </w:p>
    <w:p>
      <w:pPr>
        <w:pStyle w:val="BodyText"/>
      </w:pPr>
      <w:r>
        <w:t>For a real implementation, the same framework should be adapted to the organization's SAP release, data model, business calendar and target policy. The next maturity step would be automated refresh and drilldown dashboards backed by controlled source data and an auditable action log.</w:t>
      </w:r>
    </w:p>
    <w:p>
      <w:pPr>
        <w:pStyle w:val="Heading1"/>
      </w:pPr>
      <w:r>
        <w:t>16. References</w:t>
      </w:r>
    </w:p>
    <w:p>
      <w:pPr>
        <w:pStyle w:val="BodyText"/>
      </w:pPr>
      <w:hyperlink r:id="rId18">
        <w:r>
          <w:rPr>
            <w:color w:val="0563C1"/>
            <w:u w:val="single"/>
          </w:rPr>
          <w:t>SAP Help Portal - SAP Transportation Management: Analytics</w:t>
        </w:r>
      </w:hyperlink>
      <w:r>
        <w:t xml:space="preserve"> (accessed 7 September 2026).</w:t>
      </w:r>
    </w:p>
    <w:p>
      <w:pPr>
        <w:pStyle w:val="BodyText"/>
      </w:pPr>
      <w:hyperlink r:id="rId19">
        <w:r>
          <w:rPr>
            <w:color w:val="0563C1"/>
            <w:u w:val="single"/>
          </w:rPr>
          <w:t>SAP Help Portal - Freight Order Execution Monitoring</w:t>
        </w:r>
      </w:hyperlink>
      <w:r>
        <w:t xml:space="preserve"> (accessed 7 September 2026).</w:t>
      </w:r>
    </w:p>
    <w:p>
      <w:pPr>
        <w:pStyle w:val="BodyText"/>
      </w:pPr>
      <w:hyperlink r:id="rId20">
        <w:r>
          <w:rPr>
            <w:color w:val="0563C1"/>
            <w:u w:val="single"/>
          </w:rPr>
          <w:t>SAP Help Portal - Freight Order Quantity Analysis</w:t>
        </w:r>
      </w:hyperlink>
      <w:r>
        <w:t xml:space="preserve"> (accessed 7 September 2026).</w:t>
      </w:r>
    </w:p>
    <w:p>
      <w:pPr>
        <w:pStyle w:val="BodyText"/>
      </w:pPr>
      <w:hyperlink r:id="rId21">
        <w:r>
          <w:rPr>
            <w:color w:val="0563C1"/>
            <w:u w:val="single"/>
          </w:rPr>
          <w:t>SAP Help Portal - SAP Extended Warehouse Management: Analytics</w:t>
        </w:r>
      </w:hyperlink>
      <w:r>
        <w:t xml:space="preserve"> (accessed 7 September 2026).</w:t>
      </w:r>
    </w:p>
    <w:p>
      <w:pPr>
        <w:pStyle w:val="BodyText"/>
      </w:pPr>
      <w:hyperlink r:id="rId22">
        <w:r>
          <w:rPr>
            <w:color w:val="0563C1"/>
            <w:u w:val="single"/>
          </w:rPr>
          <w:t>SAP Help Portal - APO Monitoring of Macro-Dependent Alerts (DP and SNP)</w:t>
        </w:r>
      </w:hyperlink>
      <w:r>
        <w:t xml:space="preserve"> (accessed 7 September 2026).</w:t>
      </w:r>
    </w:p>
    <w:p>
      <w:pPr>
        <w:pStyle w:val="BodyText"/>
      </w:pPr>
      <w:hyperlink r:id="rId23">
        <w:r>
          <w:rPr>
            <w:color w:val="0563C1"/>
            <w:u w:val="single"/>
          </w:rPr>
          <w:t>SAP Help Portal - APO Monitoring of PP/DS Alerts</w:t>
        </w:r>
      </w:hyperlink>
      <w:r>
        <w:t xml:space="preserve"> (accessed 7 September 2026).</w:t>
      </w:r>
    </w:p>
    <w:p>
      <w:pPr>
        <w:pStyle w:val="BodyText"/>
      </w:pPr>
      <w:hyperlink r:id="rId24">
        <w:r>
          <w:rPr>
            <w:color w:val="0563C1"/>
            <w:u w:val="single"/>
          </w:rPr>
          <w:t>SAP Help Portal - Transportation Order Execution Analytics</w:t>
        </w:r>
      </w:hyperlink>
      <w:r>
        <w:t xml:space="preserve"> (accessed 7 September 2026).</w:t>
      </w:r>
    </w:p>
    <w:p>
      <w:pPr>
        <w:pStyle w:val="BodyText"/>
      </w:pPr>
      <w:hyperlink r:id="rId25">
        <w:r>
          <w:rPr>
            <w:color w:val="0563C1"/>
            <w:u w:val="single"/>
          </w:rPr>
          <w:t>SAP Help Portal - SAP Analytics Cloud content for Transportation Management</w:t>
        </w:r>
      </w:hyperlink>
      <w:r>
        <w:t xml:space="preserve"> (accessed 7 September 2026).</w:t>
      </w:r>
    </w:p>
    <w:tbl>
      <w:tblPr>
        <w:tblW w:type="auto" w:w="0"/>
        <w:jc w:val="center"/>
        <w:tblLook w:firstColumn="1" w:firstRow="1" w:lastColumn="0" w:lastRow="0" w:noHBand="0" w:noVBand="1" w:val="04A0"/>
      </w:tblPr>
      <w:tblGrid>
        <w:gridCol w:w="10282"/>
      </w:tblGrid>
      <w:tr>
        <w:tc>
          <w:tcPr>
            <w:tcW w:type="dxa" w:w="10282"/>
            <w:shd w:fill="EAF2F8"/>
            <w:tcMar>
              <w:top w:w="110" w:type="dxa"/>
              <w:start w:w="130" w:type="dxa"/>
              <w:bottom w:w="110" w:type="dxa"/>
              <w:end w:w="130" w:type="dxa"/>
            </w:tcMar>
          </w:tcPr>
          <w:p>
            <w:r>
              <w:rPr>
                <w:b/>
                <w:color w:val="17365D"/>
              </w:rPr>
              <w:t xml:space="preserve">Reference note: </w:t>
            </w:r>
            <w:r>
              <w:t>SAP capabilities vary by product version and deployment model. The report uses official SAP documentation to support the conceptual reporting approach and does not claim that every listed analytical feature is present in every SAP landscape.</w:t>
            </w:r>
          </w:p>
        </w:tc>
      </w:tr>
    </w:tbl>
    <w:p>
      <w:r>
        <w:br w:type="page"/>
      </w:r>
    </w:p>
    <w:p>
      <w:pPr>
        <w:pStyle w:val="Heading1"/>
      </w:pPr>
      <w:r>
        <w:t>17. Portal Submission Description</w:t>
      </w:r>
    </w:p>
    <w:p>
      <w:pPr>
        <w:pStyle w:val="BodyText"/>
      </w:pPr>
      <w:r>
        <w:t>This Week 5 report presents a logistics performance measurement and evaluation framework using SAP SCM-related concepts across transportation, warehousing, inventory and planning. I continued the fictional Deccan Harvest Foods Pvt. Ltd. scenario and designed ten KPIs covering OTIF, order accuracy, inventory turnover, truck utilization, pick accuracy, dock turnaround, stock-out rate, freight cost per tonne, order cycle time and inventory accuracy. Each KPI includes a formula, target, weighting, data source, owner, review frequency and escalation rule. The report uses a six-month simulated dataset to demonstrate trend analysis, target comparison, threshold-based escalation and a weighted composite logistics score. Worked examples quantify the impact of freight-cost reduction, improved vehicle utilization, dock-turnaround improvement and lower stock-outs. The SAP reporting section explains how data from SAP TM, SAP EWM, ERP and SAP APO alerts can be combined through operational analytics, warehouse monitoring, BW/ODP/CDS-based reporting or an enterprise dashboard layer depending on the system landscape. The report also includes charts, source-to-KPI mapping, ten validation tests, a governance matrix, risk controls, exception analysis, a 90-day improvement roadmap and an estimated 33-hour work plan. Recommendations focus on carrier appointment discipline, wave-to-departure synchronization, load consolidation, inventory exception management and data-quality controls. All data and financial results are illustrative and are presented as an internship simulation rather than live SAP execution.</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E6E6E"/>
        <w:sz w:val="16"/>
      </w:rPr>
      <w:t>Hrudhai Prem Kumar Patwari</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SAP SCM Week 5 | Performance Metrics and Evaluation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help.sap.com/docs/SAP_TRANSPORTATION_MANAGEMENT/54cf405c9d9e4c96bf091967ea29d6a7/629c30be88ce47d5ab247d37e533c6e0.html" TargetMode="External"/><Relationship Id="rId19" Type="http://schemas.openxmlformats.org/officeDocument/2006/relationships/hyperlink" Target="https://help.sap.com/docs/SAP_S4HANA_ON-PREMISE/e3dc5400c1cc41d1bc0ae0e7fd9aa5a2/e16bfa31fde2409a8422e36844ffc143.html" TargetMode="External"/><Relationship Id="rId20" Type="http://schemas.openxmlformats.org/officeDocument/2006/relationships/hyperlink" Target="https://help.sap.com/docs/SAP_S4HANA_ON-PREMISE/e3dc5400c1cc41d1bc0ae0e7fd9aa5a2/612fbe25aed64068a7aca8e8e8339de1.html" TargetMode="External"/><Relationship Id="rId21" Type="http://schemas.openxmlformats.org/officeDocument/2006/relationships/hyperlink" Target="https://help.sap.com/docs/SAP_EXTENDED_WAREHOUSE_MANAGEMENT/3d97bec9bf1649099384bb8167df3cf2/4faad6375b7b4b27e10000000a42189b.html" TargetMode="External"/><Relationship Id="rId22" Type="http://schemas.openxmlformats.org/officeDocument/2006/relationships/hyperlink" Target="https://help.sap.com/docs/SAP_SUPPLY_CHAIN_MANAGEMENT/15f45255438149fa996da194295b132b/fcaf9ff0-8e83-4053-b91a-9bdf85b93b80.html" TargetMode="External"/><Relationship Id="rId23" Type="http://schemas.openxmlformats.org/officeDocument/2006/relationships/hyperlink" Target="https://help.sap.com/docs/SAP_SUPPLY_CHAIN_MANAGEMENT/cd9e0c364e1e41e19ea633db7862222e/4fb3e1b35882209de10000000a42189d.html" TargetMode="External"/><Relationship Id="rId24" Type="http://schemas.openxmlformats.org/officeDocument/2006/relationships/hyperlink" Target="https://help.sap.com/docs/SAP_S4HANA_ON-PREMISE/ee6ff9b281d8448f96b4fe6c89f2bdc8/8130a9b478d249968c7ceafc4c68bfa1.html" TargetMode="External"/><Relationship Id="rId25" Type="http://schemas.openxmlformats.org/officeDocument/2006/relationships/hyperlink" Target="https://help.sap.com/docs/SAP_ANALYTICS_CLOUD/42093f14b43c485fbe3adbbe81eff6c8/87c30e72694c48c7b270f0c427108d0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SCM Week 5 - Performance Metrics and Evaluation in Logistics</dc:title>
  <dc:subject>Internship project report - SAP SCM logistics KPI framework</dc:subject>
  <dc:creator>Hrudhai Prem Kumar Patwari</dc:creator>
  <cp:keywords>SAP SCM, logistics, KPI, performance, SAP TM, SAP EWM, SAP APO, analytics</cp:keywords>
  <dc:description>generated by python-docx</dc:description>
  <cp:lastModifiedBy/>
  <cp:revision>1</cp:revision>
  <dcterms:created xsi:type="dcterms:W3CDTF">2013-12-23T23:15:00Z</dcterms:created>
  <dcterms:modified xsi:type="dcterms:W3CDTF">2013-12-23T23:15:00Z</dcterms:modified>
  <cp:category/>
</cp:coreProperties>
</file>