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pPr>
      <w:r>
        <w:rPr>
          <w:b/>
          <w:color w:val="315A7D"/>
          <w:sz w:val="24"/>
        </w:rPr>
        <w:t>WEEK 2 TASK</w:t>
      </w:r>
    </w:p>
    <w:p>
      <w:pPr>
        <w:spacing w:before="320" w:after="160"/>
      </w:pPr>
      <w:r>
        <w:rPr>
          <w:b/>
          <w:color w:val="23395B"/>
          <w:sz w:val="56"/>
        </w:rPr>
        <w:t>Master Data Management and</w:t>
        <w:br/>
        <w:t>Inventory Optimization in SAP SCM</w:t>
      </w:r>
    </w:p>
    <w:p>
      <w:pPr>
        <w:spacing w:after="360"/>
      </w:pPr>
      <w:r>
        <w:rPr>
          <w:color w:val="5B6573"/>
          <w:sz w:val="22"/>
        </w:rPr>
        <w:t>Project Plan • Data Mapping • SAP APO Master Data • Inventory Optimization • Risk &amp; Monitoring</w:t>
      </w:r>
    </w:p>
    <w:tbl>
      <w:tblPr>
        <w:tblW w:type="auto" w:w="0"/>
        <w:tblLayout w:type="fixed"/>
        <w:tblLook w:firstColumn="1" w:firstRow="1" w:lastColumn="0" w:lastRow="0" w:noHBand="0" w:noVBand="1" w:val="04A0"/>
      </w:tblPr>
      <w:tblGrid>
        <w:gridCol w:w="9792"/>
      </w:tblGrid>
      <w:tr>
        <w:tc>
          <w:tcPr>
            <w:tcW w:type="dxa" w:w="10368"/>
            <w:shd w:fill="23395B"/>
          </w:tcPr>
          <w:p>
            <w:r/>
          </w:p>
        </w:tc>
      </w:tr>
    </w:tbl>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EF3F8"/>
            <w:tcMar>
              <w:top w:w="100" w:type="dxa"/>
              <w:start w:w="120" w:type="dxa"/>
              <w:bottom w:w="100" w:type="dxa"/>
              <w:end w:w="120" w:type="dxa"/>
            </w:tcMar>
          </w:tcPr>
          <w:p>
            <w:r/>
            <w:r>
              <w:rPr>
                <w:rFonts w:ascii="Aptos" w:hAnsi="Aptos"/>
                <w:b/>
                <w:color w:val="23395B"/>
                <w:sz w:val="19"/>
              </w:rPr>
              <w:t>Prepared by</w:t>
            </w:r>
          </w:p>
        </w:tc>
        <w:tc>
          <w:tcPr>
            <w:tcW w:type="dxa" w:w="5184"/>
            <w:vAlign w:val="center"/>
            <w:tcMar>
              <w:top w:w="100" w:type="dxa"/>
              <w:start w:w="120" w:type="dxa"/>
              <w:bottom w:w="100" w:type="dxa"/>
              <w:end w:w="120" w:type="dxa"/>
            </w:tcMar>
          </w:tcPr>
          <w:p>
            <w:r/>
            <w:r>
              <w:rPr>
                <w:rFonts w:ascii="Aptos" w:hAnsi="Aptos"/>
                <w:b w:val="0"/>
                <w:color w:val="1B2A41"/>
                <w:sz w:val="19"/>
              </w:rPr>
              <w:t>Hrudhai Prem Kumar Patwari</w:t>
            </w:r>
          </w:p>
        </w:tc>
      </w:tr>
      <w:tr>
        <w:tc>
          <w:tcPr>
            <w:tcW w:type="dxa" w:w="5184"/>
            <w:vAlign w:val="center"/>
            <w:shd w:fill="EEF3F8"/>
            <w:tcMar>
              <w:top w:w="100" w:type="dxa"/>
              <w:start w:w="120" w:type="dxa"/>
              <w:bottom w:w="100" w:type="dxa"/>
              <w:end w:w="120" w:type="dxa"/>
            </w:tcMar>
          </w:tcPr>
          <w:p>
            <w:r/>
            <w:r>
              <w:rPr>
                <w:rFonts w:ascii="Aptos" w:hAnsi="Aptos"/>
                <w:b/>
                <w:color w:val="23395B"/>
                <w:sz w:val="19"/>
              </w:rPr>
              <w:t>Project context</w:t>
            </w:r>
          </w:p>
        </w:tc>
        <w:tc>
          <w:tcPr>
            <w:tcW w:type="dxa" w:w="5184"/>
            <w:vAlign w:val="center"/>
            <w:tcMar>
              <w:top w:w="100" w:type="dxa"/>
              <w:start w:w="120" w:type="dxa"/>
              <w:bottom w:w="100" w:type="dxa"/>
              <w:end w:w="120" w:type="dxa"/>
            </w:tcMar>
          </w:tcPr>
          <w:p>
            <w:r/>
            <w:r>
              <w:rPr>
                <w:rFonts w:ascii="Aptos" w:hAnsi="Aptos"/>
                <w:b w:val="0"/>
                <w:color w:val="1B2A41"/>
                <w:sz w:val="19"/>
              </w:rPr>
              <w:t>SAP SCM / SAP APO learning and internship project</w:t>
            </w:r>
          </w:p>
        </w:tc>
      </w:tr>
      <w:tr>
        <w:tc>
          <w:tcPr>
            <w:tcW w:type="dxa" w:w="5184"/>
            <w:vAlign w:val="center"/>
            <w:shd w:fill="EEF3F8"/>
            <w:tcMar>
              <w:top w:w="100" w:type="dxa"/>
              <w:start w:w="120" w:type="dxa"/>
              <w:bottom w:w="100" w:type="dxa"/>
              <w:end w:w="120" w:type="dxa"/>
            </w:tcMar>
          </w:tcPr>
          <w:p>
            <w:r/>
            <w:r>
              <w:rPr>
                <w:rFonts w:ascii="Aptos" w:hAnsi="Aptos"/>
                <w:b/>
                <w:color w:val="23395B"/>
                <w:sz w:val="19"/>
              </w:rPr>
              <w:t>Scenario</w:t>
            </w:r>
          </w:p>
        </w:tc>
        <w:tc>
          <w:tcPr>
            <w:tcW w:type="dxa" w:w="5184"/>
            <w:vAlign w:val="center"/>
            <w:tcMar>
              <w:top w:w="100" w:type="dxa"/>
              <w:start w:w="120" w:type="dxa"/>
              <w:bottom w:w="100" w:type="dxa"/>
              <w:end w:w="120" w:type="dxa"/>
            </w:tcMar>
          </w:tcPr>
          <w:p>
            <w:r/>
            <w:r>
              <w:rPr>
                <w:rFonts w:ascii="Aptos" w:hAnsi="Aptos"/>
                <w:b w:val="0"/>
                <w:color w:val="1B2A41"/>
                <w:sz w:val="19"/>
              </w:rPr>
              <w:t>Deccan Harvest Foods Pvt. Ltd. (fictional)</w:t>
            </w:r>
          </w:p>
        </w:tc>
      </w:tr>
      <w:tr>
        <w:tc>
          <w:tcPr>
            <w:tcW w:type="dxa" w:w="5184"/>
            <w:vAlign w:val="center"/>
            <w:shd w:fill="EEF3F8"/>
            <w:tcMar>
              <w:top w:w="100" w:type="dxa"/>
              <w:start w:w="120" w:type="dxa"/>
              <w:bottom w:w="100" w:type="dxa"/>
              <w:end w:w="120" w:type="dxa"/>
            </w:tcMar>
          </w:tcPr>
          <w:p>
            <w:r/>
            <w:r>
              <w:rPr>
                <w:rFonts w:ascii="Aptos" w:hAnsi="Aptos"/>
                <w:b/>
                <w:color w:val="23395B"/>
                <w:sz w:val="19"/>
              </w:rPr>
              <w:t>Focus</w:t>
            </w:r>
          </w:p>
        </w:tc>
        <w:tc>
          <w:tcPr>
            <w:tcW w:type="dxa" w:w="5184"/>
            <w:vAlign w:val="center"/>
            <w:tcMar>
              <w:top w:w="100" w:type="dxa"/>
              <w:start w:w="120" w:type="dxa"/>
              <w:bottom w:w="100" w:type="dxa"/>
              <w:end w:w="120" w:type="dxa"/>
            </w:tcMar>
          </w:tcPr>
          <w:p>
            <w:r/>
            <w:r>
              <w:rPr>
                <w:rFonts w:ascii="Aptos" w:hAnsi="Aptos"/>
                <w:b w:val="0"/>
                <w:color w:val="1B2A41"/>
                <w:sz w:val="19"/>
              </w:rPr>
              <w:t>Master data quality and inventory optimization</w:t>
            </w:r>
          </w:p>
        </w:tc>
      </w:tr>
      <w:tr>
        <w:tc>
          <w:tcPr>
            <w:tcW w:type="dxa" w:w="5184"/>
            <w:vAlign w:val="center"/>
            <w:shd w:fill="EEF3F8"/>
            <w:tcMar>
              <w:top w:w="100" w:type="dxa"/>
              <w:start w:w="120" w:type="dxa"/>
              <w:bottom w:w="100" w:type="dxa"/>
              <w:end w:w="120" w:type="dxa"/>
            </w:tcMar>
          </w:tcPr>
          <w:p>
            <w:r/>
            <w:r>
              <w:rPr>
                <w:rFonts w:ascii="Aptos" w:hAnsi="Aptos"/>
                <w:b/>
                <w:color w:val="23395B"/>
                <w:sz w:val="19"/>
              </w:rPr>
              <w:t>Date</w:t>
            </w:r>
          </w:p>
        </w:tc>
        <w:tc>
          <w:tcPr>
            <w:tcW w:type="dxa" w:w="5184"/>
            <w:vAlign w:val="center"/>
            <w:tcMar>
              <w:top w:w="100" w:type="dxa"/>
              <w:start w:w="120" w:type="dxa"/>
              <w:bottom w:w="100" w:type="dxa"/>
              <w:end w:w="120" w:type="dxa"/>
            </w:tcMar>
          </w:tcPr>
          <w:p>
            <w:r/>
            <w:r>
              <w:rPr>
                <w:rFonts w:ascii="Aptos" w:hAnsi="Aptos"/>
                <w:b w:val="0"/>
                <w:color w:val="1B2A41"/>
                <w:sz w:val="19"/>
              </w:rPr>
              <w:t>06 September 2026</w:t>
            </w:r>
          </w:p>
        </w:tc>
      </w:tr>
    </w:tbl>
    <w:p/>
    <w:tbl>
      <w:tblPr>
        <w:tblW w:type="auto" w:w="0"/>
        <w:jc w:val="center"/>
        <w:tblLayout w:type="autofit"/>
        <w:tblLook w:firstColumn="1" w:firstRow="1" w:lastColumn="0" w:lastRow="0" w:noHBand="0" w:noVBand="1" w:val="04A0"/>
      </w:tblPr>
      <w:tblGrid>
        <w:gridCol w:w="10368"/>
      </w:tblGrid>
      <w:tr>
        <w:tc>
          <w:tcPr>
            <w:tcW w:type="dxa" w:w="10368"/>
            <w:shd w:fill="F5F7FA"/>
            <w:tcMar>
              <w:top w:w="110" w:type="dxa"/>
              <w:start w:w="140" w:type="dxa"/>
              <w:bottom w:w="110" w:type="dxa"/>
              <w:end w:w="140" w:type="dxa"/>
            </w:tcMar>
          </w:tcPr>
          <w:p>
            <w:r>
              <w:rPr>
                <w:b/>
                <w:color w:val="23395B"/>
                <w:sz w:val="19"/>
              </w:rPr>
              <w:t xml:space="preserve">Submission note:  </w:t>
            </w:r>
            <w:r>
              <w:rPr>
                <w:color w:val="1B2A41"/>
                <w:sz w:val="18"/>
              </w:rPr>
              <w:t>This report is a planning simulation and configuration blueprint. It demonstrates how I would structure master data, data quality controls, and inventory optimization in SAP SCM/APO; it does not claim execution in a live production SAP landscape.</w:t>
            </w:r>
          </w:p>
        </w:tc>
      </w:tr>
    </w:tbl>
    <w:p>
      <w:r>
        <w:br w:type="page"/>
      </w:r>
    </w:p>
    <w:p>
      <w:pPr>
        <w:pStyle w:val="Heading1"/>
        <w:spacing w:before="60" w:after="100"/>
      </w:pPr>
      <w:r>
        <w:t>Contents</w:t>
      </w:r>
    </w:p>
    <w:tbl>
      <w:tblPr>
        <w:tblW w:type="auto" w:w="0"/>
        <w:jc w:val="center"/>
        <w:tblLook w:firstColumn="1" w:firstRow="1" w:lastColumn="0" w:lastRow="0" w:noHBand="0" w:noVBand="1" w:val="04A0"/>
      </w:tblPr>
      <w:tblGrid>
        <w:gridCol w:w="5184"/>
        <w:gridCol w:w="5184"/>
      </w:tblGrid>
      <w:tr>
        <w:tc>
          <w:tcPr>
            <w:tcW w:type="dxa" w:w="8640"/>
            <w:vAlign w:val="center"/>
          </w:tcPr>
          <w:p>
            <w:r/>
            <w:r>
              <w:rPr>
                <w:rFonts w:ascii="Aptos" w:hAnsi="Aptos"/>
                <w:b w:val="0"/>
                <w:color w:val="1B2A41"/>
                <w:sz w:val="19"/>
              </w:rPr>
              <w:t>1. Executive Summary and Scope</w:t>
            </w:r>
          </w:p>
        </w:tc>
        <w:tc>
          <w:tcPr>
            <w:tcW w:type="dxa" w:w="792"/>
            <w:vAlign w:val="center"/>
          </w:tcPr>
          <w:p>
            <w:pPr>
              <w:jc w:val="right"/>
            </w:pPr>
            <w:r/>
            <w:r>
              <w:rPr>
                <w:rFonts w:ascii="Aptos" w:hAnsi="Aptos"/>
                <w:b w:val="0"/>
                <w:color w:val="1B2A41"/>
                <w:sz w:val="19"/>
              </w:rPr>
              <w:t>3</w:t>
            </w:r>
          </w:p>
        </w:tc>
      </w:tr>
      <w:tr>
        <w:tc>
          <w:tcPr>
            <w:tcW w:type="dxa" w:w="8640"/>
            <w:vAlign w:val="center"/>
          </w:tcPr>
          <w:p>
            <w:r/>
            <w:r>
              <w:rPr>
                <w:rFonts w:ascii="Aptos" w:hAnsi="Aptos"/>
                <w:b w:val="0"/>
                <w:color w:val="1B2A41"/>
                <w:sz w:val="19"/>
              </w:rPr>
              <w:t>2. Business Scenario and Assumptions</w:t>
            </w:r>
          </w:p>
        </w:tc>
        <w:tc>
          <w:tcPr>
            <w:tcW w:type="dxa" w:w="792"/>
            <w:vAlign w:val="center"/>
          </w:tcPr>
          <w:p>
            <w:pPr>
              <w:jc w:val="right"/>
            </w:pPr>
            <w:r/>
            <w:r>
              <w:rPr>
                <w:rFonts w:ascii="Aptos" w:hAnsi="Aptos"/>
                <w:b w:val="0"/>
                <w:color w:val="1B2A41"/>
                <w:sz w:val="19"/>
              </w:rPr>
              <w:t>4</w:t>
            </w:r>
          </w:p>
        </w:tc>
      </w:tr>
      <w:tr>
        <w:tc>
          <w:tcPr>
            <w:tcW w:type="dxa" w:w="8640"/>
            <w:vAlign w:val="center"/>
          </w:tcPr>
          <w:p>
            <w:r/>
            <w:r>
              <w:rPr>
                <w:rFonts w:ascii="Aptos" w:hAnsi="Aptos"/>
                <w:b w:val="0"/>
                <w:color w:val="1B2A41"/>
                <w:sz w:val="19"/>
              </w:rPr>
              <w:t>3. Master Data Analysis</w:t>
            </w:r>
          </w:p>
        </w:tc>
        <w:tc>
          <w:tcPr>
            <w:tcW w:type="dxa" w:w="792"/>
            <w:vAlign w:val="center"/>
          </w:tcPr>
          <w:p>
            <w:pPr>
              <w:jc w:val="right"/>
            </w:pPr>
            <w:r/>
            <w:r>
              <w:rPr>
                <w:rFonts w:ascii="Aptos" w:hAnsi="Aptos"/>
                <w:b w:val="0"/>
                <w:color w:val="1B2A41"/>
                <w:sz w:val="19"/>
              </w:rPr>
              <w:t>5</w:t>
            </w:r>
          </w:p>
        </w:tc>
      </w:tr>
      <w:tr>
        <w:tc>
          <w:tcPr>
            <w:tcW w:type="dxa" w:w="8640"/>
            <w:vAlign w:val="center"/>
          </w:tcPr>
          <w:p>
            <w:r/>
            <w:r>
              <w:rPr>
                <w:rFonts w:ascii="Aptos" w:hAnsi="Aptos"/>
                <w:b w:val="0"/>
                <w:color w:val="1B2A41"/>
                <w:sz w:val="19"/>
              </w:rPr>
              <w:t>4. Inventory Performance Parameters</w:t>
            </w:r>
          </w:p>
        </w:tc>
        <w:tc>
          <w:tcPr>
            <w:tcW w:type="dxa" w:w="792"/>
            <w:vAlign w:val="center"/>
          </w:tcPr>
          <w:p>
            <w:pPr>
              <w:jc w:val="right"/>
            </w:pPr>
            <w:r/>
            <w:r>
              <w:rPr>
                <w:rFonts w:ascii="Aptos" w:hAnsi="Aptos"/>
                <w:b w:val="0"/>
                <w:color w:val="1B2A41"/>
                <w:sz w:val="19"/>
              </w:rPr>
              <w:t>6</w:t>
            </w:r>
          </w:p>
        </w:tc>
      </w:tr>
      <w:tr>
        <w:tc>
          <w:tcPr>
            <w:tcW w:type="dxa" w:w="8640"/>
            <w:vAlign w:val="center"/>
          </w:tcPr>
          <w:p>
            <w:r/>
            <w:r>
              <w:rPr>
                <w:rFonts w:ascii="Aptos" w:hAnsi="Aptos"/>
                <w:b w:val="0"/>
                <w:color w:val="1B2A41"/>
                <w:sz w:val="19"/>
              </w:rPr>
              <w:t>5. Project Plan and Governance</w:t>
            </w:r>
          </w:p>
        </w:tc>
        <w:tc>
          <w:tcPr>
            <w:tcW w:type="dxa" w:w="792"/>
            <w:vAlign w:val="center"/>
          </w:tcPr>
          <w:p>
            <w:pPr>
              <w:jc w:val="right"/>
            </w:pPr>
            <w:r/>
            <w:r>
              <w:rPr>
                <w:rFonts w:ascii="Aptos" w:hAnsi="Aptos"/>
                <w:b w:val="0"/>
                <w:color w:val="1B2A41"/>
                <w:sz w:val="19"/>
              </w:rPr>
              <w:t>7</w:t>
            </w:r>
          </w:p>
        </w:tc>
      </w:tr>
      <w:tr>
        <w:tc>
          <w:tcPr>
            <w:tcW w:type="dxa" w:w="8640"/>
            <w:vAlign w:val="center"/>
          </w:tcPr>
          <w:p>
            <w:r/>
            <w:r>
              <w:rPr>
                <w:rFonts w:ascii="Aptos" w:hAnsi="Aptos"/>
                <w:b w:val="0"/>
                <w:color w:val="1B2A41"/>
                <w:sz w:val="19"/>
              </w:rPr>
              <w:t>6. Data Mapping Strategy</w:t>
            </w:r>
          </w:p>
        </w:tc>
        <w:tc>
          <w:tcPr>
            <w:tcW w:type="dxa" w:w="792"/>
            <w:vAlign w:val="center"/>
          </w:tcPr>
          <w:p>
            <w:pPr>
              <w:jc w:val="right"/>
            </w:pPr>
            <w:r/>
            <w:r>
              <w:rPr>
                <w:rFonts w:ascii="Aptos" w:hAnsi="Aptos"/>
                <w:b w:val="0"/>
                <w:color w:val="1B2A41"/>
                <w:sz w:val="19"/>
              </w:rPr>
              <w:t>8</w:t>
            </w:r>
          </w:p>
        </w:tc>
      </w:tr>
      <w:tr>
        <w:tc>
          <w:tcPr>
            <w:tcW w:type="dxa" w:w="8640"/>
            <w:vAlign w:val="center"/>
          </w:tcPr>
          <w:p>
            <w:r/>
            <w:r>
              <w:rPr>
                <w:rFonts w:ascii="Aptos" w:hAnsi="Aptos"/>
                <w:b w:val="0"/>
                <w:color w:val="1B2A41"/>
                <w:sz w:val="19"/>
              </w:rPr>
              <w:t>7. Data Cleansing, Integration and Migration</w:t>
            </w:r>
          </w:p>
        </w:tc>
        <w:tc>
          <w:tcPr>
            <w:tcW w:type="dxa" w:w="792"/>
            <w:vAlign w:val="center"/>
          </w:tcPr>
          <w:p>
            <w:pPr>
              <w:jc w:val="right"/>
            </w:pPr>
            <w:r/>
            <w:r>
              <w:rPr>
                <w:rFonts w:ascii="Aptos" w:hAnsi="Aptos"/>
                <w:b w:val="0"/>
                <w:color w:val="1B2A41"/>
                <w:sz w:val="19"/>
              </w:rPr>
              <w:t>9</w:t>
            </w:r>
          </w:p>
        </w:tc>
      </w:tr>
      <w:tr>
        <w:tc>
          <w:tcPr>
            <w:tcW w:type="dxa" w:w="8640"/>
            <w:vAlign w:val="center"/>
          </w:tcPr>
          <w:p>
            <w:r/>
            <w:r>
              <w:rPr>
                <w:rFonts w:ascii="Aptos" w:hAnsi="Aptos"/>
                <w:b w:val="0"/>
                <w:color w:val="1B2A41"/>
                <w:sz w:val="19"/>
              </w:rPr>
              <w:t>8. SAP SCM Master Data Configuration Guidelines</w:t>
            </w:r>
          </w:p>
        </w:tc>
        <w:tc>
          <w:tcPr>
            <w:tcW w:type="dxa" w:w="792"/>
            <w:vAlign w:val="center"/>
          </w:tcPr>
          <w:p>
            <w:pPr>
              <w:jc w:val="right"/>
            </w:pPr>
            <w:r/>
            <w:r>
              <w:rPr>
                <w:rFonts w:ascii="Aptos" w:hAnsi="Aptos"/>
                <w:b w:val="0"/>
                <w:color w:val="1B2A41"/>
                <w:sz w:val="19"/>
              </w:rPr>
              <w:t>10</w:t>
            </w:r>
          </w:p>
        </w:tc>
      </w:tr>
      <w:tr>
        <w:tc>
          <w:tcPr>
            <w:tcW w:type="dxa" w:w="8640"/>
            <w:vAlign w:val="center"/>
          </w:tcPr>
          <w:p>
            <w:r/>
            <w:r>
              <w:rPr>
                <w:rFonts w:ascii="Aptos" w:hAnsi="Aptos"/>
                <w:b w:val="0"/>
                <w:color w:val="1B2A41"/>
                <w:sz w:val="19"/>
              </w:rPr>
              <w:t>9. Inventory Optimization Techniques</w:t>
            </w:r>
          </w:p>
        </w:tc>
        <w:tc>
          <w:tcPr>
            <w:tcW w:type="dxa" w:w="792"/>
            <w:vAlign w:val="center"/>
          </w:tcPr>
          <w:p>
            <w:pPr>
              <w:jc w:val="right"/>
            </w:pPr>
            <w:r/>
            <w:r>
              <w:rPr>
                <w:rFonts w:ascii="Aptos" w:hAnsi="Aptos"/>
                <w:b w:val="0"/>
                <w:color w:val="1B2A41"/>
                <w:sz w:val="19"/>
              </w:rPr>
              <w:t>11</w:t>
            </w:r>
          </w:p>
        </w:tc>
      </w:tr>
      <w:tr>
        <w:tc>
          <w:tcPr>
            <w:tcW w:type="dxa" w:w="8640"/>
            <w:vAlign w:val="center"/>
          </w:tcPr>
          <w:p>
            <w:r/>
            <w:r>
              <w:rPr>
                <w:rFonts w:ascii="Aptos" w:hAnsi="Aptos"/>
                <w:b w:val="0"/>
                <w:color w:val="1B2A41"/>
                <w:sz w:val="19"/>
              </w:rPr>
              <w:t>10. Practical Simulation: Stock-out</w:t>
            </w:r>
          </w:p>
        </w:tc>
        <w:tc>
          <w:tcPr>
            <w:tcW w:type="dxa" w:w="792"/>
            <w:vAlign w:val="center"/>
          </w:tcPr>
          <w:p>
            <w:pPr>
              <w:jc w:val="right"/>
            </w:pPr>
            <w:r/>
            <w:r>
              <w:rPr>
                <w:rFonts w:ascii="Aptos" w:hAnsi="Aptos"/>
                <w:b w:val="0"/>
                <w:color w:val="1B2A41"/>
                <w:sz w:val="19"/>
              </w:rPr>
              <w:t>12</w:t>
            </w:r>
          </w:p>
        </w:tc>
      </w:tr>
      <w:tr>
        <w:tc>
          <w:tcPr>
            <w:tcW w:type="dxa" w:w="8640"/>
            <w:vAlign w:val="center"/>
          </w:tcPr>
          <w:p>
            <w:r/>
            <w:r>
              <w:rPr>
                <w:rFonts w:ascii="Aptos" w:hAnsi="Aptos"/>
                <w:b w:val="0"/>
                <w:color w:val="1B2A41"/>
                <w:sz w:val="19"/>
              </w:rPr>
              <w:t>11. Practical Simulation: Excess Inventory</w:t>
            </w:r>
          </w:p>
        </w:tc>
        <w:tc>
          <w:tcPr>
            <w:tcW w:type="dxa" w:w="792"/>
            <w:vAlign w:val="center"/>
          </w:tcPr>
          <w:p>
            <w:pPr>
              <w:jc w:val="right"/>
            </w:pPr>
            <w:r/>
            <w:r>
              <w:rPr>
                <w:rFonts w:ascii="Aptos" w:hAnsi="Aptos"/>
                <w:b w:val="0"/>
                <w:color w:val="1B2A41"/>
                <w:sz w:val="19"/>
              </w:rPr>
              <w:t>13</w:t>
            </w:r>
          </w:p>
        </w:tc>
      </w:tr>
      <w:tr>
        <w:tc>
          <w:tcPr>
            <w:tcW w:type="dxa" w:w="8640"/>
            <w:vAlign w:val="center"/>
          </w:tcPr>
          <w:p>
            <w:r/>
            <w:r>
              <w:rPr>
                <w:rFonts w:ascii="Aptos" w:hAnsi="Aptos"/>
                <w:b w:val="0"/>
                <w:color w:val="1B2A41"/>
                <w:sz w:val="19"/>
              </w:rPr>
              <w:t>12. Monitoring and Post-Implementation Evaluation</w:t>
            </w:r>
          </w:p>
        </w:tc>
        <w:tc>
          <w:tcPr>
            <w:tcW w:type="dxa" w:w="792"/>
            <w:vAlign w:val="center"/>
          </w:tcPr>
          <w:p>
            <w:pPr>
              <w:jc w:val="right"/>
            </w:pPr>
            <w:r/>
            <w:r>
              <w:rPr>
                <w:rFonts w:ascii="Aptos" w:hAnsi="Aptos"/>
                <w:b w:val="0"/>
                <w:color w:val="1B2A41"/>
                <w:sz w:val="19"/>
              </w:rPr>
              <w:t>14</w:t>
            </w:r>
          </w:p>
        </w:tc>
      </w:tr>
      <w:tr>
        <w:tc>
          <w:tcPr>
            <w:tcW w:type="dxa" w:w="8640"/>
            <w:vAlign w:val="center"/>
          </w:tcPr>
          <w:p>
            <w:r/>
            <w:r>
              <w:rPr>
                <w:rFonts w:ascii="Aptos" w:hAnsi="Aptos"/>
                <w:b w:val="0"/>
                <w:color w:val="1B2A41"/>
                <w:sz w:val="19"/>
              </w:rPr>
              <w:t>13. Governance, Risks and Controls</w:t>
            </w:r>
          </w:p>
        </w:tc>
        <w:tc>
          <w:tcPr>
            <w:tcW w:type="dxa" w:w="792"/>
            <w:vAlign w:val="center"/>
          </w:tcPr>
          <w:p>
            <w:pPr>
              <w:jc w:val="right"/>
            </w:pPr>
            <w:r/>
            <w:r>
              <w:rPr>
                <w:rFonts w:ascii="Aptos" w:hAnsi="Aptos"/>
                <w:b w:val="0"/>
                <w:color w:val="1B2A41"/>
                <w:sz w:val="19"/>
              </w:rPr>
              <w:t>15</w:t>
            </w:r>
          </w:p>
        </w:tc>
      </w:tr>
      <w:tr>
        <w:tc>
          <w:tcPr>
            <w:tcW w:type="dxa" w:w="8640"/>
            <w:vAlign w:val="center"/>
          </w:tcPr>
          <w:p>
            <w:r/>
            <w:r>
              <w:rPr>
                <w:rFonts w:ascii="Aptos" w:hAnsi="Aptos"/>
                <w:b w:val="0"/>
                <w:color w:val="1B2A41"/>
                <w:sz w:val="19"/>
              </w:rPr>
              <w:t>14. Validation Plan and Estimated Effort</w:t>
            </w:r>
          </w:p>
        </w:tc>
        <w:tc>
          <w:tcPr>
            <w:tcW w:type="dxa" w:w="792"/>
            <w:vAlign w:val="center"/>
          </w:tcPr>
          <w:p>
            <w:pPr>
              <w:jc w:val="right"/>
            </w:pPr>
            <w:r/>
            <w:r>
              <w:rPr>
                <w:rFonts w:ascii="Aptos" w:hAnsi="Aptos"/>
                <w:b w:val="0"/>
                <w:color w:val="1B2A41"/>
                <w:sz w:val="19"/>
              </w:rPr>
              <w:t>16</w:t>
            </w:r>
          </w:p>
        </w:tc>
      </w:tr>
      <w:tr>
        <w:tc>
          <w:tcPr>
            <w:tcW w:type="dxa" w:w="8640"/>
            <w:vAlign w:val="center"/>
          </w:tcPr>
          <w:p>
            <w:r/>
            <w:r>
              <w:rPr>
                <w:rFonts w:ascii="Aptos" w:hAnsi="Aptos"/>
                <w:b w:val="0"/>
                <w:color w:val="1B2A41"/>
                <w:sz w:val="19"/>
              </w:rPr>
              <w:t>15. Conclusion and References</w:t>
            </w:r>
          </w:p>
        </w:tc>
        <w:tc>
          <w:tcPr>
            <w:tcW w:type="dxa" w:w="792"/>
            <w:vAlign w:val="center"/>
          </w:tcPr>
          <w:p>
            <w:pPr>
              <w:jc w:val="right"/>
            </w:pPr>
            <w:r/>
            <w:r>
              <w:rPr>
                <w:rFonts w:ascii="Aptos" w:hAnsi="Aptos"/>
                <w:b w:val="0"/>
                <w:color w:val="1B2A41"/>
                <w:sz w:val="19"/>
              </w:rPr>
              <w:t>17</w:t>
            </w:r>
          </w:p>
        </w:tc>
      </w:tr>
      <w:tr>
        <w:tc>
          <w:tcPr>
            <w:tcW w:type="dxa" w:w="8640"/>
            <w:vAlign w:val="center"/>
          </w:tcPr>
          <w:p>
            <w:r/>
            <w:r>
              <w:rPr>
                <w:rFonts w:ascii="Aptos" w:hAnsi="Aptos"/>
                <w:b w:val="0"/>
                <w:color w:val="1B2A41"/>
                <w:sz w:val="19"/>
              </w:rPr>
              <w:t>Appendix A. Field Dictionary and Calculation Examples</w:t>
            </w:r>
          </w:p>
        </w:tc>
        <w:tc>
          <w:tcPr>
            <w:tcW w:type="dxa" w:w="792"/>
            <w:vAlign w:val="center"/>
          </w:tcPr>
          <w:p>
            <w:pPr>
              <w:jc w:val="right"/>
            </w:pPr>
            <w:r/>
            <w:r>
              <w:rPr>
                <w:rFonts w:ascii="Aptos" w:hAnsi="Aptos"/>
                <w:b w:val="0"/>
                <w:color w:val="1B2A41"/>
                <w:sz w:val="19"/>
              </w:rPr>
              <w:t>18</w:t>
            </w:r>
          </w:p>
        </w:tc>
      </w:tr>
    </w:tbl>
    <w:p>
      <w:pPr>
        <w:spacing w:after="100" w:line="259" w:lineRule="auto"/>
      </w:pPr>
      <w:r>
        <w:rPr>
          <w:color w:val="1B2A41"/>
          <w:sz w:val="20"/>
        </w:rPr>
        <w:t>The report continues the Week 1 network scenario so that the master-data and inventory decisions remain connected to the same suppliers, plant, regional distribution centers, and markets. All quantities and results are illustrative for learning purposes.</w:t>
      </w:r>
    </w:p>
    <w:p>
      <w:r>
        <w:br w:type="page"/>
      </w:r>
    </w:p>
    <w:p>
      <w:pPr>
        <w:pStyle w:val="Heading1"/>
        <w:spacing w:before="60" w:after="100"/>
      </w:pPr>
      <w:r>
        <w:t>1. Executive Summary and Scope</w:t>
      </w:r>
    </w:p>
    <w:p>
      <w:pPr>
        <w:spacing w:after="100" w:line="259" w:lineRule="auto"/>
      </w:pPr>
      <w:r>
        <w:rPr>
          <w:color w:val="1B2A41"/>
          <w:sz w:val="20"/>
        </w:rPr>
        <w:t>For Week 2, I continued the Deccan Harvest Foods supply-chain scenario from Week 1 and shifted the focus from network design to the quality of planning master data and the way inventory parameters influence replenishment decisions. My objective is to show how product, location, resource, sourcing, lead-time, stock and safety-stock data can be reviewed, mapped, cleansed and governed before they are used for SAP SCM/APO planning.</w:t>
      </w:r>
    </w:p>
    <w:p>
      <w:pPr>
        <w:spacing w:after="100" w:line="259" w:lineRule="auto"/>
      </w:pPr>
      <w:r>
        <w:rPr>
          <w:color w:val="1B2A41"/>
          <w:sz w:val="20"/>
        </w:rPr>
        <w:t>The project covers a controlled master-data lifecycle: source review, profiling, cleansing, mapping, integration/migration, SAP APO validation, inventory parameter setting, exception simulation and KPI monitoring. I use SAP APO/SNP concepts because master data such as locations, products, location-products, resources, production sources and transportation lanes directly shape supply-network planning results.</w:t>
      </w:r>
    </w:p>
    <w:p>
      <w:pPr>
        <w:pStyle w:val="Heading2"/>
        <w:spacing w:before="60" w:after="100"/>
      </w:pPr>
      <w:r>
        <w:t>1.1 Deliverables covered</w:t>
      </w:r>
    </w:p>
    <w:p>
      <w:pPr>
        <w:pStyle w:val="ListBullet"/>
        <w:spacing w:after="40"/>
        <w:ind w:left="259"/>
      </w:pPr>
      <w:r>
        <w:rPr>
          <w:color w:val="1B2A41"/>
          <w:sz w:val="19"/>
        </w:rPr>
        <w:t>Project plan for data-quality improvement and inventory optimization.</w:t>
      </w:r>
    </w:p>
    <w:p>
      <w:pPr>
        <w:pStyle w:val="ListBullet"/>
        <w:spacing w:after="40"/>
        <w:ind w:left="259"/>
      </w:pPr>
      <w:r>
        <w:rPr>
          <w:color w:val="1B2A41"/>
          <w:sz w:val="19"/>
        </w:rPr>
        <w:t>Data mapping strategy from execution/source data to SAP APO planning objects.</w:t>
      </w:r>
    </w:p>
    <w:p>
      <w:pPr>
        <w:pStyle w:val="ListBullet"/>
        <w:spacing w:after="40"/>
        <w:ind w:left="259"/>
      </w:pPr>
      <w:r>
        <w:rPr>
          <w:color w:val="1B2A41"/>
          <w:sz w:val="19"/>
        </w:rPr>
        <w:t>Master data configuration guidelines for products, locations, resources, sourcing and transportation.</w:t>
      </w:r>
    </w:p>
    <w:p>
      <w:pPr>
        <w:pStyle w:val="ListBullet"/>
        <w:spacing w:after="40"/>
        <w:ind w:left="259"/>
      </w:pPr>
      <w:r>
        <w:rPr>
          <w:color w:val="1B2A41"/>
          <w:sz w:val="19"/>
        </w:rPr>
        <w:t>Inventory optimization methods covering safety stock, days of supply, lot size, EOQ and ABC-XYZ segmentation.</w:t>
      </w:r>
    </w:p>
    <w:p>
      <w:pPr>
        <w:pStyle w:val="ListBullet"/>
        <w:spacing w:after="40"/>
        <w:ind w:left="259"/>
      </w:pPr>
      <w:r>
        <w:rPr>
          <w:color w:val="1B2A41"/>
          <w:sz w:val="19"/>
        </w:rPr>
        <w:t>Two practical simulations: a stock-out risk and an excess-inventory condition.</w:t>
      </w:r>
    </w:p>
    <w:p>
      <w:pPr>
        <w:pStyle w:val="ListBullet"/>
        <w:spacing w:after="40"/>
        <w:ind w:left="259"/>
      </w:pPr>
      <w:r>
        <w:rPr>
          <w:color w:val="1B2A41"/>
          <w:sz w:val="19"/>
        </w:rPr>
        <w:t>Post-implementation monitoring framework with KPIs, governance roles and review cadence.</w:t>
      </w:r>
    </w:p>
    <w:tbl>
      <w:tblPr>
        <w:tblW w:type="auto" w:w="0"/>
        <w:jc w:val="center"/>
        <w:tblLayout w:type="autofit"/>
        <w:tblLook w:firstColumn="1" w:firstRow="1" w:lastColumn="0" w:lastRow="0" w:noHBand="0" w:noVBand="1" w:val="04A0"/>
      </w:tblPr>
      <w:tblGrid>
        <w:gridCol w:w="10368"/>
      </w:tblGrid>
      <w:tr>
        <w:tc>
          <w:tcPr>
            <w:tcW w:type="dxa" w:w="10368"/>
            <w:shd w:fill="EEF3F8"/>
            <w:tcMar>
              <w:top w:w="110" w:type="dxa"/>
              <w:start w:w="140" w:type="dxa"/>
              <w:bottom w:w="110" w:type="dxa"/>
              <w:end w:w="140" w:type="dxa"/>
            </w:tcMar>
          </w:tcPr>
          <w:p>
            <w:r>
              <w:rPr>
                <w:b/>
                <w:color w:val="23395B"/>
                <w:sz w:val="19"/>
              </w:rPr>
              <w:t xml:space="preserve">Key principle:  </w:t>
            </w:r>
            <w:r>
              <w:rPr>
                <w:color w:val="1B2A41"/>
                <w:sz w:val="18"/>
              </w:rPr>
              <w:t>Inventory optimization should not begin with formulas alone. If lead time, unit of measure, location assignment, product status or sourcing data is wrong, even a mathematically correct planning method can produce an unusable plan.</w:t>
            </w:r>
          </w:p>
        </w:tc>
      </w:tr>
    </w:tbl>
    <w:p>
      <w:r>
        <w:br w:type="page"/>
      </w:r>
    </w:p>
    <w:p>
      <w:pPr>
        <w:pStyle w:val="Heading1"/>
        <w:spacing w:before="60" w:after="100"/>
      </w:pPr>
      <w:r>
        <w:t>2. Business Scenario and Assumptions</w:t>
      </w:r>
    </w:p>
    <w:p>
      <w:pPr>
        <w:spacing w:after="100" w:line="259" w:lineRule="auto"/>
      </w:pPr>
      <w:r>
        <w:rPr>
          <w:color w:val="1B2A41"/>
          <w:sz w:val="20"/>
        </w:rPr>
        <w:t>Deccan Harvest Foods Pvt. Ltd. is a fictional packaged millet-based ready-to-cook food manufacturer. The Week 2 exercise uses the same single manufacturing plant and three regional distribution centers so that I can analyze inventory behavior at location-product level rather than redesign the network.</w:t>
      </w:r>
    </w:p>
    <w:tbl>
      <w:tblPr>
        <w:tblStyle w:val="TableGrid"/>
        <w:tblW w:type="auto" w:w="0"/>
        <w:jc w:val="center"/>
        <w:tblLook w:firstColumn="1" w:firstRow="1" w:lastColumn="0" w:lastRow="0" w:noHBand="0" w:noVBand="1" w:val="04A0"/>
      </w:tblPr>
      <w:tblGrid>
        <w:gridCol w:w="3456"/>
        <w:gridCol w:w="3456"/>
        <w:gridCol w:w="3456"/>
      </w:tblGrid>
      <w:tr>
        <w:tc>
          <w:tcPr>
            <w:tcW w:type="dxa" w:w="2304"/>
            <w:vAlign w:val="center"/>
            <w:shd w:fill="23395B"/>
            <w:tcMar>
              <w:top w:w="70" w:type="dxa"/>
              <w:start w:w="80" w:type="dxa"/>
              <w:bottom w:w="70" w:type="dxa"/>
              <w:end w:w="80" w:type="dxa"/>
            </w:tcMar>
          </w:tcPr>
          <w:p>
            <w:pPr>
              <w:jc w:val="center"/>
            </w:pPr>
            <w:r/>
            <w:r>
              <w:rPr>
                <w:rFonts w:ascii="Aptos" w:hAnsi="Aptos"/>
                <w:b/>
                <w:color w:val="FFFFFF"/>
                <w:sz w:val="17"/>
              </w:rPr>
              <w:t>Planning object</w:t>
            </w:r>
          </w:p>
        </w:tc>
        <w:tc>
          <w:tcPr>
            <w:tcW w:type="dxa" w:w="3456"/>
            <w:vAlign w:val="center"/>
            <w:shd w:fill="23395B"/>
            <w:tcMar>
              <w:top w:w="70" w:type="dxa"/>
              <w:start w:w="80" w:type="dxa"/>
              <w:bottom w:w="70" w:type="dxa"/>
              <w:end w:w="80" w:type="dxa"/>
            </w:tcMar>
          </w:tcPr>
          <w:p>
            <w:pPr>
              <w:jc w:val="center"/>
            </w:pPr>
            <w:r/>
            <w:r>
              <w:rPr>
                <w:rFonts w:ascii="Aptos" w:hAnsi="Aptos"/>
                <w:b/>
                <w:color w:val="FFFFFF"/>
                <w:sz w:val="17"/>
              </w:rPr>
              <w:t>Illustrative setup</w:t>
            </w:r>
          </w:p>
        </w:tc>
        <w:tc>
          <w:tcPr>
            <w:tcW w:type="dxa" w:w="4320"/>
            <w:vAlign w:val="center"/>
            <w:shd w:fill="23395B"/>
            <w:tcMar>
              <w:top w:w="70" w:type="dxa"/>
              <w:start w:w="80" w:type="dxa"/>
              <w:bottom w:w="70" w:type="dxa"/>
              <w:end w:w="80" w:type="dxa"/>
            </w:tcMar>
          </w:tcPr>
          <w:p>
            <w:pPr>
              <w:jc w:val="center"/>
            </w:pPr>
            <w:r/>
            <w:r>
              <w:rPr>
                <w:rFonts w:ascii="Aptos" w:hAnsi="Aptos"/>
                <w:b/>
                <w:color w:val="FFFFFF"/>
                <w:sz w:val="17"/>
              </w:rPr>
              <w:t>Why it matters for Week 2</w:t>
            </w:r>
          </w:p>
        </w:tc>
      </w:tr>
      <w:tr>
        <w:tc>
          <w:tcPr>
            <w:tcW w:type="dxa" w:w="2304"/>
            <w:vAlign w:val="center"/>
            <w:tcMar>
              <w:top w:w="70" w:type="dxa"/>
              <w:start w:w="80" w:type="dxa"/>
              <w:bottom w:w="70" w:type="dxa"/>
              <w:end w:w="80" w:type="dxa"/>
            </w:tcMar>
          </w:tcPr>
          <w:p>
            <w:r/>
            <w:r>
              <w:rPr>
                <w:rFonts w:ascii="Aptos" w:hAnsi="Aptos"/>
                <w:b w:val="0"/>
                <w:color w:val="1B2A41"/>
                <w:sz w:val="16"/>
              </w:rPr>
              <w:t>Finished product</w:t>
            </w:r>
          </w:p>
        </w:tc>
        <w:tc>
          <w:tcPr>
            <w:tcW w:type="dxa" w:w="3456"/>
            <w:vAlign w:val="center"/>
            <w:tcMar>
              <w:top w:w="70" w:type="dxa"/>
              <w:start w:w="80" w:type="dxa"/>
              <w:bottom w:w="70" w:type="dxa"/>
              <w:end w:w="80" w:type="dxa"/>
            </w:tcMar>
          </w:tcPr>
          <w:p>
            <w:r/>
            <w:r>
              <w:rPr>
                <w:rFonts w:ascii="Aptos" w:hAnsi="Aptos"/>
                <w:b w:val="0"/>
                <w:color w:val="1B2A41"/>
                <w:sz w:val="16"/>
              </w:rPr>
              <w:t>DH-MIL-01 – Millet Upma Mix, 1 kg</w:t>
            </w:r>
          </w:p>
        </w:tc>
        <w:tc>
          <w:tcPr>
            <w:tcW w:type="dxa" w:w="4320"/>
            <w:vAlign w:val="center"/>
            <w:tcMar>
              <w:top w:w="70" w:type="dxa"/>
              <w:start w:w="80" w:type="dxa"/>
              <w:bottom w:w="70" w:type="dxa"/>
              <w:end w:w="80" w:type="dxa"/>
            </w:tcMar>
          </w:tcPr>
          <w:p>
            <w:r/>
            <w:r>
              <w:rPr>
                <w:rFonts w:ascii="Aptos" w:hAnsi="Aptos"/>
                <w:b w:val="0"/>
                <w:color w:val="1B2A41"/>
                <w:sz w:val="16"/>
              </w:rPr>
              <w:t>Used as the main location-product for inventory simulation.</w:t>
            </w:r>
          </w:p>
        </w:tc>
      </w:tr>
      <w:tr>
        <w:tc>
          <w:tcPr>
            <w:tcW w:type="dxa" w:w="2304"/>
            <w:vAlign w:val="center"/>
            <w:tcMar>
              <w:top w:w="70" w:type="dxa"/>
              <w:start w:w="80" w:type="dxa"/>
              <w:bottom w:w="70" w:type="dxa"/>
              <w:end w:w="80" w:type="dxa"/>
            </w:tcMar>
            <w:shd w:fill="F7F9FB"/>
          </w:tcPr>
          <w:p>
            <w:r/>
            <w:r>
              <w:rPr>
                <w:rFonts w:ascii="Aptos" w:hAnsi="Aptos"/>
                <w:b w:val="0"/>
                <w:color w:val="1B2A41"/>
                <w:sz w:val="16"/>
              </w:rPr>
              <w:t>Plant</w:t>
            </w:r>
          </w:p>
        </w:tc>
        <w:tc>
          <w:tcPr>
            <w:tcW w:type="dxa" w:w="3456"/>
            <w:vAlign w:val="center"/>
            <w:tcMar>
              <w:top w:w="70" w:type="dxa"/>
              <w:start w:w="80" w:type="dxa"/>
              <w:bottom w:w="70" w:type="dxa"/>
              <w:end w:w="80" w:type="dxa"/>
            </w:tcMar>
            <w:shd w:fill="F7F9FB"/>
          </w:tcPr>
          <w:p>
            <w:r/>
            <w:r>
              <w:rPr>
                <w:rFonts w:ascii="Aptos" w:hAnsi="Aptos"/>
                <w:b w:val="0"/>
                <w:color w:val="1B2A41"/>
                <w:sz w:val="16"/>
              </w:rPr>
              <w:t>Hyderabad manufacturing plant</w:t>
            </w:r>
          </w:p>
        </w:tc>
        <w:tc>
          <w:tcPr>
            <w:tcW w:type="dxa" w:w="4320"/>
            <w:vAlign w:val="center"/>
            <w:tcMar>
              <w:top w:w="70" w:type="dxa"/>
              <w:start w:w="80" w:type="dxa"/>
              <w:bottom w:w="70" w:type="dxa"/>
              <w:end w:w="80" w:type="dxa"/>
            </w:tcMar>
            <w:shd w:fill="F7F9FB"/>
          </w:tcPr>
          <w:p>
            <w:r/>
            <w:r>
              <w:rPr>
                <w:rFonts w:ascii="Aptos" w:hAnsi="Aptos"/>
                <w:b w:val="0"/>
                <w:color w:val="1B2A41"/>
                <w:sz w:val="16"/>
              </w:rPr>
              <w:t>Creates finished-goods supply and is constrained by production capacity.</w:t>
            </w:r>
          </w:p>
        </w:tc>
      </w:tr>
      <w:tr>
        <w:tc>
          <w:tcPr>
            <w:tcW w:type="dxa" w:w="2304"/>
            <w:vAlign w:val="center"/>
            <w:tcMar>
              <w:top w:w="70" w:type="dxa"/>
              <w:start w:w="80" w:type="dxa"/>
              <w:bottom w:w="70" w:type="dxa"/>
              <w:end w:w="80" w:type="dxa"/>
            </w:tcMar>
          </w:tcPr>
          <w:p>
            <w:r/>
            <w:r>
              <w:rPr>
                <w:rFonts w:ascii="Aptos" w:hAnsi="Aptos"/>
                <w:b w:val="0"/>
                <w:color w:val="1B2A41"/>
                <w:sz w:val="16"/>
              </w:rPr>
              <w:t>Distribution centers</w:t>
            </w:r>
          </w:p>
        </w:tc>
        <w:tc>
          <w:tcPr>
            <w:tcW w:type="dxa" w:w="3456"/>
            <w:vAlign w:val="center"/>
            <w:tcMar>
              <w:top w:w="70" w:type="dxa"/>
              <w:start w:w="80" w:type="dxa"/>
              <w:bottom w:w="70" w:type="dxa"/>
              <w:end w:w="80" w:type="dxa"/>
            </w:tcMar>
          </w:tcPr>
          <w:p>
            <w:r/>
            <w:r>
              <w:rPr>
                <w:rFonts w:ascii="Aptos" w:hAnsi="Aptos"/>
                <w:b w:val="0"/>
                <w:color w:val="1B2A41"/>
                <w:sz w:val="16"/>
              </w:rPr>
              <w:t>Hyderabad, Vijayawada, Bengaluru</w:t>
            </w:r>
          </w:p>
        </w:tc>
        <w:tc>
          <w:tcPr>
            <w:tcW w:type="dxa" w:w="4320"/>
            <w:vAlign w:val="center"/>
            <w:tcMar>
              <w:top w:w="70" w:type="dxa"/>
              <w:start w:w="80" w:type="dxa"/>
              <w:bottom w:w="70" w:type="dxa"/>
              <w:end w:w="80" w:type="dxa"/>
            </w:tcMar>
          </w:tcPr>
          <w:p>
            <w:r/>
            <w:r>
              <w:rPr>
                <w:rFonts w:ascii="Aptos" w:hAnsi="Aptos"/>
                <w:b w:val="0"/>
                <w:color w:val="1B2A41"/>
                <w:sz w:val="16"/>
              </w:rPr>
              <w:t>Hold regional stock and show different demand/lead-time profiles.</w:t>
            </w:r>
          </w:p>
        </w:tc>
      </w:tr>
      <w:tr>
        <w:tc>
          <w:tcPr>
            <w:tcW w:type="dxa" w:w="2304"/>
            <w:vAlign w:val="center"/>
            <w:tcMar>
              <w:top w:w="70" w:type="dxa"/>
              <w:start w:w="80" w:type="dxa"/>
              <w:bottom w:w="70" w:type="dxa"/>
              <w:end w:w="80" w:type="dxa"/>
            </w:tcMar>
            <w:shd w:fill="F7F9FB"/>
          </w:tcPr>
          <w:p>
            <w:r/>
            <w:r>
              <w:rPr>
                <w:rFonts w:ascii="Aptos" w:hAnsi="Aptos"/>
                <w:b w:val="0"/>
                <w:color w:val="1B2A41"/>
                <w:sz w:val="16"/>
              </w:rPr>
              <w:t>Primary raw-material supplier</w:t>
            </w:r>
          </w:p>
        </w:tc>
        <w:tc>
          <w:tcPr>
            <w:tcW w:type="dxa" w:w="3456"/>
            <w:vAlign w:val="center"/>
            <w:tcMar>
              <w:top w:w="70" w:type="dxa"/>
              <w:start w:w="80" w:type="dxa"/>
              <w:bottom w:w="70" w:type="dxa"/>
              <w:end w:w="80" w:type="dxa"/>
            </w:tcMar>
            <w:shd w:fill="F7F9FB"/>
          </w:tcPr>
          <w:p>
            <w:r/>
            <w:r>
              <w:rPr>
                <w:rFonts w:ascii="Aptos" w:hAnsi="Aptos"/>
                <w:b w:val="0"/>
                <w:color w:val="1B2A41"/>
                <w:sz w:val="16"/>
              </w:rPr>
              <w:t>Nizamabad supplier</w:t>
            </w:r>
          </w:p>
        </w:tc>
        <w:tc>
          <w:tcPr>
            <w:tcW w:type="dxa" w:w="4320"/>
            <w:vAlign w:val="center"/>
            <w:tcMar>
              <w:top w:w="70" w:type="dxa"/>
              <w:start w:w="80" w:type="dxa"/>
              <w:bottom w:w="70" w:type="dxa"/>
              <w:end w:w="80" w:type="dxa"/>
            </w:tcMar>
            <w:shd w:fill="F7F9FB"/>
          </w:tcPr>
          <w:p>
            <w:r/>
            <w:r>
              <w:rPr>
                <w:rFonts w:ascii="Aptos" w:hAnsi="Aptos"/>
                <w:b w:val="0"/>
                <w:color w:val="1B2A41"/>
                <w:sz w:val="16"/>
              </w:rPr>
              <w:t>Shorter lead time and main share of procurement.</w:t>
            </w:r>
          </w:p>
        </w:tc>
      </w:tr>
      <w:tr>
        <w:tc>
          <w:tcPr>
            <w:tcW w:type="dxa" w:w="2304"/>
            <w:vAlign w:val="center"/>
            <w:tcMar>
              <w:top w:w="70" w:type="dxa"/>
              <w:start w:w="80" w:type="dxa"/>
              <w:bottom w:w="70" w:type="dxa"/>
              <w:end w:w="80" w:type="dxa"/>
            </w:tcMar>
          </w:tcPr>
          <w:p>
            <w:r/>
            <w:r>
              <w:rPr>
                <w:rFonts w:ascii="Aptos" w:hAnsi="Aptos"/>
                <w:b w:val="0"/>
                <w:color w:val="1B2A41"/>
                <w:sz w:val="16"/>
              </w:rPr>
              <w:t>Secondary supplier</w:t>
            </w:r>
          </w:p>
        </w:tc>
        <w:tc>
          <w:tcPr>
            <w:tcW w:type="dxa" w:w="3456"/>
            <w:vAlign w:val="center"/>
            <w:tcMar>
              <w:top w:w="70" w:type="dxa"/>
              <w:start w:w="80" w:type="dxa"/>
              <w:bottom w:w="70" w:type="dxa"/>
              <w:end w:w="80" w:type="dxa"/>
            </w:tcMar>
          </w:tcPr>
          <w:p>
            <w:r/>
            <w:r>
              <w:rPr>
                <w:rFonts w:ascii="Aptos" w:hAnsi="Aptos"/>
                <w:b w:val="0"/>
                <w:color w:val="1B2A41"/>
                <w:sz w:val="16"/>
              </w:rPr>
              <w:t>Nagpur supplier</w:t>
            </w:r>
          </w:p>
        </w:tc>
        <w:tc>
          <w:tcPr>
            <w:tcW w:type="dxa" w:w="4320"/>
            <w:vAlign w:val="center"/>
            <w:tcMar>
              <w:top w:w="70" w:type="dxa"/>
              <w:start w:w="80" w:type="dxa"/>
              <w:bottom w:w="70" w:type="dxa"/>
              <w:end w:w="80" w:type="dxa"/>
            </w:tcMar>
          </w:tcPr>
          <w:p>
            <w:r/>
            <w:r>
              <w:rPr>
                <w:rFonts w:ascii="Aptos" w:hAnsi="Aptos"/>
                <w:b w:val="0"/>
                <w:color w:val="1B2A41"/>
                <w:sz w:val="16"/>
              </w:rPr>
              <w:t>Backup source for resilience and quota-based sourcing.</w:t>
            </w:r>
          </w:p>
        </w:tc>
      </w:tr>
      <w:tr>
        <w:tc>
          <w:tcPr>
            <w:tcW w:type="dxa" w:w="2304"/>
            <w:vAlign w:val="center"/>
            <w:tcMar>
              <w:top w:w="70" w:type="dxa"/>
              <w:start w:w="80" w:type="dxa"/>
              <w:bottom w:w="70" w:type="dxa"/>
              <w:end w:w="80" w:type="dxa"/>
            </w:tcMar>
            <w:shd w:fill="F7F9FB"/>
          </w:tcPr>
          <w:p>
            <w:r/>
            <w:r>
              <w:rPr>
                <w:rFonts w:ascii="Aptos" w:hAnsi="Aptos"/>
                <w:b w:val="0"/>
                <w:color w:val="1B2A41"/>
                <w:sz w:val="16"/>
              </w:rPr>
              <w:t>Planning horizon</w:t>
            </w:r>
          </w:p>
        </w:tc>
        <w:tc>
          <w:tcPr>
            <w:tcW w:type="dxa" w:w="3456"/>
            <w:vAlign w:val="center"/>
            <w:tcMar>
              <w:top w:w="70" w:type="dxa"/>
              <w:start w:w="80" w:type="dxa"/>
              <w:bottom w:w="70" w:type="dxa"/>
              <w:end w:w="80" w:type="dxa"/>
            </w:tcMar>
            <w:shd w:fill="F7F9FB"/>
          </w:tcPr>
          <w:p>
            <w:r/>
            <w:r>
              <w:rPr>
                <w:rFonts w:ascii="Aptos" w:hAnsi="Aptos"/>
                <w:b w:val="0"/>
                <w:color w:val="1B2A41"/>
                <w:sz w:val="16"/>
              </w:rPr>
              <w:t>12 weeks, weekly buckets</w:t>
            </w:r>
          </w:p>
        </w:tc>
        <w:tc>
          <w:tcPr>
            <w:tcW w:type="dxa" w:w="4320"/>
            <w:vAlign w:val="center"/>
            <w:tcMar>
              <w:top w:w="70" w:type="dxa"/>
              <w:start w:w="80" w:type="dxa"/>
              <w:bottom w:w="70" w:type="dxa"/>
              <w:end w:w="80" w:type="dxa"/>
            </w:tcMar>
            <w:shd w:fill="F7F9FB"/>
          </w:tcPr>
          <w:p>
            <w:r/>
            <w:r>
              <w:rPr>
                <w:rFonts w:ascii="Aptos" w:hAnsi="Aptos"/>
                <w:b w:val="0"/>
                <w:color w:val="1B2A41"/>
                <w:sz w:val="16"/>
              </w:rPr>
              <w:t>Long enough to observe demand variation and replenishment effects.</w:t>
            </w:r>
          </w:p>
        </w:tc>
      </w:tr>
      <w:tr>
        <w:tc>
          <w:tcPr>
            <w:tcW w:type="dxa" w:w="2304"/>
            <w:vAlign w:val="center"/>
            <w:tcMar>
              <w:top w:w="70" w:type="dxa"/>
              <w:start w:w="80" w:type="dxa"/>
              <w:bottom w:w="70" w:type="dxa"/>
              <w:end w:w="80" w:type="dxa"/>
            </w:tcMar>
          </w:tcPr>
          <w:p>
            <w:r/>
            <w:r>
              <w:rPr>
                <w:rFonts w:ascii="Aptos" w:hAnsi="Aptos"/>
                <w:b w:val="0"/>
                <w:color w:val="1B2A41"/>
                <w:sz w:val="16"/>
              </w:rPr>
              <w:t>Baseline finished-goods demand</w:t>
            </w:r>
          </w:p>
        </w:tc>
        <w:tc>
          <w:tcPr>
            <w:tcW w:type="dxa" w:w="3456"/>
            <w:vAlign w:val="center"/>
            <w:tcMar>
              <w:top w:w="70" w:type="dxa"/>
              <w:start w:w="80" w:type="dxa"/>
              <w:bottom w:w="70" w:type="dxa"/>
              <w:end w:w="80" w:type="dxa"/>
            </w:tcMar>
          </w:tcPr>
          <w:p>
            <w:r/>
            <w:r>
              <w:rPr>
                <w:rFonts w:ascii="Aptos" w:hAnsi="Aptos"/>
                <w:b w:val="0"/>
                <w:color w:val="1B2A41"/>
                <w:sz w:val="16"/>
              </w:rPr>
              <w:t>145 tonnes/week across the three DCs</w:t>
            </w:r>
          </w:p>
        </w:tc>
        <w:tc>
          <w:tcPr>
            <w:tcW w:type="dxa" w:w="4320"/>
            <w:vAlign w:val="center"/>
            <w:tcMar>
              <w:top w:w="70" w:type="dxa"/>
              <w:start w:w="80" w:type="dxa"/>
              <w:bottom w:w="70" w:type="dxa"/>
              <w:end w:w="80" w:type="dxa"/>
            </w:tcMar>
          </w:tcPr>
          <w:p>
            <w:r/>
            <w:r>
              <w:rPr>
                <w:rFonts w:ascii="Aptos" w:hAnsi="Aptos"/>
                <w:b w:val="0"/>
                <w:color w:val="1B2A41"/>
                <w:sz w:val="16"/>
              </w:rPr>
              <w:t>Maintains continuity with the Week 1 network capacity example.</w:t>
            </w:r>
          </w:p>
        </w:tc>
      </w:tr>
    </w:tbl>
    <w:p>
      <w:pPr>
        <w:pStyle w:val="Heading2"/>
        <w:spacing w:before="60" w:after="100"/>
      </w:pPr>
      <w:r>
        <w:t>2.1 Assumptions used</w:t>
      </w:r>
    </w:p>
    <w:p>
      <w:pPr>
        <w:pStyle w:val="ListBullet"/>
        <w:spacing w:after="40"/>
        <w:ind w:left="259"/>
      </w:pPr>
      <w:r>
        <w:rPr>
          <w:color w:val="1B2A41"/>
          <w:sz w:val="19"/>
        </w:rPr>
        <w:t>Demand values, costs, stock levels and service levels are sample values created for the internship exercise.</w:t>
      </w:r>
    </w:p>
    <w:p>
      <w:pPr>
        <w:pStyle w:val="ListBullet"/>
        <w:spacing w:after="40"/>
        <w:ind w:left="259"/>
      </w:pPr>
      <w:r>
        <w:rPr>
          <w:color w:val="1B2A41"/>
          <w:sz w:val="19"/>
        </w:rPr>
        <w:t>The report assumes SAP ECC or a comparable execution source supplies core master data to SAP APO through controlled integration.</w:t>
      </w:r>
    </w:p>
    <w:p>
      <w:pPr>
        <w:pStyle w:val="ListBullet"/>
        <w:spacing w:after="40"/>
        <w:ind w:left="259"/>
      </w:pPr>
      <w:r>
        <w:rPr>
          <w:color w:val="1B2A41"/>
          <w:sz w:val="19"/>
        </w:rPr>
        <w:t>CIF is treated as the SAP APO integration mechanism for master and transaction data; the report documents the sequence conceptually rather than claiming a live interface run.</w:t>
      </w:r>
    </w:p>
    <w:p>
      <w:pPr>
        <w:pStyle w:val="ListBullet"/>
        <w:spacing w:after="40"/>
        <w:ind w:left="259"/>
      </w:pPr>
      <w:r>
        <w:rPr>
          <w:color w:val="1B2A41"/>
          <w:sz w:val="19"/>
        </w:rPr>
        <w:t>Inventory targets are differentiated by location instead of using one blanket safety-stock value for all DCs.</w:t>
      </w:r>
    </w:p>
    <w:p>
      <w:r>
        <w:br w:type="page"/>
      </w:r>
    </w:p>
    <w:p>
      <w:pPr>
        <w:pStyle w:val="Heading1"/>
        <w:spacing w:before="60" w:after="100"/>
      </w:pPr>
      <w:r>
        <w:t>3. Master Data Analysis</w:t>
      </w:r>
    </w:p>
    <w:p>
      <w:pPr>
        <w:spacing w:after="100" w:line="259" w:lineRule="auto"/>
      </w:pPr>
      <w:r>
        <w:rPr>
          <w:color w:val="1B2A41"/>
          <w:sz w:val="20"/>
        </w:rPr>
        <w:t>SAP APO planning depends on a connected set of master-data objects. I reviewed the objects that have the greatest effect on inventory and grouped them by the planning decision they influence.</w:t>
      </w:r>
    </w:p>
    <w:tbl>
      <w:tblPr>
        <w:tblStyle w:val="TableGrid"/>
        <w:tblW w:type="auto" w:w="0"/>
        <w:jc w:val="center"/>
        <w:tblLook w:firstColumn="1" w:firstRow="1" w:lastColumn="0" w:lastRow="0" w:noHBand="0" w:noVBand="1" w:val="04A0"/>
      </w:tblPr>
      <w:tblGrid>
        <w:gridCol w:w="3456"/>
        <w:gridCol w:w="3456"/>
        <w:gridCol w:w="3456"/>
      </w:tblGrid>
      <w:tr>
        <w:tc>
          <w:tcPr>
            <w:tcW w:type="dxa" w:w="2088"/>
            <w:vAlign w:val="center"/>
            <w:shd w:fill="23395B"/>
            <w:tcMar>
              <w:top w:w="70" w:type="dxa"/>
              <w:start w:w="80" w:type="dxa"/>
              <w:bottom w:w="70" w:type="dxa"/>
              <w:end w:w="80" w:type="dxa"/>
            </w:tcMar>
          </w:tcPr>
          <w:p>
            <w:pPr>
              <w:jc w:val="center"/>
            </w:pPr>
            <w:r/>
            <w:r>
              <w:rPr>
                <w:rFonts w:ascii="Aptos" w:hAnsi="Aptos"/>
                <w:b/>
                <w:color w:val="FFFFFF"/>
                <w:sz w:val="17"/>
              </w:rPr>
              <w:t>Master-data object</w:t>
            </w:r>
          </w:p>
        </w:tc>
        <w:tc>
          <w:tcPr>
            <w:tcW w:type="dxa" w:w="3960"/>
            <w:vAlign w:val="center"/>
            <w:shd w:fill="23395B"/>
            <w:tcMar>
              <w:top w:w="70" w:type="dxa"/>
              <w:start w:w="80" w:type="dxa"/>
              <w:bottom w:w="70" w:type="dxa"/>
              <w:end w:w="80" w:type="dxa"/>
            </w:tcMar>
          </w:tcPr>
          <w:p>
            <w:pPr>
              <w:jc w:val="center"/>
            </w:pPr>
            <w:r/>
            <w:r>
              <w:rPr>
                <w:rFonts w:ascii="Aptos" w:hAnsi="Aptos"/>
                <w:b/>
                <w:color w:val="FFFFFF"/>
                <w:sz w:val="17"/>
              </w:rPr>
              <w:t>Key attributes reviewed</w:t>
            </w:r>
          </w:p>
        </w:tc>
        <w:tc>
          <w:tcPr>
            <w:tcW w:type="dxa" w:w="4104"/>
            <w:vAlign w:val="center"/>
            <w:shd w:fill="23395B"/>
            <w:tcMar>
              <w:top w:w="70" w:type="dxa"/>
              <w:start w:w="80" w:type="dxa"/>
              <w:bottom w:w="70" w:type="dxa"/>
              <w:end w:w="80" w:type="dxa"/>
            </w:tcMar>
          </w:tcPr>
          <w:p>
            <w:pPr>
              <w:jc w:val="center"/>
            </w:pPr>
            <w:r/>
            <w:r>
              <w:rPr>
                <w:rFonts w:ascii="Aptos" w:hAnsi="Aptos"/>
                <w:b/>
                <w:color w:val="FFFFFF"/>
                <w:sz w:val="17"/>
              </w:rPr>
              <w:t>Inventory impact</w:t>
            </w:r>
          </w:p>
        </w:tc>
      </w:tr>
      <w:tr>
        <w:tc>
          <w:tcPr>
            <w:tcW w:type="dxa" w:w="2088"/>
            <w:vAlign w:val="center"/>
            <w:tcMar>
              <w:top w:w="70" w:type="dxa"/>
              <w:start w:w="80" w:type="dxa"/>
              <w:bottom w:w="70" w:type="dxa"/>
              <w:end w:w="80" w:type="dxa"/>
            </w:tcMar>
          </w:tcPr>
          <w:p>
            <w:r/>
            <w:r>
              <w:rPr>
                <w:rFonts w:ascii="Aptos" w:hAnsi="Aptos"/>
                <w:b w:val="0"/>
                <w:color w:val="1B2A41"/>
                <w:sz w:val="15"/>
              </w:rPr>
              <w:t>Product</w:t>
            </w:r>
          </w:p>
        </w:tc>
        <w:tc>
          <w:tcPr>
            <w:tcW w:type="dxa" w:w="3960"/>
            <w:vAlign w:val="center"/>
            <w:tcMar>
              <w:top w:w="70" w:type="dxa"/>
              <w:start w:w="80" w:type="dxa"/>
              <w:bottom w:w="70" w:type="dxa"/>
              <w:end w:w="80" w:type="dxa"/>
            </w:tcMar>
          </w:tcPr>
          <w:p>
            <w:r/>
            <w:r>
              <w:rPr>
                <w:rFonts w:ascii="Aptos" w:hAnsi="Aptos"/>
                <w:b w:val="0"/>
                <w:color w:val="1B2A41"/>
                <w:sz w:val="15"/>
              </w:rPr>
              <w:t>Product ID, description, base UoM, product hierarchy, status, lot-size settings</w:t>
            </w:r>
          </w:p>
        </w:tc>
        <w:tc>
          <w:tcPr>
            <w:tcW w:type="dxa" w:w="4104"/>
            <w:vAlign w:val="center"/>
            <w:tcMar>
              <w:top w:w="70" w:type="dxa"/>
              <w:start w:w="80" w:type="dxa"/>
              <w:bottom w:w="70" w:type="dxa"/>
              <w:end w:w="80" w:type="dxa"/>
            </w:tcMar>
          </w:tcPr>
          <w:p>
            <w:r/>
            <w:r>
              <w:rPr>
                <w:rFonts w:ascii="Aptos" w:hAnsi="Aptos"/>
                <w:b w:val="0"/>
                <w:color w:val="1B2A41"/>
                <w:sz w:val="15"/>
              </w:rPr>
              <w:t>Incorrect UoM or lot size can create over-ordering, under-ordering or impossible quantities.</w:t>
            </w:r>
          </w:p>
        </w:tc>
      </w:tr>
      <w:tr>
        <w:tc>
          <w:tcPr>
            <w:tcW w:type="dxa" w:w="2088"/>
            <w:vAlign w:val="center"/>
            <w:tcMar>
              <w:top w:w="70" w:type="dxa"/>
              <w:start w:w="80" w:type="dxa"/>
              <w:bottom w:w="70" w:type="dxa"/>
              <w:end w:w="80" w:type="dxa"/>
            </w:tcMar>
            <w:shd w:fill="F7F9FB"/>
          </w:tcPr>
          <w:p>
            <w:r/>
            <w:r>
              <w:rPr>
                <w:rFonts w:ascii="Aptos" w:hAnsi="Aptos"/>
                <w:b w:val="0"/>
                <w:color w:val="1B2A41"/>
                <w:sz w:val="15"/>
              </w:rPr>
              <w:t>Location</w:t>
            </w:r>
          </w:p>
        </w:tc>
        <w:tc>
          <w:tcPr>
            <w:tcW w:type="dxa" w:w="3960"/>
            <w:vAlign w:val="center"/>
            <w:tcMar>
              <w:top w:w="70" w:type="dxa"/>
              <w:start w:w="80" w:type="dxa"/>
              <w:bottom w:w="70" w:type="dxa"/>
              <w:end w:w="80" w:type="dxa"/>
            </w:tcMar>
            <w:shd w:fill="F7F9FB"/>
          </w:tcPr>
          <w:p>
            <w:r/>
            <w:r>
              <w:rPr>
                <w:rFonts w:ascii="Aptos" w:hAnsi="Aptos"/>
                <w:b w:val="0"/>
                <w:color w:val="1B2A41"/>
                <w:sz w:val="15"/>
              </w:rPr>
              <w:t>Location type, address, calendar, time zone, handling/receiving constraints</w:t>
            </w:r>
          </w:p>
        </w:tc>
        <w:tc>
          <w:tcPr>
            <w:tcW w:type="dxa" w:w="4104"/>
            <w:vAlign w:val="center"/>
            <w:tcMar>
              <w:top w:w="70" w:type="dxa"/>
              <w:start w:w="80" w:type="dxa"/>
              <w:bottom w:w="70" w:type="dxa"/>
              <w:end w:w="80" w:type="dxa"/>
            </w:tcMar>
            <w:shd w:fill="F7F9FB"/>
          </w:tcPr>
          <w:p>
            <w:r/>
            <w:r>
              <w:rPr>
                <w:rFonts w:ascii="Aptos" w:hAnsi="Aptos"/>
                <w:b w:val="0"/>
                <w:color w:val="1B2A41"/>
                <w:sz w:val="15"/>
              </w:rPr>
              <w:t>Defines where stock is held and whether receipts can be planned on valid dates.</w:t>
            </w:r>
          </w:p>
        </w:tc>
      </w:tr>
      <w:tr>
        <w:tc>
          <w:tcPr>
            <w:tcW w:type="dxa" w:w="2088"/>
            <w:vAlign w:val="center"/>
            <w:tcMar>
              <w:top w:w="70" w:type="dxa"/>
              <w:start w:w="80" w:type="dxa"/>
              <w:bottom w:w="70" w:type="dxa"/>
              <w:end w:w="80" w:type="dxa"/>
            </w:tcMar>
          </w:tcPr>
          <w:p>
            <w:r/>
            <w:r>
              <w:rPr>
                <w:rFonts w:ascii="Aptos" w:hAnsi="Aptos"/>
                <w:b w:val="0"/>
                <w:color w:val="1B2A41"/>
                <w:sz w:val="15"/>
              </w:rPr>
              <w:t>Location-product</w:t>
            </w:r>
          </w:p>
        </w:tc>
        <w:tc>
          <w:tcPr>
            <w:tcW w:type="dxa" w:w="3960"/>
            <w:vAlign w:val="center"/>
            <w:tcMar>
              <w:top w:w="70" w:type="dxa"/>
              <w:start w:w="80" w:type="dxa"/>
              <w:bottom w:w="70" w:type="dxa"/>
              <w:end w:w="80" w:type="dxa"/>
            </w:tcMar>
          </w:tcPr>
          <w:p>
            <w:r/>
            <w:r>
              <w:rPr>
                <w:rFonts w:ascii="Aptos" w:hAnsi="Aptos"/>
                <w:b w:val="0"/>
                <w:color w:val="1B2A41"/>
                <w:sz w:val="15"/>
              </w:rPr>
              <w:t>Safety stock method, service level, lot size, procurement settings, horizons</w:t>
            </w:r>
          </w:p>
        </w:tc>
        <w:tc>
          <w:tcPr>
            <w:tcW w:type="dxa" w:w="4104"/>
            <w:vAlign w:val="center"/>
            <w:tcMar>
              <w:top w:w="70" w:type="dxa"/>
              <w:start w:w="80" w:type="dxa"/>
              <w:bottom w:w="70" w:type="dxa"/>
              <w:end w:w="80" w:type="dxa"/>
            </w:tcMar>
          </w:tcPr>
          <w:p>
            <w:r/>
            <w:r>
              <w:rPr>
                <w:rFonts w:ascii="Aptos" w:hAnsi="Aptos"/>
                <w:b w:val="0"/>
                <w:color w:val="1B2A41"/>
                <w:sz w:val="15"/>
              </w:rPr>
              <w:t>Main object for differentiated inventory policy by product and location.</w:t>
            </w:r>
          </w:p>
        </w:tc>
      </w:tr>
      <w:tr>
        <w:tc>
          <w:tcPr>
            <w:tcW w:type="dxa" w:w="2088"/>
            <w:vAlign w:val="center"/>
            <w:tcMar>
              <w:top w:w="70" w:type="dxa"/>
              <w:start w:w="80" w:type="dxa"/>
              <w:bottom w:w="70" w:type="dxa"/>
              <w:end w:w="80" w:type="dxa"/>
            </w:tcMar>
            <w:shd w:fill="F7F9FB"/>
          </w:tcPr>
          <w:p>
            <w:r/>
            <w:r>
              <w:rPr>
                <w:rFonts w:ascii="Aptos" w:hAnsi="Aptos"/>
                <w:b w:val="0"/>
                <w:color w:val="1B2A41"/>
                <w:sz w:val="15"/>
              </w:rPr>
              <w:t>Resource</w:t>
            </w:r>
          </w:p>
        </w:tc>
        <w:tc>
          <w:tcPr>
            <w:tcW w:type="dxa" w:w="3960"/>
            <w:vAlign w:val="center"/>
            <w:tcMar>
              <w:top w:w="70" w:type="dxa"/>
              <w:start w:w="80" w:type="dxa"/>
              <w:bottom w:w="70" w:type="dxa"/>
              <w:end w:w="80" w:type="dxa"/>
            </w:tcMar>
            <w:shd w:fill="F7F9FB"/>
          </w:tcPr>
          <w:p>
            <w:r/>
            <w:r>
              <w:rPr>
                <w:rFonts w:ascii="Aptos" w:hAnsi="Aptos"/>
                <w:b w:val="0"/>
                <w:color w:val="1B2A41"/>
                <w:sz w:val="15"/>
              </w:rPr>
              <w:t>Capacity, calendar, utilization and availability</w:t>
            </w:r>
          </w:p>
        </w:tc>
        <w:tc>
          <w:tcPr>
            <w:tcW w:type="dxa" w:w="4104"/>
            <w:vAlign w:val="center"/>
            <w:tcMar>
              <w:top w:w="70" w:type="dxa"/>
              <w:start w:w="80" w:type="dxa"/>
              <w:bottom w:w="70" w:type="dxa"/>
              <w:end w:w="80" w:type="dxa"/>
            </w:tcMar>
            <w:shd w:fill="F7F9FB"/>
          </w:tcPr>
          <w:p>
            <w:r/>
            <w:r>
              <w:rPr>
                <w:rFonts w:ascii="Aptos" w:hAnsi="Aptos"/>
                <w:b w:val="0"/>
                <w:color w:val="1B2A41"/>
                <w:sz w:val="15"/>
              </w:rPr>
              <w:t>Limits how quickly inventory can be replenished from production.</w:t>
            </w:r>
          </w:p>
        </w:tc>
      </w:tr>
      <w:tr>
        <w:tc>
          <w:tcPr>
            <w:tcW w:type="dxa" w:w="2088"/>
            <w:vAlign w:val="center"/>
            <w:tcMar>
              <w:top w:w="70" w:type="dxa"/>
              <w:start w:w="80" w:type="dxa"/>
              <w:bottom w:w="70" w:type="dxa"/>
              <w:end w:w="80" w:type="dxa"/>
            </w:tcMar>
          </w:tcPr>
          <w:p>
            <w:r/>
            <w:r>
              <w:rPr>
                <w:rFonts w:ascii="Aptos" w:hAnsi="Aptos"/>
                <w:b w:val="0"/>
                <w:color w:val="1B2A41"/>
                <w:sz w:val="15"/>
              </w:rPr>
              <w:t>Production source / PDS or PPM</w:t>
            </w:r>
          </w:p>
        </w:tc>
        <w:tc>
          <w:tcPr>
            <w:tcW w:type="dxa" w:w="3960"/>
            <w:vAlign w:val="center"/>
            <w:tcMar>
              <w:top w:w="70" w:type="dxa"/>
              <w:start w:w="80" w:type="dxa"/>
              <w:bottom w:w="70" w:type="dxa"/>
              <w:end w:w="80" w:type="dxa"/>
            </w:tcMar>
          </w:tcPr>
          <w:p>
            <w:r/>
            <w:r>
              <w:rPr>
                <w:rFonts w:ascii="Aptos" w:hAnsi="Aptos"/>
                <w:b w:val="0"/>
                <w:color w:val="1B2A41"/>
                <w:sz w:val="15"/>
              </w:rPr>
              <w:t>Input/output quantities, duration, resource usage</w:t>
            </w:r>
          </w:p>
        </w:tc>
        <w:tc>
          <w:tcPr>
            <w:tcW w:type="dxa" w:w="4104"/>
            <w:vAlign w:val="center"/>
            <w:tcMar>
              <w:top w:w="70" w:type="dxa"/>
              <w:start w:w="80" w:type="dxa"/>
              <w:bottom w:w="70" w:type="dxa"/>
              <w:end w:w="80" w:type="dxa"/>
            </w:tcMar>
          </w:tcPr>
          <w:p>
            <w:r/>
            <w:r>
              <w:rPr>
                <w:rFonts w:ascii="Aptos" w:hAnsi="Aptos"/>
                <w:b w:val="0"/>
                <w:color w:val="1B2A41"/>
                <w:sz w:val="15"/>
              </w:rPr>
              <w:t>Determines feasible production receipts and lead time.</w:t>
            </w:r>
          </w:p>
        </w:tc>
      </w:tr>
      <w:tr>
        <w:tc>
          <w:tcPr>
            <w:tcW w:type="dxa" w:w="2088"/>
            <w:vAlign w:val="center"/>
            <w:tcMar>
              <w:top w:w="70" w:type="dxa"/>
              <w:start w:w="80" w:type="dxa"/>
              <w:bottom w:w="70" w:type="dxa"/>
              <w:end w:w="80" w:type="dxa"/>
            </w:tcMar>
            <w:shd w:fill="F7F9FB"/>
          </w:tcPr>
          <w:p>
            <w:r/>
            <w:r>
              <w:rPr>
                <w:rFonts w:ascii="Aptos" w:hAnsi="Aptos"/>
                <w:b w:val="0"/>
                <w:color w:val="1B2A41"/>
                <w:sz w:val="15"/>
              </w:rPr>
              <w:t>Transportation lane</w:t>
            </w:r>
          </w:p>
        </w:tc>
        <w:tc>
          <w:tcPr>
            <w:tcW w:type="dxa" w:w="3960"/>
            <w:vAlign w:val="center"/>
            <w:tcMar>
              <w:top w:w="70" w:type="dxa"/>
              <w:start w:w="80" w:type="dxa"/>
              <w:bottom w:w="70" w:type="dxa"/>
              <w:end w:w="80" w:type="dxa"/>
            </w:tcMar>
            <w:shd w:fill="F7F9FB"/>
          </w:tcPr>
          <w:p>
            <w:r/>
            <w:r>
              <w:rPr>
                <w:rFonts w:ascii="Aptos" w:hAnsi="Aptos"/>
                <w:b w:val="0"/>
                <w:color w:val="1B2A41"/>
                <w:sz w:val="15"/>
              </w:rPr>
              <w:t>Source, destination, product assignment, transit time, means of transport</w:t>
            </w:r>
          </w:p>
        </w:tc>
        <w:tc>
          <w:tcPr>
            <w:tcW w:type="dxa" w:w="4104"/>
            <w:vAlign w:val="center"/>
            <w:tcMar>
              <w:top w:w="70" w:type="dxa"/>
              <w:start w:w="80" w:type="dxa"/>
              <w:bottom w:w="70" w:type="dxa"/>
              <w:end w:w="80" w:type="dxa"/>
            </w:tcMar>
            <w:shd w:fill="F7F9FB"/>
          </w:tcPr>
          <w:p>
            <w:r/>
            <w:r>
              <w:rPr>
                <w:rFonts w:ascii="Aptos" w:hAnsi="Aptos"/>
                <w:b w:val="0"/>
                <w:color w:val="1B2A41"/>
                <w:sz w:val="15"/>
              </w:rPr>
              <w:t>Directly affects replenishment lead time and pipeline stock.</w:t>
            </w:r>
          </w:p>
        </w:tc>
      </w:tr>
      <w:tr>
        <w:tc>
          <w:tcPr>
            <w:tcW w:type="dxa" w:w="2088"/>
            <w:vAlign w:val="center"/>
            <w:tcMar>
              <w:top w:w="70" w:type="dxa"/>
              <w:start w:w="80" w:type="dxa"/>
              <w:bottom w:w="70" w:type="dxa"/>
              <w:end w:w="80" w:type="dxa"/>
            </w:tcMar>
          </w:tcPr>
          <w:p>
            <w:r/>
            <w:r>
              <w:rPr>
                <w:rFonts w:ascii="Aptos" w:hAnsi="Aptos"/>
                <w:b w:val="0"/>
                <w:color w:val="1B2A41"/>
                <w:sz w:val="15"/>
              </w:rPr>
              <w:t>Source of supply / quota</w:t>
            </w:r>
          </w:p>
        </w:tc>
        <w:tc>
          <w:tcPr>
            <w:tcW w:type="dxa" w:w="3960"/>
            <w:vAlign w:val="center"/>
            <w:tcMar>
              <w:top w:w="70" w:type="dxa"/>
              <w:start w:w="80" w:type="dxa"/>
              <w:bottom w:w="70" w:type="dxa"/>
              <w:end w:w="80" w:type="dxa"/>
            </w:tcMar>
          </w:tcPr>
          <w:p>
            <w:r/>
            <w:r>
              <w:rPr>
                <w:rFonts w:ascii="Aptos" w:hAnsi="Aptos"/>
                <w:b w:val="0"/>
                <w:color w:val="1B2A41"/>
                <w:sz w:val="15"/>
              </w:rPr>
              <w:t>Eligible suppliers, priorities, quota shares</w:t>
            </w:r>
          </w:p>
        </w:tc>
        <w:tc>
          <w:tcPr>
            <w:tcW w:type="dxa" w:w="4104"/>
            <w:vAlign w:val="center"/>
            <w:tcMar>
              <w:top w:w="70" w:type="dxa"/>
              <w:start w:w="80" w:type="dxa"/>
              <w:bottom w:w="70" w:type="dxa"/>
              <w:end w:w="80" w:type="dxa"/>
            </w:tcMar>
          </w:tcPr>
          <w:p>
            <w:r/>
            <w:r>
              <w:rPr>
                <w:rFonts w:ascii="Aptos" w:hAnsi="Aptos"/>
                <w:b w:val="0"/>
                <w:color w:val="1B2A41"/>
                <w:sz w:val="15"/>
              </w:rPr>
              <w:t>Balances cost, resilience and supplier dependency.</w:t>
            </w:r>
          </w:p>
        </w:tc>
      </w:tr>
      <w:tr>
        <w:tc>
          <w:tcPr>
            <w:tcW w:type="dxa" w:w="2088"/>
            <w:vAlign w:val="center"/>
            <w:tcMar>
              <w:top w:w="70" w:type="dxa"/>
              <w:start w:w="80" w:type="dxa"/>
              <w:bottom w:w="70" w:type="dxa"/>
              <w:end w:w="80" w:type="dxa"/>
            </w:tcMar>
            <w:shd w:fill="F7F9FB"/>
          </w:tcPr>
          <w:p>
            <w:r/>
            <w:r>
              <w:rPr>
                <w:rFonts w:ascii="Aptos" w:hAnsi="Aptos"/>
                <w:b w:val="0"/>
                <w:color w:val="1B2A41"/>
                <w:sz w:val="15"/>
              </w:rPr>
              <w:t>Calendars</w:t>
            </w:r>
          </w:p>
        </w:tc>
        <w:tc>
          <w:tcPr>
            <w:tcW w:type="dxa" w:w="3960"/>
            <w:vAlign w:val="center"/>
            <w:tcMar>
              <w:top w:w="70" w:type="dxa"/>
              <w:start w:w="80" w:type="dxa"/>
              <w:bottom w:w="70" w:type="dxa"/>
              <w:end w:w="80" w:type="dxa"/>
            </w:tcMar>
            <w:shd w:fill="F7F9FB"/>
          </w:tcPr>
          <w:p>
            <w:r/>
            <w:r>
              <w:rPr>
                <w:rFonts w:ascii="Aptos" w:hAnsi="Aptos"/>
                <w:b w:val="0"/>
                <w:color w:val="1B2A41"/>
                <w:sz w:val="15"/>
              </w:rPr>
              <w:t>Working days, holidays, shipping/receiving days</w:t>
            </w:r>
          </w:p>
        </w:tc>
        <w:tc>
          <w:tcPr>
            <w:tcW w:type="dxa" w:w="4104"/>
            <w:vAlign w:val="center"/>
            <w:tcMar>
              <w:top w:w="70" w:type="dxa"/>
              <w:start w:w="80" w:type="dxa"/>
              <w:bottom w:w="70" w:type="dxa"/>
              <w:end w:w="80" w:type="dxa"/>
            </w:tcMar>
            <w:shd w:fill="F7F9FB"/>
          </w:tcPr>
          <w:p>
            <w:r/>
            <w:r>
              <w:rPr>
                <w:rFonts w:ascii="Aptos" w:hAnsi="Aptos"/>
                <w:b w:val="0"/>
                <w:color w:val="1B2A41"/>
                <w:sz w:val="15"/>
              </w:rPr>
              <w:t>Prevents false availability and unrealistic lead-time calculations.</w:t>
            </w:r>
          </w:p>
        </w:tc>
      </w:tr>
    </w:tbl>
    <w:p>
      <w:pPr>
        <w:pStyle w:val="Heading2"/>
        <w:spacing w:before="60" w:after="100"/>
      </w:pPr>
      <w:r>
        <w:t>3.1 Data-quality dimensions</w:t>
      </w:r>
    </w:p>
    <w:tbl>
      <w:tblPr>
        <w:tblStyle w:val="TableGrid"/>
        <w:tblW w:type="auto" w:w="0"/>
        <w:jc w:val="center"/>
        <w:tblLook w:firstColumn="1" w:firstRow="1" w:lastColumn="0" w:lastRow="0" w:noHBand="0" w:noVBand="1" w:val="04A0"/>
      </w:tblPr>
      <w:tblGrid>
        <w:gridCol w:w="3456"/>
        <w:gridCol w:w="3456"/>
        <w:gridCol w:w="3456"/>
      </w:tblGrid>
      <w:tr>
        <w:tc>
          <w:tcPr>
            <w:tcW w:type="dxa" w:w="1944"/>
            <w:vAlign w:val="center"/>
            <w:shd w:fill="23395B"/>
            <w:tcMar>
              <w:top w:w="70" w:type="dxa"/>
              <w:start w:w="80" w:type="dxa"/>
              <w:bottom w:w="70" w:type="dxa"/>
              <w:end w:w="80" w:type="dxa"/>
            </w:tcMar>
          </w:tcPr>
          <w:p>
            <w:pPr>
              <w:jc w:val="center"/>
            </w:pPr>
            <w:r/>
            <w:r>
              <w:rPr>
                <w:rFonts w:ascii="Aptos" w:hAnsi="Aptos"/>
                <w:b/>
                <w:color w:val="FFFFFF"/>
                <w:sz w:val="17"/>
              </w:rPr>
              <w:t>Dimension</w:t>
            </w:r>
          </w:p>
        </w:tc>
        <w:tc>
          <w:tcPr>
            <w:tcW w:type="dxa" w:w="5112"/>
            <w:vAlign w:val="center"/>
            <w:shd w:fill="23395B"/>
            <w:tcMar>
              <w:top w:w="70" w:type="dxa"/>
              <w:start w:w="80" w:type="dxa"/>
              <w:bottom w:w="70" w:type="dxa"/>
              <w:end w:w="80" w:type="dxa"/>
            </w:tcMar>
          </w:tcPr>
          <w:p>
            <w:pPr>
              <w:jc w:val="center"/>
            </w:pPr>
            <w:r/>
            <w:r>
              <w:rPr>
                <w:rFonts w:ascii="Aptos" w:hAnsi="Aptos"/>
                <w:b/>
                <w:color w:val="FFFFFF"/>
                <w:sz w:val="17"/>
              </w:rPr>
              <w:t>Example check</w:t>
            </w:r>
          </w:p>
        </w:tc>
        <w:tc>
          <w:tcPr>
            <w:tcW w:type="dxa" w:w="3024"/>
            <w:vAlign w:val="center"/>
            <w:shd w:fill="23395B"/>
            <w:tcMar>
              <w:top w:w="70" w:type="dxa"/>
              <w:start w:w="80" w:type="dxa"/>
              <w:bottom w:w="70" w:type="dxa"/>
              <w:end w:w="80" w:type="dxa"/>
            </w:tcMar>
          </w:tcPr>
          <w:p>
            <w:pPr>
              <w:jc w:val="center"/>
            </w:pPr>
            <w:r/>
            <w:r>
              <w:rPr>
                <w:rFonts w:ascii="Aptos" w:hAnsi="Aptos"/>
                <w:b/>
                <w:color w:val="FFFFFF"/>
                <w:sz w:val="17"/>
              </w:rPr>
              <w:t>Target</w:t>
            </w:r>
          </w:p>
        </w:tc>
      </w:tr>
      <w:tr>
        <w:tc>
          <w:tcPr>
            <w:tcW w:type="dxa" w:w="1944"/>
            <w:vAlign w:val="center"/>
            <w:tcMar>
              <w:top w:w="70" w:type="dxa"/>
              <w:start w:w="80" w:type="dxa"/>
              <w:bottom w:w="70" w:type="dxa"/>
              <w:end w:w="80" w:type="dxa"/>
            </w:tcMar>
          </w:tcPr>
          <w:p>
            <w:r/>
            <w:r>
              <w:rPr>
                <w:rFonts w:ascii="Aptos" w:hAnsi="Aptos"/>
                <w:b w:val="0"/>
                <w:color w:val="1B2A41"/>
                <w:sz w:val="16"/>
              </w:rPr>
              <w:t>Completeness</w:t>
            </w:r>
          </w:p>
        </w:tc>
        <w:tc>
          <w:tcPr>
            <w:tcW w:type="dxa" w:w="5112"/>
            <w:vAlign w:val="center"/>
            <w:tcMar>
              <w:top w:w="70" w:type="dxa"/>
              <w:start w:w="80" w:type="dxa"/>
              <w:bottom w:w="70" w:type="dxa"/>
              <w:end w:w="80" w:type="dxa"/>
            </w:tcMar>
          </w:tcPr>
          <w:p>
            <w:r/>
            <w:r>
              <w:rPr>
                <w:rFonts w:ascii="Aptos" w:hAnsi="Aptos"/>
                <w:b w:val="0"/>
                <w:color w:val="1B2A41"/>
                <w:sz w:val="16"/>
              </w:rPr>
              <w:t>Required location-product planning fields populated</w:t>
            </w:r>
          </w:p>
        </w:tc>
        <w:tc>
          <w:tcPr>
            <w:tcW w:type="dxa" w:w="3024"/>
            <w:vAlign w:val="center"/>
            <w:tcMar>
              <w:top w:w="70" w:type="dxa"/>
              <w:start w:w="80" w:type="dxa"/>
              <w:bottom w:w="70" w:type="dxa"/>
              <w:end w:w="80" w:type="dxa"/>
            </w:tcMar>
          </w:tcPr>
          <w:p>
            <w:r/>
            <w:r>
              <w:rPr>
                <w:rFonts w:ascii="Aptos" w:hAnsi="Aptos"/>
                <w:b w:val="0"/>
                <w:color w:val="1B2A41"/>
                <w:sz w:val="16"/>
              </w:rPr>
              <w:t>≥ 98%</w:t>
            </w:r>
          </w:p>
        </w:tc>
      </w:tr>
      <w:tr>
        <w:tc>
          <w:tcPr>
            <w:tcW w:type="dxa" w:w="1944"/>
            <w:vAlign w:val="center"/>
            <w:tcMar>
              <w:top w:w="70" w:type="dxa"/>
              <w:start w:w="80" w:type="dxa"/>
              <w:bottom w:w="70" w:type="dxa"/>
              <w:end w:w="80" w:type="dxa"/>
            </w:tcMar>
            <w:shd w:fill="F7F9FB"/>
          </w:tcPr>
          <w:p>
            <w:r/>
            <w:r>
              <w:rPr>
                <w:rFonts w:ascii="Aptos" w:hAnsi="Aptos"/>
                <w:b w:val="0"/>
                <w:color w:val="1B2A41"/>
                <w:sz w:val="16"/>
              </w:rPr>
              <w:t>Validity</w:t>
            </w:r>
          </w:p>
        </w:tc>
        <w:tc>
          <w:tcPr>
            <w:tcW w:type="dxa" w:w="5112"/>
            <w:vAlign w:val="center"/>
            <w:tcMar>
              <w:top w:w="70" w:type="dxa"/>
              <w:start w:w="80" w:type="dxa"/>
              <w:bottom w:w="70" w:type="dxa"/>
              <w:end w:w="80" w:type="dxa"/>
            </w:tcMar>
            <w:shd w:fill="F7F9FB"/>
          </w:tcPr>
          <w:p>
            <w:r/>
            <w:r>
              <w:rPr>
                <w:rFonts w:ascii="Aptos" w:hAnsi="Aptos"/>
                <w:b w:val="0"/>
                <w:color w:val="1B2A41"/>
                <w:sz w:val="16"/>
              </w:rPr>
              <w:t>Lead times &gt; 0; service level within allowed range; valid UoM</w:t>
            </w:r>
          </w:p>
        </w:tc>
        <w:tc>
          <w:tcPr>
            <w:tcW w:type="dxa" w:w="3024"/>
            <w:vAlign w:val="center"/>
            <w:tcMar>
              <w:top w:w="70" w:type="dxa"/>
              <w:start w:w="80" w:type="dxa"/>
              <w:bottom w:w="70" w:type="dxa"/>
              <w:end w:w="80" w:type="dxa"/>
            </w:tcMar>
            <w:shd w:fill="F7F9FB"/>
          </w:tcPr>
          <w:p>
            <w:r/>
            <w:r>
              <w:rPr>
                <w:rFonts w:ascii="Aptos" w:hAnsi="Aptos"/>
                <w:b w:val="0"/>
                <w:color w:val="1B2A41"/>
                <w:sz w:val="16"/>
              </w:rPr>
              <w:t>100% critical fields valid</w:t>
            </w:r>
          </w:p>
        </w:tc>
      </w:tr>
      <w:tr>
        <w:tc>
          <w:tcPr>
            <w:tcW w:type="dxa" w:w="1944"/>
            <w:vAlign w:val="center"/>
            <w:tcMar>
              <w:top w:w="70" w:type="dxa"/>
              <w:start w:w="80" w:type="dxa"/>
              <w:bottom w:w="70" w:type="dxa"/>
              <w:end w:w="80" w:type="dxa"/>
            </w:tcMar>
          </w:tcPr>
          <w:p>
            <w:r/>
            <w:r>
              <w:rPr>
                <w:rFonts w:ascii="Aptos" w:hAnsi="Aptos"/>
                <w:b w:val="0"/>
                <w:color w:val="1B2A41"/>
                <w:sz w:val="16"/>
              </w:rPr>
              <w:t>Uniqueness</w:t>
            </w:r>
          </w:p>
        </w:tc>
        <w:tc>
          <w:tcPr>
            <w:tcW w:type="dxa" w:w="5112"/>
            <w:vAlign w:val="center"/>
            <w:tcMar>
              <w:top w:w="70" w:type="dxa"/>
              <w:start w:w="80" w:type="dxa"/>
              <w:bottom w:w="70" w:type="dxa"/>
              <w:end w:w="80" w:type="dxa"/>
            </w:tcMar>
          </w:tcPr>
          <w:p>
            <w:r/>
            <w:r>
              <w:rPr>
                <w:rFonts w:ascii="Aptos" w:hAnsi="Aptos"/>
                <w:b w:val="0"/>
                <w:color w:val="1B2A41"/>
                <w:sz w:val="16"/>
              </w:rPr>
              <w:t>No duplicate product-location or source records</w:t>
            </w:r>
          </w:p>
        </w:tc>
        <w:tc>
          <w:tcPr>
            <w:tcW w:type="dxa" w:w="3024"/>
            <w:vAlign w:val="center"/>
            <w:tcMar>
              <w:top w:w="70" w:type="dxa"/>
              <w:start w:w="80" w:type="dxa"/>
              <w:bottom w:w="70" w:type="dxa"/>
              <w:end w:w="80" w:type="dxa"/>
            </w:tcMar>
          </w:tcPr>
          <w:p>
            <w:r/>
            <w:r>
              <w:rPr>
                <w:rFonts w:ascii="Aptos" w:hAnsi="Aptos"/>
                <w:b w:val="0"/>
                <w:color w:val="1B2A41"/>
                <w:sz w:val="16"/>
              </w:rPr>
              <w:t>0 duplicates</w:t>
            </w:r>
          </w:p>
        </w:tc>
      </w:tr>
      <w:tr>
        <w:tc>
          <w:tcPr>
            <w:tcW w:type="dxa" w:w="1944"/>
            <w:vAlign w:val="center"/>
            <w:tcMar>
              <w:top w:w="70" w:type="dxa"/>
              <w:start w:w="80" w:type="dxa"/>
              <w:bottom w:w="70" w:type="dxa"/>
              <w:end w:w="80" w:type="dxa"/>
            </w:tcMar>
            <w:shd w:fill="F7F9FB"/>
          </w:tcPr>
          <w:p>
            <w:r/>
            <w:r>
              <w:rPr>
                <w:rFonts w:ascii="Aptos" w:hAnsi="Aptos"/>
                <w:b w:val="0"/>
                <w:color w:val="1B2A41"/>
                <w:sz w:val="16"/>
              </w:rPr>
              <w:t>Consistency</w:t>
            </w:r>
          </w:p>
        </w:tc>
        <w:tc>
          <w:tcPr>
            <w:tcW w:type="dxa" w:w="5112"/>
            <w:vAlign w:val="center"/>
            <w:tcMar>
              <w:top w:w="70" w:type="dxa"/>
              <w:start w:w="80" w:type="dxa"/>
              <w:bottom w:w="70" w:type="dxa"/>
              <w:end w:w="80" w:type="dxa"/>
            </w:tcMar>
            <w:shd w:fill="F7F9FB"/>
          </w:tcPr>
          <w:p>
            <w:r/>
            <w:r>
              <w:rPr>
                <w:rFonts w:ascii="Aptos" w:hAnsi="Aptos"/>
                <w:b w:val="0"/>
                <w:color w:val="1B2A41"/>
                <w:sz w:val="16"/>
              </w:rPr>
              <w:t>Same base UoM and location code across source and target</w:t>
            </w:r>
          </w:p>
        </w:tc>
        <w:tc>
          <w:tcPr>
            <w:tcW w:type="dxa" w:w="3024"/>
            <w:vAlign w:val="center"/>
            <w:tcMar>
              <w:top w:w="70" w:type="dxa"/>
              <w:start w:w="80" w:type="dxa"/>
              <w:bottom w:w="70" w:type="dxa"/>
              <w:end w:w="80" w:type="dxa"/>
            </w:tcMar>
            <w:shd w:fill="F7F9FB"/>
          </w:tcPr>
          <w:p>
            <w:r/>
            <w:r>
              <w:rPr>
                <w:rFonts w:ascii="Aptos" w:hAnsi="Aptos"/>
                <w:b w:val="0"/>
                <w:color w:val="1B2A41"/>
                <w:sz w:val="16"/>
              </w:rPr>
              <w:t>100% mapped objects</w:t>
            </w:r>
          </w:p>
        </w:tc>
      </w:tr>
      <w:tr>
        <w:tc>
          <w:tcPr>
            <w:tcW w:type="dxa" w:w="1944"/>
            <w:vAlign w:val="center"/>
            <w:tcMar>
              <w:top w:w="70" w:type="dxa"/>
              <w:start w:w="80" w:type="dxa"/>
              <w:bottom w:w="70" w:type="dxa"/>
              <w:end w:w="80" w:type="dxa"/>
            </w:tcMar>
          </w:tcPr>
          <w:p>
            <w:r/>
            <w:r>
              <w:rPr>
                <w:rFonts w:ascii="Aptos" w:hAnsi="Aptos"/>
                <w:b w:val="0"/>
                <w:color w:val="1B2A41"/>
                <w:sz w:val="16"/>
              </w:rPr>
              <w:t>Timeliness</w:t>
            </w:r>
          </w:p>
        </w:tc>
        <w:tc>
          <w:tcPr>
            <w:tcW w:type="dxa" w:w="5112"/>
            <w:vAlign w:val="center"/>
            <w:tcMar>
              <w:top w:w="70" w:type="dxa"/>
              <w:start w:w="80" w:type="dxa"/>
              <w:bottom w:w="70" w:type="dxa"/>
              <w:end w:w="80" w:type="dxa"/>
            </w:tcMar>
          </w:tcPr>
          <w:p>
            <w:r/>
            <w:r>
              <w:rPr>
                <w:rFonts w:ascii="Aptos" w:hAnsi="Aptos"/>
                <w:b w:val="0"/>
                <w:color w:val="1B2A41"/>
                <w:sz w:val="16"/>
              </w:rPr>
              <w:t>Recent lead-time and demand-history refresh</w:t>
            </w:r>
          </w:p>
        </w:tc>
        <w:tc>
          <w:tcPr>
            <w:tcW w:type="dxa" w:w="3024"/>
            <w:vAlign w:val="center"/>
            <w:tcMar>
              <w:top w:w="70" w:type="dxa"/>
              <w:start w:w="80" w:type="dxa"/>
              <w:bottom w:w="70" w:type="dxa"/>
              <w:end w:w="80" w:type="dxa"/>
            </w:tcMar>
          </w:tcPr>
          <w:p>
            <w:r/>
            <w:r>
              <w:rPr>
                <w:rFonts w:ascii="Aptos" w:hAnsi="Aptos"/>
                <w:b w:val="0"/>
                <w:color w:val="1B2A41"/>
                <w:sz w:val="16"/>
              </w:rPr>
              <w:t>Per weekly/monthly governance calendar</w:t>
            </w:r>
          </w:p>
        </w:tc>
      </w:tr>
      <w:tr>
        <w:tc>
          <w:tcPr>
            <w:tcW w:type="dxa" w:w="1944"/>
            <w:vAlign w:val="center"/>
            <w:tcMar>
              <w:top w:w="70" w:type="dxa"/>
              <w:start w:w="80" w:type="dxa"/>
              <w:bottom w:w="70" w:type="dxa"/>
              <w:end w:w="80" w:type="dxa"/>
            </w:tcMar>
            <w:shd w:fill="F7F9FB"/>
          </w:tcPr>
          <w:p>
            <w:r/>
            <w:r>
              <w:rPr>
                <w:rFonts w:ascii="Aptos" w:hAnsi="Aptos"/>
                <w:b w:val="0"/>
                <w:color w:val="1B2A41"/>
                <w:sz w:val="16"/>
              </w:rPr>
              <w:t>Referential integrity</w:t>
            </w:r>
          </w:p>
        </w:tc>
        <w:tc>
          <w:tcPr>
            <w:tcW w:type="dxa" w:w="5112"/>
            <w:vAlign w:val="center"/>
            <w:tcMar>
              <w:top w:w="70" w:type="dxa"/>
              <w:start w:w="80" w:type="dxa"/>
              <w:bottom w:w="70" w:type="dxa"/>
              <w:end w:w="80" w:type="dxa"/>
            </w:tcMar>
            <w:shd w:fill="F7F9FB"/>
          </w:tcPr>
          <w:p>
            <w:r/>
            <w:r>
              <w:rPr>
                <w:rFonts w:ascii="Aptos" w:hAnsi="Aptos"/>
                <w:b w:val="0"/>
                <w:color w:val="1B2A41"/>
                <w:sz w:val="16"/>
              </w:rPr>
              <w:t>Every lane points to valid source/destination and product</w:t>
            </w:r>
          </w:p>
        </w:tc>
        <w:tc>
          <w:tcPr>
            <w:tcW w:type="dxa" w:w="3024"/>
            <w:vAlign w:val="center"/>
            <w:tcMar>
              <w:top w:w="70" w:type="dxa"/>
              <w:start w:w="80" w:type="dxa"/>
              <w:bottom w:w="70" w:type="dxa"/>
              <w:end w:w="80" w:type="dxa"/>
            </w:tcMar>
            <w:shd w:fill="F7F9FB"/>
          </w:tcPr>
          <w:p>
            <w:r/>
            <w:r>
              <w:rPr>
                <w:rFonts w:ascii="Aptos" w:hAnsi="Aptos"/>
                <w:b w:val="0"/>
                <w:color w:val="1B2A41"/>
                <w:sz w:val="16"/>
              </w:rPr>
              <w:t>100%</w:t>
            </w:r>
          </w:p>
        </w:tc>
      </w:tr>
    </w:tbl>
    <w:p>
      <w:r>
        <w:br w:type="page"/>
      </w:r>
    </w:p>
    <w:p>
      <w:pPr>
        <w:pStyle w:val="Heading1"/>
        <w:spacing w:before="60" w:after="100"/>
      </w:pPr>
      <w:r>
        <w:t>4. Inventory Performance Parameters</w:t>
      </w:r>
    </w:p>
    <w:p>
      <w:pPr>
        <w:spacing w:after="100" w:line="259" w:lineRule="auto"/>
      </w:pPr>
      <w:r>
        <w:rPr>
          <w:color w:val="1B2A41"/>
          <w:sz w:val="20"/>
        </w:rPr>
        <w:t>I separated the parameters into demand, supply, policy and cost drivers. This makes it easier to understand why inventory rises or falls instead of treating stock as one isolated number.</w:t>
      </w:r>
    </w:p>
    <w:tbl>
      <w:tblPr>
        <w:tblStyle w:val="TableGrid"/>
        <w:tblW w:type="auto" w:w="0"/>
        <w:jc w:val="center"/>
        <w:tblLook w:firstColumn="1" w:firstRow="1" w:lastColumn="0" w:lastRow="0" w:noHBand="0" w:noVBand="1" w:val="04A0"/>
      </w:tblPr>
      <w:tblGrid>
        <w:gridCol w:w="3456"/>
        <w:gridCol w:w="3456"/>
        <w:gridCol w:w="3456"/>
      </w:tblGrid>
      <w:tr>
        <w:tc>
          <w:tcPr>
            <w:tcW w:type="dxa" w:w="2088"/>
            <w:vAlign w:val="center"/>
            <w:shd w:fill="23395B"/>
            <w:tcMar>
              <w:top w:w="70" w:type="dxa"/>
              <w:start w:w="80" w:type="dxa"/>
              <w:bottom w:w="70" w:type="dxa"/>
              <w:end w:w="80" w:type="dxa"/>
            </w:tcMar>
          </w:tcPr>
          <w:p>
            <w:pPr>
              <w:jc w:val="center"/>
            </w:pPr>
            <w:r/>
            <w:r>
              <w:rPr>
                <w:rFonts w:ascii="Aptos" w:hAnsi="Aptos"/>
                <w:b/>
                <w:color w:val="FFFFFF"/>
                <w:sz w:val="17"/>
              </w:rPr>
              <w:t>Parameter</w:t>
            </w:r>
          </w:p>
        </w:tc>
        <w:tc>
          <w:tcPr>
            <w:tcW w:type="dxa" w:w="4968"/>
            <w:vAlign w:val="center"/>
            <w:shd w:fill="23395B"/>
            <w:tcMar>
              <w:top w:w="70" w:type="dxa"/>
              <w:start w:w="80" w:type="dxa"/>
              <w:bottom w:w="70" w:type="dxa"/>
              <w:end w:w="80" w:type="dxa"/>
            </w:tcMar>
          </w:tcPr>
          <w:p>
            <w:pPr>
              <w:jc w:val="center"/>
            </w:pPr>
            <w:r/>
            <w:r>
              <w:rPr>
                <w:rFonts w:ascii="Aptos" w:hAnsi="Aptos"/>
                <w:b/>
                <w:color w:val="FFFFFF"/>
                <w:sz w:val="17"/>
              </w:rPr>
              <w:t>How it affects inventory</w:t>
            </w:r>
          </w:p>
        </w:tc>
        <w:tc>
          <w:tcPr>
            <w:tcW w:type="dxa" w:w="3096"/>
            <w:vAlign w:val="center"/>
            <w:shd w:fill="23395B"/>
            <w:tcMar>
              <w:top w:w="70" w:type="dxa"/>
              <w:start w:w="80" w:type="dxa"/>
              <w:bottom w:w="70" w:type="dxa"/>
              <w:end w:w="80" w:type="dxa"/>
            </w:tcMar>
          </w:tcPr>
          <w:p>
            <w:pPr>
              <w:jc w:val="center"/>
            </w:pPr>
            <w:r/>
            <w:r>
              <w:rPr>
                <w:rFonts w:ascii="Aptos" w:hAnsi="Aptos"/>
                <w:b/>
                <w:color w:val="FFFFFF"/>
                <w:sz w:val="17"/>
              </w:rPr>
              <w:t>Illustrative control</w:t>
            </w:r>
          </w:p>
        </w:tc>
      </w:tr>
      <w:tr>
        <w:tc>
          <w:tcPr>
            <w:tcW w:type="dxa" w:w="2088"/>
            <w:vAlign w:val="center"/>
            <w:tcMar>
              <w:top w:w="70" w:type="dxa"/>
              <w:start w:w="80" w:type="dxa"/>
              <w:bottom w:w="70" w:type="dxa"/>
              <w:end w:w="80" w:type="dxa"/>
            </w:tcMar>
          </w:tcPr>
          <w:p>
            <w:r/>
            <w:r>
              <w:rPr>
                <w:rFonts w:ascii="Aptos" w:hAnsi="Aptos"/>
                <w:b w:val="0"/>
                <w:color w:val="1B2A41"/>
                <w:sz w:val="15"/>
              </w:rPr>
              <w:t>Average demand</w:t>
            </w:r>
          </w:p>
        </w:tc>
        <w:tc>
          <w:tcPr>
            <w:tcW w:type="dxa" w:w="4968"/>
            <w:vAlign w:val="center"/>
            <w:tcMar>
              <w:top w:w="70" w:type="dxa"/>
              <w:start w:w="80" w:type="dxa"/>
              <w:bottom w:w="70" w:type="dxa"/>
              <w:end w:w="80" w:type="dxa"/>
            </w:tcMar>
          </w:tcPr>
          <w:p>
            <w:r/>
            <w:r>
              <w:rPr>
                <w:rFonts w:ascii="Aptos" w:hAnsi="Aptos"/>
                <w:b w:val="0"/>
                <w:color w:val="1B2A41"/>
                <w:sz w:val="15"/>
              </w:rPr>
              <w:t>Higher demand increases cycle stock and replenishment frequency.</w:t>
            </w:r>
          </w:p>
        </w:tc>
        <w:tc>
          <w:tcPr>
            <w:tcW w:type="dxa" w:w="3096"/>
            <w:vAlign w:val="center"/>
            <w:tcMar>
              <w:top w:w="70" w:type="dxa"/>
              <w:start w:w="80" w:type="dxa"/>
              <w:bottom w:w="70" w:type="dxa"/>
              <w:end w:w="80" w:type="dxa"/>
            </w:tcMar>
          </w:tcPr>
          <w:p>
            <w:r/>
            <w:r>
              <w:rPr>
                <w:rFonts w:ascii="Aptos" w:hAnsi="Aptos"/>
                <w:b w:val="0"/>
                <w:color w:val="1B2A41"/>
                <w:sz w:val="15"/>
              </w:rPr>
              <w:t>Use rolling demand and forecast-error review.</w:t>
            </w:r>
          </w:p>
        </w:tc>
      </w:tr>
      <w:tr>
        <w:tc>
          <w:tcPr>
            <w:tcW w:type="dxa" w:w="2088"/>
            <w:vAlign w:val="center"/>
            <w:tcMar>
              <w:top w:w="70" w:type="dxa"/>
              <w:start w:w="80" w:type="dxa"/>
              <w:bottom w:w="70" w:type="dxa"/>
              <w:end w:w="80" w:type="dxa"/>
            </w:tcMar>
            <w:shd w:fill="F7F9FB"/>
          </w:tcPr>
          <w:p>
            <w:r/>
            <w:r>
              <w:rPr>
                <w:rFonts w:ascii="Aptos" w:hAnsi="Aptos"/>
                <w:b w:val="0"/>
                <w:color w:val="1B2A41"/>
                <w:sz w:val="15"/>
              </w:rPr>
              <w:t>Demand variability</w:t>
            </w:r>
          </w:p>
        </w:tc>
        <w:tc>
          <w:tcPr>
            <w:tcW w:type="dxa" w:w="4968"/>
            <w:vAlign w:val="center"/>
            <w:tcMar>
              <w:top w:w="70" w:type="dxa"/>
              <w:start w:w="80" w:type="dxa"/>
              <w:bottom w:w="70" w:type="dxa"/>
              <w:end w:w="80" w:type="dxa"/>
            </w:tcMar>
            <w:shd w:fill="F7F9FB"/>
          </w:tcPr>
          <w:p>
            <w:r/>
            <w:r>
              <w:rPr>
                <w:rFonts w:ascii="Aptos" w:hAnsi="Aptos"/>
                <w:b w:val="0"/>
                <w:color w:val="1B2A41"/>
                <w:sz w:val="15"/>
              </w:rPr>
              <w:t>More uncertainty normally requires a larger buffer for the same service level.</w:t>
            </w:r>
          </w:p>
        </w:tc>
        <w:tc>
          <w:tcPr>
            <w:tcW w:type="dxa" w:w="3096"/>
            <w:vAlign w:val="center"/>
            <w:tcMar>
              <w:top w:w="70" w:type="dxa"/>
              <w:start w:w="80" w:type="dxa"/>
              <w:bottom w:w="70" w:type="dxa"/>
              <w:end w:w="80" w:type="dxa"/>
            </w:tcMar>
            <w:shd w:fill="F7F9FB"/>
          </w:tcPr>
          <w:p>
            <w:r/>
            <w:r>
              <w:rPr>
                <w:rFonts w:ascii="Aptos" w:hAnsi="Aptos"/>
                <w:b w:val="0"/>
                <w:color w:val="1B2A41"/>
                <w:sz w:val="15"/>
              </w:rPr>
              <w:t>Track MAD / standard deviation by location-product.</w:t>
            </w:r>
          </w:p>
        </w:tc>
      </w:tr>
      <w:tr>
        <w:tc>
          <w:tcPr>
            <w:tcW w:type="dxa" w:w="2088"/>
            <w:vAlign w:val="center"/>
            <w:tcMar>
              <w:top w:w="70" w:type="dxa"/>
              <w:start w:w="80" w:type="dxa"/>
              <w:bottom w:w="70" w:type="dxa"/>
              <w:end w:w="80" w:type="dxa"/>
            </w:tcMar>
          </w:tcPr>
          <w:p>
            <w:r/>
            <w:r>
              <w:rPr>
                <w:rFonts w:ascii="Aptos" w:hAnsi="Aptos"/>
                <w:b w:val="0"/>
                <w:color w:val="1B2A41"/>
                <w:sz w:val="15"/>
              </w:rPr>
              <w:t>Replenishment lead time</w:t>
            </w:r>
          </w:p>
        </w:tc>
        <w:tc>
          <w:tcPr>
            <w:tcW w:type="dxa" w:w="4968"/>
            <w:vAlign w:val="center"/>
            <w:tcMar>
              <w:top w:w="70" w:type="dxa"/>
              <w:start w:w="80" w:type="dxa"/>
              <w:bottom w:w="70" w:type="dxa"/>
              <w:end w:w="80" w:type="dxa"/>
            </w:tcMar>
          </w:tcPr>
          <w:p>
            <w:r/>
            <w:r>
              <w:rPr>
                <w:rFonts w:ascii="Aptos" w:hAnsi="Aptos"/>
                <w:b w:val="0"/>
                <w:color w:val="1B2A41"/>
                <w:sz w:val="15"/>
              </w:rPr>
              <w:t>Longer lead time increases exposure before the next receipt arrives.</w:t>
            </w:r>
          </w:p>
        </w:tc>
        <w:tc>
          <w:tcPr>
            <w:tcW w:type="dxa" w:w="3096"/>
            <w:vAlign w:val="center"/>
            <w:tcMar>
              <w:top w:w="70" w:type="dxa"/>
              <w:start w:w="80" w:type="dxa"/>
              <w:bottom w:w="70" w:type="dxa"/>
              <w:end w:w="80" w:type="dxa"/>
            </w:tcMar>
          </w:tcPr>
          <w:p>
            <w:r/>
            <w:r>
              <w:rPr>
                <w:rFonts w:ascii="Aptos" w:hAnsi="Aptos"/>
                <w:b w:val="0"/>
                <w:color w:val="1B2A41"/>
                <w:sz w:val="15"/>
              </w:rPr>
              <w:t>Maintain realistic procurement and transport lead times.</w:t>
            </w:r>
          </w:p>
        </w:tc>
      </w:tr>
      <w:tr>
        <w:tc>
          <w:tcPr>
            <w:tcW w:type="dxa" w:w="2088"/>
            <w:vAlign w:val="center"/>
            <w:tcMar>
              <w:top w:w="70" w:type="dxa"/>
              <w:start w:w="80" w:type="dxa"/>
              <w:bottom w:w="70" w:type="dxa"/>
              <w:end w:w="80" w:type="dxa"/>
            </w:tcMar>
            <w:shd w:fill="F7F9FB"/>
          </w:tcPr>
          <w:p>
            <w:r/>
            <w:r>
              <w:rPr>
                <w:rFonts w:ascii="Aptos" w:hAnsi="Aptos"/>
                <w:b w:val="0"/>
                <w:color w:val="1B2A41"/>
                <w:sz w:val="15"/>
              </w:rPr>
              <w:t>Lead-time variability</w:t>
            </w:r>
          </w:p>
        </w:tc>
        <w:tc>
          <w:tcPr>
            <w:tcW w:type="dxa" w:w="4968"/>
            <w:vAlign w:val="center"/>
            <w:tcMar>
              <w:top w:w="70" w:type="dxa"/>
              <w:start w:w="80" w:type="dxa"/>
              <w:bottom w:w="70" w:type="dxa"/>
              <w:end w:w="80" w:type="dxa"/>
            </w:tcMar>
            <w:shd w:fill="F7F9FB"/>
          </w:tcPr>
          <w:p>
            <w:r/>
            <w:r>
              <w:rPr>
                <w:rFonts w:ascii="Aptos" w:hAnsi="Aptos"/>
                <w:b w:val="0"/>
                <w:color w:val="1B2A41"/>
                <w:sz w:val="15"/>
              </w:rPr>
              <w:t>Unreliable suppliers/transport increase stock-out risk.</w:t>
            </w:r>
          </w:p>
        </w:tc>
        <w:tc>
          <w:tcPr>
            <w:tcW w:type="dxa" w:w="3096"/>
            <w:vAlign w:val="center"/>
            <w:tcMar>
              <w:top w:w="70" w:type="dxa"/>
              <w:start w:w="80" w:type="dxa"/>
              <w:bottom w:w="70" w:type="dxa"/>
              <w:end w:w="80" w:type="dxa"/>
            </w:tcMar>
            <w:shd w:fill="F7F9FB"/>
          </w:tcPr>
          <w:p>
            <w:r/>
            <w:r>
              <w:rPr>
                <w:rFonts w:ascii="Aptos" w:hAnsi="Aptos"/>
                <w:b w:val="0"/>
                <w:color w:val="1B2A41"/>
                <w:sz w:val="15"/>
              </w:rPr>
              <w:t>Measure actual vs planned lead time.</w:t>
            </w:r>
          </w:p>
        </w:tc>
      </w:tr>
      <w:tr>
        <w:tc>
          <w:tcPr>
            <w:tcW w:type="dxa" w:w="2088"/>
            <w:vAlign w:val="center"/>
            <w:tcMar>
              <w:top w:w="70" w:type="dxa"/>
              <w:start w:w="80" w:type="dxa"/>
              <w:bottom w:w="70" w:type="dxa"/>
              <w:end w:w="80" w:type="dxa"/>
            </w:tcMar>
          </w:tcPr>
          <w:p>
            <w:r/>
            <w:r>
              <w:rPr>
                <w:rFonts w:ascii="Aptos" w:hAnsi="Aptos"/>
                <w:b w:val="0"/>
                <w:color w:val="1B2A41"/>
                <w:sz w:val="15"/>
              </w:rPr>
              <w:t>Safety stock / safety days</w:t>
            </w:r>
          </w:p>
        </w:tc>
        <w:tc>
          <w:tcPr>
            <w:tcW w:type="dxa" w:w="4968"/>
            <w:vAlign w:val="center"/>
            <w:tcMar>
              <w:top w:w="70" w:type="dxa"/>
              <w:start w:w="80" w:type="dxa"/>
              <w:bottom w:w="70" w:type="dxa"/>
              <w:end w:w="80" w:type="dxa"/>
            </w:tcMar>
          </w:tcPr>
          <w:p>
            <w:r/>
            <w:r>
              <w:rPr>
                <w:rFonts w:ascii="Aptos" w:hAnsi="Aptos"/>
                <w:b w:val="0"/>
                <w:color w:val="1B2A41"/>
                <w:sz w:val="15"/>
              </w:rPr>
              <w:t>Protects against uncertainty but adds carrying cost.</w:t>
            </w:r>
          </w:p>
        </w:tc>
        <w:tc>
          <w:tcPr>
            <w:tcW w:type="dxa" w:w="3096"/>
            <w:vAlign w:val="center"/>
            <w:tcMar>
              <w:top w:w="70" w:type="dxa"/>
              <w:start w:w="80" w:type="dxa"/>
              <w:bottom w:w="70" w:type="dxa"/>
              <w:end w:w="80" w:type="dxa"/>
            </w:tcMar>
          </w:tcPr>
          <w:p>
            <w:r/>
            <w:r>
              <w:rPr>
                <w:rFonts w:ascii="Aptos" w:hAnsi="Aptos"/>
                <w:b w:val="0"/>
                <w:color w:val="1B2A41"/>
                <w:sz w:val="15"/>
              </w:rPr>
              <w:t>Differentiate by service criticality and variability.</w:t>
            </w:r>
          </w:p>
        </w:tc>
      </w:tr>
      <w:tr>
        <w:tc>
          <w:tcPr>
            <w:tcW w:type="dxa" w:w="2088"/>
            <w:vAlign w:val="center"/>
            <w:tcMar>
              <w:top w:w="70" w:type="dxa"/>
              <w:start w:w="80" w:type="dxa"/>
              <w:bottom w:w="70" w:type="dxa"/>
              <w:end w:w="80" w:type="dxa"/>
            </w:tcMar>
            <w:shd w:fill="F7F9FB"/>
          </w:tcPr>
          <w:p>
            <w:r/>
            <w:r>
              <w:rPr>
                <w:rFonts w:ascii="Aptos" w:hAnsi="Aptos"/>
                <w:b w:val="0"/>
                <w:color w:val="1B2A41"/>
                <w:sz w:val="15"/>
              </w:rPr>
              <w:t>Lot size / EOQ</w:t>
            </w:r>
          </w:p>
        </w:tc>
        <w:tc>
          <w:tcPr>
            <w:tcW w:type="dxa" w:w="4968"/>
            <w:vAlign w:val="center"/>
            <w:tcMar>
              <w:top w:w="70" w:type="dxa"/>
              <w:start w:w="80" w:type="dxa"/>
              <w:bottom w:w="70" w:type="dxa"/>
              <w:end w:w="80" w:type="dxa"/>
            </w:tcMar>
            <w:shd w:fill="F7F9FB"/>
          </w:tcPr>
          <w:p>
            <w:r/>
            <w:r>
              <w:rPr>
                <w:rFonts w:ascii="Aptos" w:hAnsi="Aptos"/>
                <w:b w:val="0"/>
                <w:color w:val="1B2A41"/>
                <w:sz w:val="15"/>
              </w:rPr>
              <w:t>Large lots reduce ordering frequency but can create excess stock.</w:t>
            </w:r>
          </w:p>
        </w:tc>
        <w:tc>
          <w:tcPr>
            <w:tcW w:type="dxa" w:w="3096"/>
            <w:vAlign w:val="center"/>
            <w:tcMar>
              <w:top w:w="70" w:type="dxa"/>
              <w:start w:w="80" w:type="dxa"/>
              <w:bottom w:w="70" w:type="dxa"/>
              <w:end w:w="80" w:type="dxa"/>
            </w:tcMar>
            <w:shd w:fill="F7F9FB"/>
          </w:tcPr>
          <w:p>
            <w:r/>
            <w:r>
              <w:rPr>
                <w:rFonts w:ascii="Aptos" w:hAnsi="Aptos"/>
                <w:b w:val="0"/>
                <w:color w:val="1B2A41"/>
                <w:sz w:val="15"/>
              </w:rPr>
              <w:t>Balance ordering/setup cost and holding cost.</w:t>
            </w:r>
          </w:p>
        </w:tc>
      </w:tr>
      <w:tr>
        <w:tc>
          <w:tcPr>
            <w:tcW w:type="dxa" w:w="2088"/>
            <w:vAlign w:val="center"/>
            <w:tcMar>
              <w:top w:w="70" w:type="dxa"/>
              <w:start w:w="80" w:type="dxa"/>
              <w:bottom w:w="70" w:type="dxa"/>
              <w:end w:w="80" w:type="dxa"/>
            </w:tcMar>
          </w:tcPr>
          <w:p>
            <w:r/>
            <w:r>
              <w:rPr>
                <w:rFonts w:ascii="Aptos" w:hAnsi="Aptos"/>
                <w:b w:val="0"/>
                <w:color w:val="1B2A41"/>
                <w:sz w:val="15"/>
              </w:rPr>
              <w:t>Minimum / maximum stock</w:t>
            </w:r>
          </w:p>
        </w:tc>
        <w:tc>
          <w:tcPr>
            <w:tcW w:type="dxa" w:w="4968"/>
            <w:vAlign w:val="center"/>
            <w:tcMar>
              <w:top w:w="70" w:type="dxa"/>
              <w:start w:w="80" w:type="dxa"/>
              <w:bottom w:w="70" w:type="dxa"/>
              <w:end w:w="80" w:type="dxa"/>
            </w:tcMar>
          </w:tcPr>
          <w:p>
            <w:r/>
            <w:r>
              <w:rPr>
                <w:rFonts w:ascii="Aptos" w:hAnsi="Aptos"/>
                <w:b w:val="0"/>
                <w:color w:val="1B2A41"/>
                <w:sz w:val="15"/>
              </w:rPr>
              <w:t>Provides practical inventory boundaries for exceptions.</w:t>
            </w:r>
          </w:p>
        </w:tc>
        <w:tc>
          <w:tcPr>
            <w:tcW w:type="dxa" w:w="3096"/>
            <w:vAlign w:val="center"/>
            <w:tcMar>
              <w:top w:w="70" w:type="dxa"/>
              <w:start w:w="80" w:type="dxa"/>
              <w:bottom w:w="70" w:type="dxa"/>
              <w:end w:w="80" w:type="dxa"/>
            </w:tcMar>
          </w:tcPr>
          <w:p>
            <w:r/>
            <w:r>
              <w:rPr>
                <w:rFonts w:ascii="Aptos" w:hAnsi="Aptos"/>
                <w:b w:val="0"/>
                <w:color w:val="1B2A41"/>
                <w:sz w:val="15"/>
              </w:rPr>
              <w:t>Set alert thresholds and planner review.</w:t>
            </w:r>
          </w:p>
        </w:tc>
      </w:tr>
      <w:tr>
        <w:tc>
          <w:tcPr>
            <w:tcW w:type="dxa" w:w="2088"/>
            <w:vAlign w:val="center"/>
            <w:tcMar>
              <w:top w:w="70" w:type="dxa"/>
              <w:start w:w="80" w:type="dxa"/>
              <w:bottom w:w="70" w:type="dxa"/>
              <w:end w:w="80" w:type="dxa"/>
            </w:tcMar>
            <w:shd w:fill="F7F9FB"/>
          </w:tcPr>
          <w:p>
            <w:r/>
            <w:r>
              <w:rPr>
                <w:rFonts w:ascii="Aptos" w:hAnsi="Aptos"/>
                <w:b w:val="0"/>
                <w:color w:val="1B2A41"/>
                <w:sz w:val="15"/>
              </w:rPr>
              <w:t>Service level</w:t>
            </w:r>
          </w:p>
        </w:tc>
        <w:tc>
          <w:tcPr>
            <w:tcW w:type="dxa" w:w="4968"/>
            <w:vAlign w:val="center"/>
            <w:tcMar>
              <w:top w:w="70" w:type="dxa"/>
              <w:start w:w="80" w:type="dxa"/>
              <w:bottom w:w="70" w:type="dxa"/>
              <w:end w:w="80" w:type="dxa"/>
            </w:tcMar>
            <w:shd w:fill="F7F9FB"/>
          </w:tcPr>
          <w:p>
            <w:r/>
            <w:r>
              <w:rPr>
                <w:rFonts w:ascii="Aptos" w:hAnsi="Aptos"/>
                <w:b w:val="0"/>
                <w:color w:val="1B2A41"/>
                <w:sz w:val="15"/>
              </w:rPr>
              <w:t>Higher service target usually requires more buffer inventory.</w:t>
            </w:r>
          </w:p>
        </w:tc>
        <w:tc>
          <w:tcPr>
            <w:tcW w:type="dxa" w:w="3096"/>
            <w:vAlign w:val="center"/>
            <w:tcMar>
              <w:top w:w="70" w:type="dxa"/>
              <w:start w:w="80" w:type="dxa"/>
              <w:bottom w:w="70" w:type="dxa"/>
              <w:end w:w="80" w:type="dxa"/>
            </w:tcMar>
            <w:shd w:fill="F7F9FB"/>
          </w:tcPr>
          <w:p>
            <w:r/>
            <w:r>
              <w:rPr>
                <w:rFonts w:ascii="Aptos" w:hAnsi="Aptos"/>
                <w:b w:val="0"/>
                <w:color w:val="1B2A41"/>
                <w:sz w:val="15"/>
              </w:rPr>
              <w:t>Use higher target for A-items than low-priority C-items.</w:t>
            </w:r>
          </w:p>
        </w:tc>
      </w:tr>
      <w:tr>
        <w:tc>
          <w:tcPr>
            <w:tcW w:type="dxa" w:w="2088"/>
            <w:vAlign w:val="center"/>
            <w:tcMar>
              <w:top w:w="70" w:type="dxa"/>
              <w:start w:w="80" w:type="dxa"/>
              <w:bottom w:w="70" w:type="dxa"/>
              <w:end w:w="80" w:type="dxa"/>
            </w:tcMar>
          </w:tcPr>
          <w:p>
            <w:r/>
            <w:r>
              <w:rPr>
                <w:rFonts w:ascii="Aptos" w:hAnsi="Aptos"/>
                <w:b w:val="0"/>
                <w:color w:val="1B2A41"/>
                <w:sz w:val="15"/>
              </w:rPr>
              <w:t>Shelf life</w:t>
            </w:r>
          </w:p>
        </w:tc>
        <w:tc>
          <w:tcPr>
            <w:tcW w:type="dxa" w:w="4968"/>
            <w:vAlign w:val="center"/>
            <w:tcMar>
              <w:top w:w="70" w:type="dxa"/>
              <w:start w:w="80" w:type="dxa"/>
              <w:bottom w:w="70" w:type="dxa"/>
              <w:end w:w="80" w:type="dxa"/>
            </w:tcMar>
          </w:tcPr>
          <w:p>
            <w:r/>
            <w:r>
              <w:rPr>
                <w:rFonts w:ascii="Aptos" w:hAnsi="Aptos"/>
                <w:b w:val="0"/>
                <w:color w:val="1B2A41"/>
                <w:sz w:val="15"/>
              </w:rPr>
              <w:t>Limits how much stock can be safely held.</w:t>
            </w:r>
          </w:p>
        </w:tc>
        <w:tc>
          <w:tcPr>
            <w:tcW w:type="dxa" w:w="3096"/>
            <w:vAlign w:val="center"/>
            <w:tcMar>
              <w:top w:w="70" w:type="dxa"/>
              <w:start w:w="80" w:type="dxa"/>
              <w:bottom w:w="70" w:type="dxa"/>
              <w:end w:w="80" w:type="dxa"/>
            </w:tcMar>
          </w:tcPr>
          <w:p>
            <w:r/>
            <w:r>
              <w:rPr>
                <w:rFonts w:ascii="Aptos" w:hAnsi="Aptos"/>
                <w:b w:val="0"/>
                <w:color w:val="1B2A41"/>
                <w:sz w:val="15"/>
              </w:rPr>
              <w:t>Avoid bulk replenishment beyond realistic consumption.</w:t>
            </w:r>
          </w:p>
        </w:tc>
      </w:tr>
      <w:tr>
        <w:tc>
          <w:tcPr>
            <w:tcW w:type="dxa" w:w="2088"/>
            <w:vAlign w:val="center"/>
            <w:tcMar>
              <w:top w:w="70" w:type="dxa"/>
              <w:start w:w="80" w:type="dxa"/>
              <w:bottom w:w="70" w:type="dxa"/>
              <w:end w:w="80" w:type="dxa"/>
            </w:tcMar>
            <w:shd w:fill="F7F9FB"/>
          </w:tcPr>
          <w:p>
            <w:r/>
            <w:r>
              <w:rPr>
                <w:rFonts w:ascii="Aptos" w:hAnsi="Aptos"/>
                <w:b w:val="0"/>
                <w:color w:val="1B2A41"/>
                <w:sz w:val="15"/>
              </w:rPr>
              <w:t>Supplier reliability</w:t>
            </w:r>
          </w:p>
        </w:tc>
        <w:tc>
          <w:tcPr>
            <w:tcW w:type="dxa" w:w="4968"/>
            <w:vAlign w:val="center"/>
            <w:tcMar>
              <w:top w:w="70" w:type="dxa"/>
              <w:start w:w="80" w:type="dxa"/>
              <w:bottom w:w="70" w:type="dxa"/>
              <w:end w:w="80" w:type="dxa"/>
            </w:tcMar>
            <w:shd w:fill="F7F9FB"/>
          </w:tcPr>
          <w:p>
            <w:r/>
            <w:r>
              <w:rPr>
                <w:rFonts w:ascii="Aptos" w:hAnsi="Aptos"/>
                <w:b w:val="0"/>
                <w:color w:val="1B2A41"/>
                <w:sz w:val="15"/>
              </w:rPr>
              <w:t>Low reliability increases contingency requirement.</w:t>
            </w:r>
          </w:p>
        </w:tc>
        <w:tc>
          <w:tcPr>
            <w:tcW w:type="dxa" w:w="3096"/>
            <w:vAlign w:val="center"/>
            <w:tcMar>
              <w:top w:w="70" w:type="dxa"/>
              <w:start w:w="80" w:type="dxa"/>
              <w:bottom w:w="70" w:type="dxa"/>
              <w:end w:w="80" w:type="dxa"/>
            </w:tcMar>
            <w:shd w:fill="F7F9FB"/>
          </w:tcPr>
          <w:p>
            <w:r/>
            <w:r>
              <w:rPr>
                <w:rFonts w:ascii="Aptos" w:hAnsi="Aptos"/>
                <w:b w:val="0"/>
                <w:color w:val="1B2A41"/>
                <w:sz w:val="15"/>
              </w:rPr>
              <w:t>Use secondary source and supplier scorecard.</w:t>
            </w:r>
          </w:p>
        </w:tc>
      </w:tr>
    </w:tbl>
    <w:p>
      <w:pPr>
        <w:pStyle w:val="Heading2"/>
        <w:spacing w:before="60" w:after="100"/>
      </w:pPr>
      <w:r>
        <w:t>4.1 Segmentation approach</w:t>
      </w:r>
    </w:p>
    <w:p>
      <w:pPr>
        <w:spacing w:after="100" w:line="259" w:lineRule="auto"/>
      </w:pPr>
      <w:r>
        <w:rPr>
          <w:color w:val="1B2A41"/>
          <w:sz w:val="20"/>
        </w:rPr>
        <w:t>I would combine ABC classification (value/importance) with XYZ classification (demand variability). An AX item receives tight monitoring and a high service target because it is important and predictable; a CZ item receives a more conservative policy because its low importance and erratic demand can make high buffers expensive.</w:t>
      </w:r>
    </w:p>
    <w:p>
      <w:r>
        <w:br w:type="page"/>
      </w:r>
    </w:p>
    <w:p>
      <w:pPr>
        <w:pStyle w:val="Heading1"/>
        <w:spacing w:before="60" w:after="100"/>
      </w:pPr>
      <w:r>
        <w:t>5. Project Plan and Governance</w:t>
      </w:r>
    </w:p>
    <w:p>
      <w:pPr>
        <w:spacing w:after="100" w:line="259" w:lineRule="auto"/>
      </w:pPr>
      <w:r>
        <w:rPr>
          <w:color w:val="1B2A41"/>
          <w:sz w:val="20"/>
        </w:rPr>
        <w:t>The project plan is designed as a repeatable data-quality cycle rather than a one-time cleanup. Each phase has an output that can be checked before the next phase begins.</w:t>
      </w:r>
    </w:p>
    <w:tbl>
      <w:tblPr>
        <w:tblStyle w:val="TableGrid"/>
        <w:tblW w:type="auto" w:w="0"/>
        <w:jc w:val="center"/>
        <w:tblLook w:firstColumn="1" w:firstRow="1" w:lastColumn="0" w:lastRow="0" w:noHBand="0" w:noVBand="1" w:val="04A0"/>
      </w:tblPr>
      <w:tblGrid>
        <w:gridCol w:w="3456"/>
        <w:gridCol w:w="3456"/>
        <w:gridCol w:w="3456"/>
      </w:tblGrid>
      <w:tr>
        <w:tc>
          <w:tcPr>
            <w:tcW w:type="dxa" w:w="1800"/>
            <w:vAlign w:val="center"/>
            <w:shd w:fill="23395B"/>
            <w:tcMar>
              <w:top w:w="70" w:type="dxa"/>
              <w:start w:w="80" w:type="dxa"/>
              <w:bottom w:w="70" w:type="dxa"/>
              <w:end w:w="80" w:type="dxa"/>
            </w:tcMar>
          </w:tcPr>
          <w:p>
            <w:pPr>
              <w:jc w:val="center"/>
            </w:pPr>
            <w:r/>
            <w:r>
              <w:rPr>
                <w:rFonts w:ascii="Aptos" w:hAnsi="Aptos"/>
                <w:b/>
                <w:color w:val="FFFFFF"/>
                <w:sz w:val="17"/>
              </w:rPr>
              <w:t>Phase</w:t>
            </w:r>
          </w:p>
        </w:tc>
        <w:tc>
          <w:tcPr>
            <w:tcW w:type="dxa" w:w="4824"/>
            <w:vAlign w:val="center"/>
            <w:shd w:fill="23395B"/>
            <w:tcMar>
              <w:top w:w="70" w:type="dxa"/>
              <w:start w:w="80" w:type="dxa"/>
              <w:bottom w:w="70" w:type="dxa"/>
              <w:end w:w="80" w:type="dxa"/>
            </w:tcMar>
          </w:tcPr>
          <w:p>
            <w:pPr>
              <w:jc w:val="center"/>
            </w:pPr>
            <w:r/>
            <w:r>
              <w:rPr>
                <w:rFonts w:ascii="Aptos" w:hAnsi="Aptos"/>
                <w:b/>
                <w:color w:val="FFFFFF"/>
                <w:sz w:val="17"/>
              </w:rPr>
              <w:t>Main activities</w:t>
            </w:r>
          </w:p>
        </w:tc>
        <w:tc>
          <w:tcPr>
            <w:tcW w:type="dxa" w:w="3528"/>
            <w:vAlign w:val="center"/>
            <w:shd w:fill="23395B"/>
            <w:tcMar>
              <w:top w:w="70" w:type="dxa"/>
              <w:start w:w="80" w:type="dxa"/>
              <w:bottom w:w="70" w:type="dxa"/>
              <w:end w:w="80" w:type="dxa"/>
            </w:tcMar>
          </w:tcPr>
          <w:p>
            <w:pPr>
              <w:jc w:val="center"/>
            </w:pPr>
            <w:r/>
            <w:r>
              <w:rPr>
                <w:rFonts w:ascii="Aptos" w:hAnsi="Aptos"/>
                <w:b/>
                <w:color w:val="FFFFFF"/>
                <w:sz w:val="17"/>
              </w:rPr>
              <w:t>Output / acceptance point</w:t>
            </w:r>
          </w:p>
        </w:tc>
      </w:tr>
      <w:tr>
        <w:tc>
          <w:tcPr>
            <w:tcW w:type="dxa" w:w="1800"/>
            <w:vAlign w:val="center"/>
            <w:tcMar>
              <w:top w:w="70" w:type="dxa"/>
              <w:start w:w="80" w:type="dxa"/>
              <w:bottom w:w="70" w:type="dxa"/>
              <w:end w:w="80" w:type="dxa"/>
            </w:tcMar>
          </w:tcPr>
          <w:p>
            <w:r/>
            <w:r>
              <w:rPr>
                <w:rFonts w:ascii="Aptos" w:hAnsi="Aptos"/>
                <w:b w:val="0"/>
                <w:color w:val="1B2A41"/>
                <w:sz w:val="15"/>
              </w:rPr>
              <w:t>1. Scope &amp; baseline</w:t>
            </w:r>
          </w:p>
        </w:tc>
        <w:tc>
          <w:tcPr>
            <w:tcW w:type="dxa" w:w="4824"/>
            <w:vAlign w:val="center"/>
            <w:tcMar>
              <w:top w:w="70" w:type="dxa"/>
              <w:start w:w="80" w:type="dxa"/>
              <w:bottom w:w="70" w:type="dxa"/>
              <w:end w:w="80" w:type="dxa"/>
            </w:tcMar>
          </w:tcPr>
          <w:p>
            <w:r/>
            <w:r>
              <w:rPr>
                <w:rFonts w:ascii="Aptos" w:hAnsi="Aptos"/>
                <w:b w:val="0"/>
                <w:color w:val="1B2A41"/>
                <w:sz w:val="15"/>
              </w:rPr>
              <w:t>Confirm products, locations, owners, current inventory KPIs and data sources.</w:t>
            </w:r>
          </w:p>
        </w:tc>
        <w:tc>
          <w:tcPr>
            <w:tcW w:type="dxa" w:w="3528"/>
            <w:vAlign w:val="center"/>
            <w:tcMar>
              <w:top w:w="70" w:type="dxa"/>
              <w:start w:w="80" w:type="dxa"/>
              <w:bottom w:w="70" w:type="dxa"/>
              <w:end w:w="80" w:type="dxa"/>
            </w:tcMar>
          </w:tcPr>
          <w:p>
            <w:r/>
            <w:r>
              <w:rPr>
                <w:rFonts w:ascii="Aptos" w:hAnsi="Aptos"/>
                <w:b w:val="0"/>
                <w:color w:val="1B2A41"/>
                <w:sz w:val="15"/>
              </w:rPr>
              <w:t>Approved scope and baseline inventory snapshot.</w:t>
            </w:r>
          </w:p>
        </w:tc>
      </w:tr>
      <w:tr>
        <w:tc>
          <w:tcPr>
            <w:tcW w:type="dxa" w:w="1800"/>
            <w:vAlign w:val="center"/>
            <w:tcMar>
              <w:top w:w="70" w:type="dxa"/>
              <w:start w:w="80" w:type="dxa"/>
              <w:bottom w:w="70" w:type="dxa"/>
              <w:end w:w="80" w:type="dxa"/>
            </w:tcMar>
            <w:shd w:fill="F7F9FB"/>
          </w:tcPr>
          <w:p>
            <w:r/>
            <w:r>
              <w:rPr>
                <w:rFonts w:ascii="Aptos" w:hAnsi="Aptos"/>
                <w:b w:val="0"/>
                <w:color w:val="1B2A41"/>
                <w:sz w:val="15"/>
              </w:rPr>
              <w:t>2. Data extract &amp; profile</w:t>
            </w:r>
          </w:p>
        </w:tc>
        <w:tc>
          <w:tcPr>
            <w:tcW w:type="dxa" w:w="4824"/>
            <w:vAlign w:val="center"/>
            <w:tcMar>
              <w:top w:w="70" w:type="dxa"/>
              <w:start w:w="80" w:type="dxa"/>
              <w:bottom w:w="70" w:type="dxa"/>
              <w:end w:w="80" w:type="dxa"/>
            </w:tcMar>
            <w:shd w:fill="F7F9FB"/>
          </w:tcPr>
          <w:p>
            <w:r/>
            <w:r>
              <w:rPr>
                <w:rFonts w:ascii="Aptos" w:hAnsi="Aptos"/>
                <w:b w:val="0"/>
                <w:color w:val="1B2A41"/>
                <w:sz w:val="15"/>
              </w:rPr>
              <w:t>Extract product/location/source data; identify blanks, duplicates, invalid values and outliers.</w:t>
            </w:r>
          </w:p>
        </w:tc>
        <w:tc>
          <w:tcPr>
            <w:tcW w:type="dxa" w:w="3528"/>
            <w:vAlign w:val="center"/>
            <w:tcMar>
              <w:top w:w="70" w:type="dxa"/>
              <w:start w:w="80" w:type="dxa"/>
              <w:bottom w:w="70" w:type="dxa"/>
              <w:end w:w="80" w:type="dxa"/>
            </w:tcMar>
            <w:shd w:fill="F7F9FB"/>
          </w:tcPr>
          <w:p>
            <w:r/>
            <w:r>
              <w:rPr>
                <w:rFonts w:ascii="Aptos" w:hAnsi="Aptos"/>
                <w:b w:val="0"/>
                <w:color w:val="1B2A41"/>
                <w:sz w:val="15"/>
              </w:rPr>
              <w:t>Data-quality issue log.</w:t>
            </w:r>
          </w:p>
        </w:tc>
      </w:tr>
      <w:tr>
        <w:tc>
          <w:tcPr>
            <w:tcW w:type="dxa" w:w="1800"/>
            <w:vAlign w:val="center"/>
            <w:tcMar>
              <w:top w:w="70" w:type="dxa"/>
              <w:start w:w="80" w:type="dxa"/>
              <w:bottom w:w="70" w:type="dxa"/>
              <w:end w:w="80" w:type="dxa"/>
            </w:tcMar>
          </w:tcPr>
          <w:p>
            <w:r/>
            <w:r>
              <w:rPr>
                <w:rFonts w:ascii="Aptos" w:hAnsi="Aptos"/>
                <w:b w:val="0"/>
                <w:color w:val="1B2A41"/>
                <w:sz w:val="15"/>
              </w:rPr>
              <w:t>3. Cleanse &amp; standardize</w:t>
            </w:r>
          </w:p>
        </w:tc>
        <w:tc>
          <w:tcPr>
            <w:tcW w:type="dxa" w:w="4824"/>
            <w:vAlign w:val="center"/>
            <w:tcMar>
              <w:top w:w="70" w:type="dxa"/>
              <w:start w:w="80" w:type="dxa"/>
              <w:bottom w:w="70" w:type="dxa"/>
              <w:end w:w="80" w:type="dxa"/>
            </w:tcMar>
          </w:tcPr>
          <w:p>
            <w:r/>
            <w:r>
              <w:rPr>
                <w:rFonts w:ascii="Aptos" w:hAnsi="Aptos"/>
                <w:b w:val="0"/>
                <w:color w:val="1B2A41"/>
                <w:sz w:val="15"/>
              </w:rPr>
              <w:t>Correct codes, UoM, dates, descriptions, lead times and ownership with business sign-off.</w:t>
            </w:r>
          </w:p>
        </w:tc>
        <w:tc>
          <w:tcPr>
            <w:tcW w:type="dxa" w:w="3528"/>
            <w:vAlign w:val="center"/>
            <w:tcMar>
              <w:top w:w="70" w:type="dxa"/>
              <w:start w:w="80" w:type="dxa"/>
              <w:bottom w:w="70" w:type="dxa"/>
              <w:end w:w="80" w:type="dxa"/>
            </w:tcMar>
          </w:tcPr>
          <w:p>
            <w:r/>
            <w:r>
              <w:rPr>
                <w:rFonts w:ascii="Aptos" w:hAnsi="Aptos"/>
                <w:b w:val="0"/>
                <w:color w:val="1B2A41"/>
                <w:sz w:val="15"/>
              </w:rPr>
              <w:t>Cleansed staging dataset.</w:t>
            </w:r>
          </w:p>
        </w:tc>
      </w:tr>
      <w:tr>
        <w:tc>
          <w:tcPr>
            <w:tcW w:type="dxa" w:w="1800"/>
            <w:vAlign w:val="center"/>
            <w:tcMar>
              <w:top w:w="70" w:type="dxa"/>
              <w:start w:w="80" w:type="dxa"/>
              <w:bottom w:w="70" w:type="dxa"/>
              <w:end w:w="80" w:type="dxa"/>
            </w:tcMar>
            <w:shd w:fill="F7F9FB"/>
          </w:tcPr>
          <w:p>
            <w:r/>
            <w:r>
              <w:rPr>
                <w:rFonts w:ascii="Aptos" w:hAnsi="Aptos"/>
                <w:b w:val="0"/>
                <w:color w:val="1B2A41"/>
                <w:sz w:val="15"/>
              </w:rPr>
              <w:t>4. Map &amp; transform</w:t>
            </w:r>
          </w:p>
        </w:tc>
        <w:tc>
          <w:tcPr>
            <w:tcW w:type="dxa" w:w="4824"/>
            <w:vAlign w:val="center"/>
            <w:tcMar>
              <w:top w:w="70" w:type="dxa"/>
              <w:start w:w="80" w:type="dxa"/>
              <w:bottom w:w="70" w:type="dxa"/>
              <w:end w:w="80" w:type="dxa"/>
            </w:tcMar>
            <w:shd w:fill="F7F9FB"/>
          </w:tcPr>
          <w:p>
            <w:r/>
            <w:r>
              <w:rPr>
                <w:rFonts w:ascii="Aptos" w:hAnsi="Aptos"/>
                <w:b w:val="0"/>
                <w:color w:val="1B2A41"/>
                <w:sz w:val="15"/>
              </w:rPr>
              <w:t>Define source-to-target field mappings, value conversions and default rules.</w:t>
            </w:r>
          </w:p>
        </w:tc>
        <w:tc>
          <w:tcPr>
            <w:tcW w:type="dxa" w:w="3528"/>
            <w:vAlign w:val="center"/>
            <w:tcMar>
              <w:top w:w="70" w:type="dxa"/>
              <w:start w:w="80" w:type="dxa"/>
              <w:bottom w:w="70" w:type="dxa"/>
              <w:end w:w="80" w:type="dxa"/>
            </w:tcMar>
            <w:shd w:fill="F7F9FB"/>
          </w:tcPr>
          <w:p>
            <w:r/>
            <w:r>
              <w:rPr>
                <w:rFonts w:ascii="Aptos" w:hAnsi="Aptos"/>
                <w:b w:val="0"/>
                <w:color w:val="1B2A41"/>
                <w:sz w:val="15"/>
              </w:rPr>
              <w:t>Approved mapping workbook.</w:t>
            </w:r>
          </w:p>
        </w:tc>
      </w:tr>
      <w:tr>
        <w:tc>
          <w:tcPr>
            <w:tcW w:type="dxa" w:w="1800"/>
            <w:vAlign w:val="center"/>
            <w:tcMar>
              <w:top w:w="70" w:type="dxa"/>
              <w:start w:w="80" w:type="dxa"/>
              <w:bottom w:w="70" w:type="dxa"/>
              <w:end w:w="80" w:type="dxa"/>
            </w:tcMar>
          </w:tcPr>
          <w:p>
            <w:r/>
            <w:r>
              <w:rPr>
                <w:rFonts w:ascii="Aptos" w:hAnsi="Aptos"/>
                <w:b w:val="0"/>
                <w:color w:val="1B2A41"/>
                <w:sz w:val="15"/>
              </w:rPr>
              <w:t>5. Integrate / migrate</w:t>
            </w:r>
          </w:p>
        </w:tc>
        <w:tc>
          <w:tcPr>
            <w:tcW w:type="dxa" w:w="4824"/>
            <w:vAlign w:val="center"/>
            <w:tcMar>
              <w:top w:w="70" w:type="dxa"/>
              <w:start w:w="80" w:type="dxa"/>
              <w:bottom w:w="70" w:type="dxa"/>
              <w:end w:w="80" w:type="dxa"/>
            </w:tcMar>
          </w:tcPr>
          <w:p>
            <w:r/>
            <w:r>
              <w:rPr>
                <w:rFonts w:ascii="Aptos" w:hAnsi="Aptos"/>
                <w:b w:val="0"/>
                <w:color w:val="1B2A41"/>
                <w:sz w:val="15"/>
              </w:rPr>
              <w:t>Use controlled CIF/integration-model or staging sequence; separate master and transaction data.</w:t>
            </w:r>
          </w:p>
        </w:tc>
        <w:tc>
          <w:tcPr>
            <w:tcW w:type="dxa" w:w="3528"/>
            <w:vAlign w:val="center"/>
            <w:tcMar>
              <w:top w:w="70" w:type="dxa"/>
              <w:start w:w="80" w:type="dxa"/>
              <w:bottom w:w="70" w:type="dxa"/>
              <w:end w:w="80" w:type="dxa"/>
            </w:tcMar>
          </w:tcPr>
          <w:p>
            <w:r/>
            <w:r>
              <w:rPr>
                <w:rFonts w:ascii="Aptos" w:hAnsi="Aptos"/>
                <w:b w:val="0"/>
                <w:color w:val="1B2A41"/>
                <w:sz w:val="15"/>
              </w:rPr>
              <w:t>Transferred objects and integration log.</w:t>
            </w:r>
          </w:p>
        </w:tc>
      </w:tr>
      <w:tr>
        <w:tc>
          <w:tcPr>
            <w:tcW w:type="dxa" w:w="1800"/>
            <w:vAlign w:val="center"/>
            <w:tcMar>
              <w:top w:w="70" w:type="dxa"/>
              <w:start w:w="80" w:type="dxa"/>
              <w:bottom w:w="70" w:type="dxa"/>
              <w:end w:w="80" w:type="dxa"/>
            </w:tcMar>
            <w:shd w:fill="F7F9FB"/>
          </w:tcPr>
          <w:p>
            <w:r/>
            <w:r>
              <w:rPr>
                <w:rFonts w:ascii="Aptos" w:hAnsi="Aptos"/>
                <w:b w:val="0"/>
                <w:color w:val="1B2A41"/>
                <w:sz w:val="15"/>
              </w:rPr>
              <w:t>6. Validate in APO</w:t>
            </w:r>
          </w:p>
        </w:tc>
        <w:tc>
          <w:tcPr>
            <w:tcW w:type="dxa" w:w="4824"/>
            <w:vAlign w:val="center"/>
            <w:tcMar>
              <w:top w:w="70" w:type="dxa"/>
              <w:start w:w="80" w:type="dxa"/>
              <w:bottom w:w="70" w:type="dxa"/>
              <w:end w:w="80" w:type="dxa"/>
            </w:tcMar>
            <w:shd w:fill="F7F9FB"/>
          </w:tcPr>
          <w:p>
            <w:r/>
            <w:r>
              <w:rPr>
                <w:rFonts w:ascii="Aptos" w:hAnsi="Aptos"/>
                <w:b w:val="0"/>
                <w:color w:val="1B2A41"/>
                <w:sz w:val="15"/>
              </w:rPr>
              <w:t>Check products, locations, location-products, resources, lanes and sources.</w:t>
            </w:r>
          </w:p>
        </w:tc>
        <w:tc>
          <w:tcPr>
            <w:tcW w:type="dxa" w:w="3528"/>
            <w:vAlign w:val="center"/>
            <w:tcMar>
              <w:top w:w="70" w:type="dxa"/>
              <w:start w:w="80" w:type="dxa"/>
              <w:bottom w:w="70" w:type="dxa"/>
              <w:end w:w="80" w:type="dxa"/>
            </w:tcMar>
            <w:shd w:fill="F7F9FB"/>
          </w:tcPr>
          <w:p>
            <w:r/>
            <w:r>
              <w:rPr>
                <w:rFonts w:ascii="Aptos" w:hAnsi="Aptos"/>
                <w:b w:val="0"/>
                <w:color w:val="1B2A41"/>
                <w:sz w:val="15"/>
              </w:rPr>
              <w:t>Reconciliation sign-off.</w:t>
            </w:r>
          </w:p>
        </w:tc>
      </w:tr>
      <w:tr>
        <w:tc>
          <w:tcPr>
            <w:tcW w:type="dxa" w:w="1800"/>
            <w:vAlign w:val="center"/>
            <w:tcMar>
              <w:top w:w="70" w:type="dxa"/>
              <w:start w:w="80" w:type="dxa"/>
              <w:bottom w:w="70" w:type="dxa"/>
              <w:end w:w="80" w:type="dxa"/>
            </w:tcMar>
          </w:tcPr>
          <w:p>
            <w:r/>
            <w:r>
              <w:rPr>
                <w:rFonts w:ascii="Aptos" w:hAnsi="Aptos"/>
                <w:b w:val="0"/>
                <w:color w:val="1B2A41"/>
                <w:sz w:val="15"/>
              </w:rPr>
              <w:t>7. Optimize inventory</w:t>
            </w:r>
          </w:p>
        </w:tc>
        <w:tc>
          <w:tcPr>
            <w:tcW w:type="dxa" w:w="4824"/>
            <w:vAlign w:val="center"/>
            <w:tcMar>
              <w:top w:w="70" w:type="dxa"/>
              <w:start w:w="80" w:type="dxa"/>
              <w:bottom w:w="70" w:type="dxa"/>
              <w:end w:w="80" w:type="dxa"/>
            </w:tcMar>
          </w:tcPr>
          <w:p>
            <w:r/>
            <w:r>
              <w:rPr>
                <w:rFonts w:ascii="Aptos" w:hAnsi="Aptos"/>
                <w:b w:val="0"/>
                <w:color w:val="1B2A41"/>
                <w:sz w:val="15"/>
              </w:rPr>
              <w:t>Set classification, safety stock, days of supply, lot-size and exception parameters.</w:t>
            </w:r>
          </w:p>
        </w:tc>
        <w:tc>
          <w:tcPr>
            <w:tcW w:type="dxa" w:w="3528"/>
            <w:vAlign w:val="center"/>
            <w:tcMar>
              <w:top w:w="70" w:type="dxa"/>
              <w:start w:w="80" w:type="dxa"/>
              <w:bottom w:w="70" w:type="dxa"/>
              <w:end w:w="80" w:type="dxa"/>
            </w:tcMar>
          </w:tcPr>
          <w:p>
            <w:r/>
            <w:r>
              <w:rPr>
                <w:rFonts w:ascii="Aptos" w:hAnsi="Aptos"/>
                <w:b w:val="0"/>
                <w:color w:val="1B2A41"/>
                <w:sz w:val="15"/>
              </w:rPr>
              <w:t>Proposed inventory policy by segment.</w:t>
            </w:r>
          </w:p>
        </w:tc>
      </w:tr>
      <w:tr>
        <w:tc>
          <w:tcPr>
            <w:tcW w:type="dxa" w:w="1800"/>
            <w:vAlign w:val="center"/>
            <w:tcMar>
              <w:top w:w="70" w:type="dxa"/>
              <w:start w:w="80" w:type="dxa"/>
              <w:bottom w:w="70" w:type="dxa"/>
              <w:end w:w="80" w:type="dxa"/>
            </w:tcMar>
            <w:shd w:fill="F7F9FB"/>
          </w:tcPr>
          <w:p>
            <w:r/>
            <w:r>
              <w:rPr>
                <w:rFonts w:ascii="Aptos" w:hAnsi="Aptos"/>
                <w:b w:val="0"/>
                <w:color w:val="1B2A41"/>
                <w:sz w:val="15"/>
              </w:rPr>
              <w:t>8. Simulate exceptions</w:t>
            </w:r>
          </w:p>
        </w:tc>
        <w:tc>
          <w:tcPr>
            <w:tcW w:type="dxa" w:w="4824"/>
            <w:vAlign w:val="center"/>
            <w:tcMar>
              <w:top w:w="70" w:type="dxa"/>
              <w:start w:w="80" w:type="dxa"/>
              <w:bottom w:w="70" w:type="dxa"/>
              <w:end w:w="80" w:type="dxa"/>
            </w:tcMar>
            <w:shd w:fill="F7F9FB"/>
          </w:tcPr>
          <w:p>
            <w:r/>
            <w:r>
              <w:rPr>
                <w:rFonts w:ascii="Aptos" w:hAnsi="Aptos"/>
                <w:b w:val="0"/>
                <w:color w:val="1B2A41"/>
                <w:sz w:val="15"/>
              </w:rPr>
              <w:t>Run stock-out and excess-stock scenarios and document response.</w:t>
            </w:r>
          </w:p>
        </w:tc>
        <w:tc>
          <w:tcPr>
            <w:tcW w:type="dxa" w:w="3528"/>
            <w:vAlign w:val="center"/>
            <w:tcMar>
              <w:top w:w="70" w:type="dxa"/>
              <w:start w:w="80" w:type="dxa"/>
              <w:bottom w:w="70" w:type="dxa"/>
              <w:end w:w="80" w:type="dxa"/>
            </w:tcMar>
            <w:shd w:fill="F7F9FB"/>
          </w:tcPr>
          <w:p>
            <w:r/>
            <w:r>
              <w:rPr>
                <w:rFonts w:ascii="Aptos" w:hAnsi="Aptos"/>
                <w:b w:val="0"/>
                <w:color w:val="1B2A41"/>
                <w:sz w:val="15"/>
              </w:rPr>
              <w:t>Scenario results and corrective actions.</w:t>
            </w:r>
          </w:p>
        </w:tc>
      </w:tr>
      <w:tr>
        <w:tc>
          <w:tcPr>
            <w:tcW w:type="dxa" w:w="1800"/>
            <w:vAlign w:val="center"/>
            <w:tcMar>
              <w:top w:w="70" w:type="dxa"/>
              <w:start w:w="80" w:type="dxa"/>
              <w:bottom w:w="70" w:type="dxa"/>
              <w:end w:w="80" w:type="dxa"/>
            </w:tcMar>
          </w:tcPr>
          <w:p>
            <w:r/>
            <w:r>
              <w:rPr>
                <w:rFonts w:ascii="Aptos" w:hAnsi="Aptos"/>
                <w:b w:val="0"/>
                <w:color w:val="1B2A41"/>
                <w:sz w:val="15"/>
              </w:rPr>
              <w:t>9. Monitor &amp; govern</w:t>
            </w:r>
          </w:p>
        </w:tc>
        <w:tc>
          <w:tcPr>
            <w:tcW w:type="dxa" w:w="4824"/>
            <w:vAlign w:val="center"/>
            <w:tcMar>
              <w:top w:w="70" w:type="dxa"/>
              <w:start w:w="80" w:type="dxa"/>
              <w:bottom w:w="70" w:type="dxa"/>
              <w:end w:w="80" w:type="dxa"/>
            </w:tcMar>
          </w:tcPr>
          <w:p>
            <w:r/>
            <w:r>
              <w:rPr>
                <w:rFonts w:ascii="Aptos" w:hAnsi="Aptos"/>
                <w:b w:val="0"/>
                <w:color w:val="1B2A41"/>
                <w:sz w:val="15"/>
              </w:rPr>
              <w:t>Track service, stock, lead-time and data-quality KPIs; review parameter changes.</w:t>
            </w:r>
          </w:p>
        </w:tc>
        <w:tc>
          <w:tcPr>
            <w:tcW w:type="dxa" w:w="3528"/>
            <w:vAlign w:val="center"/>
            <w:tcMar>
              <w:top w:w="70" w:type="dxa"/>
              <w:start w:w="80" w:type="dxa"/>
              <w:bottom w:w="70" w:type="dxa"/>
              <w:end w:w="80" w:type="dxa"/>
            </w:tcMar>
          </w:tcPr>
          <w:p>
            <w:r/>
            <w:r>
              <w:rPr>
                <w:rFonts w:ascii="Aptos" w:hAnsi="Aptos"/>
                <w:b w:val="0"/>
                <w:color w:val="1B2A41"/>
                <w:sz w:val="15"/>
              </w:rPr>
              <w:t>Ongoing KPI dashboard and governance cadence.</w:t>
            </w:r>
          </w:p>
        </w:tc>
      </w:tr>
    </w:tbl>
    <w:p>
      <w:pPr>
        <w:pStyle w:val="Heading2"/>
        <w:spacing w:before="60" w:after="100"/>
      </w:pPr>
      <w:r>
        <w:t>5.1 Roles</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23395B"/>
            <w:tcMar>
              <w:top w:w="70" w:type="dxa"/>
              <w:start w:w="80" w:type="dxa"/>
              <w:bottom w:w="70" w:type="dxa"/>
              <w:end w:w="80" w:type="dxa"/>
            </w:tcMar>
          </w:tcPr>
          <w:p>
            <w:pPr>
              <w:jc w:val="center"/>
            </w:pPr>
            <w:r/>
            <w:r>
              <w:rPr>
                <w:rFonts w:ascii="Aptos" w:hAnsi="Aptos"/>
                <w:b/>
                <w:color w:val="FFFFFF"/>
                <w:sz w:val="17"/>
              </w:rPr>
              <w:t>Role</w:t>
            </w:r>
          </w:p>
        </w:tc>
        <w:tc>
          <w:tcPr>
            <w:tcW w:type="dxa" w:w="7200"/>
            <w:vAlign w:val="center"/>
            <w:shd w:fill="23395B"/>
            <w:tcMar>
              <w:top w:w="70" w:type="dxa"/>
              <w:start w:w="80" w:type="dxa"/>
              <w:bottom w:w="70" w:type="dxa"/>
              <w:end w:w="80" w:type="dxa"/>
            </w:tcMar>
          </w:tcPr>
          <w:p>
            <w:pPr>
              <w:jc w:val="center"/>
            </w:pPr>
            <w:r/>
            <w:r>
              <w:rPr>
                <w:rFonts w:ascii="Aptos" w:hAnsi="Aptos"/>
                <w:b/>
                <w:color w:val="FFFFFF"/>
                <w:sz w:val="17"/>
              </w:rPr>
              <w:t>Responsibility</w:t>
            </w:r>
          </w:p>
        </w:tc>
      </w:tr>
      <w:tr>
        <w:tc>
          <w:tcPr>
            <w:tcW w:type="dxa" w:w="2880"/>
            <w:vAlign w:val="center"/>
            <w:tcMar>
              <w:top w:w="70" w:type="dxa"/>
              <w:start w:w="80" w:type="dxa"/>
              <w:bottom w:w="70" w:type="dxa"/>
              <w:end w:w="80" w:type="dxa"/>
            </w:tcMar>
          </w:tcPr>
          <w:p>
            <w:r/>
            <w:r>
              <w:rPr>
                <w:rFonts w:ascii="Aptos" w:hAnsi="Aptos"/>
                <w:b w:val="0"/>
                <w:color w:val="1B2A41"/>
                <w:sz w:val="16"/>
              </w:rPr>
              <w:t>Master Data Owner</w:t>
            </w:r>
          </w:p>
        </w:tc>
        <w:tc>
          <w:tcPr>
            <w:tcW w:type="dxa" w:w="7200"/>
            <w:vAlign w:val="center"/>
            <w:tcMar>
              <w:top w:w="70" w:type="dxa"/>
              <w:start w:w="80" w:type="dxa"/>
              <w:bottom w:w="70" w:type="dxa"/>
              <w:end w:w="80" w:type="dxa"/>
            </w:tcMar>
          </w:tcPr>
          <w:p>
            <w:r/>
            <w:r>
              <w:rPr>
                <w:rFonts w:ascii="Aptos" w:hAnsi="Aptos"/>
                <w:b w:val="0"/>
                <w:color w:val="1B2A41"/>
                <w:sz w:val="16"/>
              </w:rPr>
              <w:t>Approves product/location standards and field ownership.</w:t>
            </w:r>
          </w:p>
        </w:tc>
      </w:tr>
      <w:tr>
        <w:tc>
          <w:tcPr>
            <w:tcW w:type="dxa" w:w="2880"/>
            <w:vAlign w:val="center"/>
            <w:tcMar>
              <w:top w:w="70" w:type="dxa"/>
              <w:start w:w="80" w:type="dxa"/>
              <w:bottom w:w="70" w:type="dxa"/>
              <w:end w:w="80" w:type="dxa"/>
            </w:tcMar>
            <w:shd w:fill="F7F9FB"/>
          </w:tcPr>
          <w:p>
            <w:r/>
            <w:r>
              <w:rPr>
                <w:rFonts w:ascii="Aptos" w:hAnsi="Aptos"/>
                <w:b w:val="0"/>
                <w:color w:val="1B2A41"/>
                <w:sz w:val="16"/>
              </w:rPr>
              <w:t>Supply Planner</w:t>
            </w:r>
          </w:p>
        </w:tc>
        <w:tc>
          <w:tcPr>
            <w:tcW w:type="dxa" w:w="7200"/>
            <w:vAlign w:val="center"/>
            <w:tcMar>
              <w:top w:w="70" w:type="dxa"/>
              <w:start w:w="80" w:type="dxa"/>
              <w:bottom w:w="70" w:type="dxa"/>
              <w:end w:w="80" w:type="dxa"/>
            </w:tcMar>
            <w:shd w:fill="F7F9FB"/>
          </w:tcPr>
          <w:p>
            <w:r/>
            <w:r>
              <w:rPr>
                <w:rFonts w:ascii="Aptos" w:hAnsi="Aptos"/>
                <w:b w:val="0"/>
                <w:color w:val="1B2A41"/>
                <w:sz w:val="16"/>
              </w:rPr>
              <w:t>Owns safety stock, lot size, exception review and replenishment parameters.</w:t>
            </w:r>
          </w:p>
        </w:tc>
      </w:tr>
      <w:tr>
        <w:tc>
          <w:tcPr>
            <w:tcW w:type="dxa" w:w="2880"/>
            <w:vAlign w:val="center"/>
            <w:tcMar>
              <w:top w:w="70" w:type="dxa"/>
              <w:start w:w="80" w:type="dxa"/>
              <w:bottom w:w="70" w:type="dxa"/>
              <w:end w:w="80" w:type="dxa"/>
            </w:tcMar>
          </w:tcPr>
          <w:p>
            <w:r/>
            <w:r>
              <w:rPr>
                <w:rFonts w:ascii="Aptos" w:hAnsi="Aptos"/>
                <w:b w:val="0"/>
                <w:color w:val="1B2A41"/>
                <w:sz w:val="16"/>
              </w:rPr>
              <w:t>Procurement</w:t>
            </w:r>
          </w:p>
        </w:tc>
        <w:tc>
          <w:tcPr>
            <w:tcW w:type="dxa" w:w="7200"/>
            <w:vAlign w:val="center"/>
            <w:tcMar>
              <w:top w:w="70" w:type="dxa"/>
              <w:start w:w="80" w:type="dxa"/>
              <w:bottom w:w="70" w:type="dxa"/>
              <w:end w:w="80" w:type="dxa"/>
            </w:tcMar>
          </w:tcPr>
          <w:p>
            <w:r/>
            <w:r>
              <w:rPr>
                <w:rFonts w:ascii="Aptos" w:hAnsi="Aptos"/>
                <w:b w:val="0"/>
                <w:color w:val="1B2A41"/>
                <w:sz w:val="16"/>
              </w:rPr>
              <w:t>Confirms supplier lead time, source validity, MOQ and quota assumptions.</w:t>
            </w:r>
          </w:p>
        </w:tc>
      </w:tr>
      <w:tr>
        <w:tc>
          <w:tcPr>
            <w:tcW w:type="dxa" w:w="2880"/>
            <w:vAlign w:val="center"/>
            <w:tcMar>
              <w:top w:w="70" w:type="dxa"/>
              <w:start w:w="80" w:type="dxa"/>
              <w:bottom w:w="70" w:type="dxa"/>
              <w:end w:w="80" w:type="dxa"/>
            </w:tcMar>
            <w:shd w:fill="F7F9FB"/>
          </w:tcPr>
          <w:p>
            <w:r/>
            <w:r>
              <w:rPr>
                <w:rFonts w:ascii="Aptos" w:hAnsi="Aptos"/>
                <w:b w:val="0"/>
                <w:color w:val="1B2A41"/>
                <w:sz w:val="16"/>
              </w:rPr>
              <w:t>Warehouse / Logistics</w:t>
            </w:r>
          </w:p>
        </w:tc>
        <w:tc>
          <w:tcPr>
            <w:tcW w:type="dxa" w:w="7200"/>
            <w:vAlign w:val="center"/>
            <w:tcMar>
              <w:top w:w="70" w:type="dxa"/>
              <w:start w:w="80" w:type="dxa"/>
              <w:bottom w:w="70" w:type="dxa"/>
              <w:end w:w="80" w:type="dxa"/>
            </w:tcMar>
            <w:shd w:fill="F7F9FB"/>
          </w:tcPr>
          <w:p>
            <w:r/>
            <w:r>
              <w:rPr>
                <w:rFonts w:ascii="Aptos" w:hAnsi="Aptos"/>
                <w:b w:val="0"/>
                <w:color w:val="1B2A41"/>
                <w:sz w:val="16"/>
              </w:rPr>
              <w:t>Confirms receiving calendar, stock accuracy and transport lead time.</w:t>
            </w:r>
          </w:p>
        </w:tc>
      </w:tr>
      <w:tr>
        <w:tc>
          <w:tcPr>
            <w:tcW w:type="dxa" w:w="2880"/>
            <w:vAlign w:val="center"/>
            <w:tcMar>
              <w:top w:w="70" w:type="dxa"/>
              <w:start w:w="80" w:type="dxa"/>
              <w:bottom w:w="70" w:type="dxa"/>
              <w:end w:w="80" w:type="dxa"/>
            </w:tcMar>
          </w:tcPr>
          <w:p>
            <w:r/>
            <w:r>
              <w:rPr>
                <w:rFonts w:ascii="Aptos" w:hAnsi="Aptos"/>
                <w:b w:val="0"/>
                <w:color w:val="1B2A41"/>
                <w:sz w:val="16"/>
              </w:rPr>
              <w:t>IT / SAP Support</w:t>
            </w:r>
          </w:p>
        </w:tc>
        <w:tc>
          <w:tcPr>
            <w:tcW w:type="dxa" w:w="7200"/>
            <w:vAlign w:val="center"/>
            <w:tcMar>
              <w:top w:w="70" w:type="dxa"/>
              <w:start w:w="80" w:type="dxa"/>
              <w:bottom w:w="70" w:type="dxa"/>
              <w:end w:w="80" w:type="dxa"/>
            </w:tcMar>
          </w:tcPr>
          <w:p>
            <w:r/>
            <w:r>
              <w:rPr>
                <w:rFonts w:ascii="Aptos" w:hAnsi="Aptos"/>
                <w:b w:val="0"/>
                <w:color w:val="1B2A41"/>
                <w:sz w:val="16"/>
              </w:rPr>
              <w:t>Controls integration, master-data transfer, logs and access.</w:t>
            </w:r>
          </w:p>
        </w:tc>
      </w:tr>
      <w:tr>
        <w:tc>
          <w:tcPr>
            <w:tcW w:type="dxa" w:w="2880"/>
            <w:vAlign w:val="center"/>
            <w:tcMar>
              <w:top w:w="70" w:type="dxa"/>
              <w:start w:w="80" w:type="dxa"/>
              <w:bottom w:w="70" w:type="dxa"/>
              <w:end w:w="80" w:type="dxa"/>
            </w:tcMar>
            <w:shd w:fill="F7F9FB"/>
          </w:tcPr>
          <w:p>
            <w:r/>
            <w:r>
              <w:rPr>
                <w:rFonts w:ascii="Aptos" w:hAnsi="Aptos"/>
                <w:b w:val="0"/>
                <w:color w:val="1B2A41"/>
                <w:sz w:val="16"/>
              </w:rPr>
              <w:t>Business Approver</w:t>
            </w:r>
          </w:p>
        </w:tc>
        <w:tc>
          <w:tcPr>
            <w:tcW w:type="dxa" w:w="7200"/>
            <w:vAlign w:val="center"/>
            <w:tcMar>
              <w:top w:w="70" w:type="dxa"/>
              <w:start w:w="80" w:type="dxa"/>
              <w:bottom w:w="70" w:type="dxa"/>
              <w:end w:w="80" w:type="dxa"/>
            </w:tcMar>
            <w:shd w:fill="F7F9FB"/>
          </w:tcPr>
          <w:p>
            <w:r/>
            <w:r>
              <w:rPr>
                <w:rFonts w:ascii="Aptos" w:hAnsi="Aptos"/>
                <w:b w:val="0"/>
                <w:color w:val="1B2A41"/>
                <w:sz w:val="16"/>
              </w:rPr>
              <w:t>Signs off material changes that affect cost or service.</w:t>
            </w:r>
          </w:p>
        </w:tc>
      </w:tr>
    </w:tbl>
    <w:p>
      <w:r>
        <w:br w:type="page"/>
      </w:r>
    </w:p>
    <w:p>
      <w:pPr>
        <w:pStyle w:val="Heading1"/>
        <w:spacing w:before="60" w:after="100"/>
      </w:pPr>
      <w:r>
        <w:t>6. Data Mapping Strategy</w:t>
      </w:r>
    </w:p>
    <w:p>
      <w:pPr>
        <w:spacing w:after="100" w:line="259" w:lineRule="auto"/>
      </w:pPr>
      <w:r>
        <w:rPr>
          <w:color w:val="1B2A41"/>
          <w:sz w:val="20"/>
        </w:rPr>
        <w:t>The mapping strategy connects source-system records to SAP APO planning objects. I would keep the source system as the system of record for core execution master data and use APO-specific planning attributes only where they are needed for planning.</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center"/>
            <w:shd w:fill="23395B"/>
            <w:tcMar>
              <w:top w:w="70" w:type="dxa"/>
              <w:start w:w="80" w:type="dxa"/>
              <w:bottom w:w="70" w:type="dxa"/>
              <w:end w:w="80" w:type="dxa"/>
            </w:tcMar>
          </w:tcPr>
          <w:p>
            <w:pPr>
              <w:jc w:val="center"/>
            </w:pPr>
            <w:r/>
            <w:r>
              <w:rPr>
                <w:rFonts w:ascii="Aptos" w:hAnsi="Aptos"/>
                <w:b/>
                <w:color w:val="FFFFFF"/>
                <w:sz w:val="17"/>
              </w:rPr>
              <w:t>Source/business field</w:t>
            </w:r>
          </w:p>
        </w:tc>
        <w:tc>
          <w:tcPr>
            <w:tcW w:type="dxa" w:w="3096"/>
            <w:vAlign w:val="center"/>
            <w:shd w:fill="23395B"/>
            <w:tcMar>
              <w:top w:w="70" w:type="dxa"/>
              <w:start w:w="80" w:type="dxa"/>
              <w:bottom w:w="70" w:type="dxa"/>
              <w:end w:w="80" w:type="dxa"/>
            </w:tcMar>
          </w:tcPr>
          <w:p>
            <w:pPr>
              <w:jc w:val="center"/>
            </w:pPr>
            <w:r/>
            <w:r>
              <w:rPr>
                <w:rFonts w:ascii="Aptos" w:hAnsi="Aptos"/>
                <w:b/>
                <w:color w:val="FFFFFF"/>
                <w:sz w:val="17"/>
              </w:rPr>
              <w:t>Target SAP APO object</w:t>
            </w:r>
          </w:p>
        </w:tc>
        <w:tc>
          <w:tcPr>
            <w:tcW w:type="dxa" w:w="4104"/>
            <w:vAlign w:val="center"/>
            <w:shd w:fill="23395B"/>
            <w:tcMar>
              <w:top w:w="70" w:type="dxa"/>
              <w:start w:w="80" w:type="dxa"/>
              <w:bottom w:w="70" w:type="dxa"/>
              <w:end w:w="80" w:type="dxa"/>
            </w:tcMar>
          </w:tcPr>
          <w:p>
            <w:pPr>
              <w:jc w:val="center"/>
            </w:pPr>
            <w:r/>
            <w:r>
              <w:rPr>
                <w:rFonts w:ascii="Aptos" w:hAnsi="Aptos"/>
                <w:b/>
                <w:color w:val="FFFFFF"/>
                <w:sz w:val="17"/>
              </w:rPr>
              <w:t>Transformation / validation rule</w:t>
            </w:r>
          </w:p>
        </w:tc>
      </w:tr>
      <w:tr>
        <w:tc>
          <w:tcPr>
            <w:tcW w:type="dxa" w:w="2880"/>
            <w:vAlign w:val="center"/>
            <w:tcMar>
              <w:top w:w="70" w:type="dxa"/>
              <w:start w:w="80" w:type="dxa"/>
              <w:bottom w:w="70" w:type="dxa"/>
              <w:end w:w="80" w:type="dxa"/>
            </w:tcMar>
          </w:tcPr>
          <w:p>
            <w:r/>
            <w:r>
              <w:rPr>
                <w:rFonts w:ascii="Aptos" w:hAnsi="Aptos"/>
                <w:b w:val="0"/>
                <w:color w:val="1B2A41"/>
                <w:sz w:val="15"/>
              </w:rPr>
              <w:t>Material number</w:t>
            </w:r>
          </w:p>
        </w:tc>
        <w:tc>
          <w:tcPr>
            <w:tcW w:type="dxa" w:w="3096"/>
            <w:vAlign w:val="center"/>
            <w:tcMar>
              <w:top w:w="70" w:type="dxa"/>
              <w:start w:w="80" w:type="dxa"/>
              <w:bottom w:w="70" w:type="dxa"/>
              <w:end w:w="80" w:type="dxa"/>
            </w:tcMar>
          </w:tcPr>
          <w:p>
            <w:r/>
            <w:r>
              <w:rPr>
                <w:rFonts w:ascii="Aptos" w:hAnsi="Aptos"/>
                <w:b w:val="0"/>
                <w:color w:val="1B2A41"/>
                <w:sz w:val="15"/>
              </w:rPr>
              <w:t>Product master (/SAPAPO/MAT1)</w:t>
            </w:r>
          </w:p>
        </w:tc>
        <w:tc>
          <w:tcPr>
            <w:tcW w:type="dxa" w:w="4104"/>
            <w:vAlign w:val="center"/>
            <w:tcMar>
              <w:top w:w="70" w:type="dxa"/>
              <w:start w:w="80" w:type="dxa"/>
              <w:bottom w:w="70" w:type="dxa"/>
              <w:end w:w="80" w:type="dxa"/>
            </w:tcMar>
          </w:tcPr>
          <w:p>
            <w:r/>
            <w:r>
              <w:rPr>
                <w:rFonts w:ascii="Aptos" w:hAnsi="Aptos"/>
                <w:b w:val="0"/>
                <w:color w:val="1B2A41"/>
                <w:sz w:val="15"/>
              </w:rPr>
              <w:t>Preserve unique ID; reject duplicates and obsolete records.</w:t>
            </w:r>
          </w:p>
        </w:tc>
      </w:tr>
      <w:tr>
        <w:tc>
          <w:tcPr>
            <w:tcW w:type="dxa" w:w="2880"/>
            <w:vAlign w:val="center"/>
            <w:tcMar>
              <w:top w:w="70" w:type="dxa"/>
              <w:start w:w="80" w:type="dxa"/>
              <w:bottom w:w="70" w:type="dxa"/>
              <w:end w:w="80" w:type="dxa"/>
            </w:tcMar>
            <w:shd w:fill="F7F9FB"/>
          </w:tcPr>
          <w:p>
            <w:r/>
            <w:r>
              <w:rPr>
                <w:rFonts w:ascii="Aptos" w:hAnsi="Aptos"/>
                <w:b w:val="0"/>
                <w:color w:val="1B2A41"/>
                <w:sz w:val="15"/>
              </w:rPr>
              <w:t>Material description</w:t>
            </w:r>
          </w:p>
        </w:tc>
        <w:tc>
          <w:tcPr>
            <w:tcW w:type="dxa" w:w="3096"/>
            <w:vAlign w:val="center"/>
            <w:tcMar>
              <w:top w:w="70" w:type="dxa"/>
              <w:start w:w="80" w:type="dxa"/>
              <w:bottom w:w="70" w:type="dxa"/>
              <w:end w:w="80" w:type="dxa"/>
            </w:tcMar>
            <w:shd w:fill="F7F9FB"/>
          </w:tcPr>
          <w:p>
            <w:r/>
            <w:r>
              <w:rPr>
                <w:rFonts w:ascii="Aptos" w:hAnsi="Aptos"/>
                <w:b w:val="0"/>
                <w:color w:val="1B2A41"/>
                <w:sz w:val="15"/>
              </w:rPr>
              <w:t>Product description</w:t>
            </w:r>
          </w:p>
        </w:tc>
        <w:tc>
          <w:tcPr>
            <w:tcW w:type="dxa" w:w="4104"/>
            <w:vAlign w:val="center"/>
            <w:tcMar>
              <w:top w:w="70" w:type="dxa"/>
              <w:start w:w="80" w:type="dxa"/>
              <w:bottom w:w="70" w:type="dxa"/>
              <w:end w:w="80" w:type="dxa"/>
            </w:tcMar>
            <w:shd w:fill="F7F9FB"/>
          </w:tcPr>
          <w:p>
            <w:r/>
            <w:r>
              <w:rPr>
                <w:rFonts w:ascii="Aptos" w:hAnsi="Aptos"/>
                <w:b w:val="0"/>
                <w:color w:val="1B2A41"/>
                <w:sz w:val="15"/>
              </w:rPr>
              <w:t>Standard naming; remove uncontrolled abbreviations.</w:t>
            </w:r>
          </w:p>
        </w:tc>
      </w:tr>
      <w:tr>
        <w:tc>
          <w:tcPr>
            <w:tcW w:type="dxa" w:w="2880"/>
            <w:vAlign w:val="center"/>
            <w:tcMar>
              <w:top w:w="70" w:type="dxa"/>
              <w:start w:w="80" w:type="dxa"/>
              <w:bottom w:w="70" w:type="dxa"/>
              <w:end w:w="80" w:type="dxa"/>
            </w:tcMar>
          </w:tcPr>
          <w:p>
            <w:r/>
            <w:r>
              <w:rPr>
                <w:rFonts w:ascii="Aptos" w:hAnsi="Aptos"/>
                <w:b w:val="0"/>
                <w:color w:val="1B2A41"/>
                <w:sz w:val="15"/>
              </w:rPr>
              <w:t>Base unit of measure</w:t>
            </w:r>
          </w:p>
        </w:tc>
        <w:tc>
          <w:tcPr>
            <w:tcW w:type="dxa" w:w="3096"/>
            <w:vAlign w:val="center"/>
            <w:tcMar>
              <w:top w:w="70" w:type="dxa"/>
              <w:start w:w="80" w:type="dxa"/>
              <w:bottom w:w="70" w:type="dxa"/>
              <w:end w:w="80" w:type="dxa"/>
            </w:tcMar>
          </w:tcPr>
          <w:p>
            <w:r/>
            <w:r>
              <w:rPr>
                <w:rFonts w:ascii="Aptos" w:hAnsi="Aptos"/>
                <w:b w:val="0"/>
                <w:color w:val="1B2A41"/>
                <w:sz w:val="15"/>
              </w:rPr>
              <w:t>Product base UoM</w:t>
            </w:r>
          </w:p>
        </w:tc>
        <w:tc>
          <w:tcPr>
            <w:tcW w:type="dxa" w:w="4104"/>
            <w:vAlign w:val="center"/>
            <w:tcMar>
              <w:top w:w="70" w:type="dxa"/>
              <w:start w:w="80" w:type="dxa"/>
              <w:bottom w:w="70" w:type="dxa"/>
              <w:end w:w="80" w:type="dxa"/>
            </w:tcMar>
          </w:tcPr>
          <w:p>
            <w:r/>
            <w:r>
              <w:rPr>
                <w:rFonts w:ascii="Aptos" w:hAnsi="Aptos"/>
                <w:b w:val="0"/>
                <w:color w:val="1B2A41"/>
                <w:sz w:val="15"/>
              </w:rPr>
              <w:t>Validate conversion factors before transfer.</w:t>
            </w:r>
          </w:p>
        </w:tc>
      </w:tr>
      <w:tr>
        <w:tc>
          <w:tcPr>
            <w:tcW w:type="dxa" w:w="2880"/>
            <w:vAlign w:val="center"/>
            <w:tcMar>
              <w:top w:w="70" w:type="dxa"/>
              <w:start w:w="80" w:type="dxa"/>
              <w:bottom w:w="70" w:type="dxa"/>
              <w:end w:w="80" w:type="dxa"/>
            </w:tcMar>
            <w:shd w:fill="F7F9FB"/>
          </w:tcPr>
          <w:p>
            <w:r/>
            <w:r>
              <w:rPr>
                <w:rFonts w:ascii="Aptos" w:hAnsi="Aptos"/>
                <w:b w:val="0"/>
                <w:color w:val="1B2A41"/>
                <w:sz w:val="15"/>
              </w:rPr>
              <w:t>Plant / DC / Vendor / Customer</w:t>
            </w:r>
          </w:p>
        </w:tc>
        <w:tc>
          <w:tcPr>
            <w:tcW w:type="dxa" w:w="3096"/>
            <w:vAlign w:val="center"/>
            <w:tcMar>
              <w:top w:w="70" w:type="dxa"/>
              <w:start w:w="80" w:type="dxa"/>
              <w:bottom w:w="70" w:type="dxa"/>
              <w:end w:w="80" w:type="dxa"/>
            </w:tcMar>
            <w:shd w:fill="F7F9FB"/>
          </w:tcPr>
          <w:p>
            <w:r/>
            <w:r>
              <w:rPr>
                <w:rFonts w:ascii="Aptos" w:hAnsi="Aptos"/>
                <w:b w:val="0"/>
                <w:color w:val="1B2A41"/>
                <w:sz w:val="15"/>
              </w:rPr>
              <w:t>Location master (/SAPAPO/LOC3)</w:t>
            </w:r>
          </w:p>
        </w:tc>
        <w:tc>
          <w:tcPr>
            <w:tcW w:type="dxa" w:w="4104"/>
            <w:vAlign w:val="center"/>
            <w:tcMar>
              <w:top w:w="70" w:type="dxa"/>
              <w:start w:w="80" w:type="dxa"/>
              <w:bottom w:w="70" w:type="dxa"/>
              <w:end w:w="80" w:type="dxa"/>
            </w:tcMar>
            <w:shd w:fill="F7F9FB"/>
          </w:tcPr>
          <w:p>
            <w:r/>
            <w:r>
              <w:rPr>
                <w:rFonts w:ascii="Aptos" w:hAnsi="Aptos"/>
                <w:b w:val="0"/>
                <w:color w:val="1B2A41"/>
                <w:sz w:val="15"/>
              </w:rPr>
              <w:t>Map to correct location type and confirm address/calendar.</w:t>
            </w:r>
          </w:p>
        </w:tc>
      </w:tr>
      <w:tr>
        <w:tc>
          <w:tcPr>
            <w:tcW w:type="dxa" w:w="2880"/>
            <w:vAlign w:val="center"/>
            <w:tcMar>
              <w:top w:w="70" w:type="dxa"/>
              <w:start w:w="80" w:type="dxa"/>
              <w:bottom w:w="70" w:type="dxa"/>
              <w:end w:w="80" w:type="dxa"/>
            </w:tcMar>
          </w:tcPr>
          <w:p>
            <w:r/>
            <w:r>
              <w:rPr>
                <w:rFonts w:ascii="Aptos" w:hAnsi="Aptos"/>
                <w:b w:val="0"/>
                <w:color w:val="1B2A41"/>
                <w:sz w:val="15"/>
              </w:rPr>
              <w:t>Plant-material combination</w:t>
            </w:r>
          </w:p>
        </w:tc>
        <w:tc>
          <w:tcPr>
            <w:tcW w:type="dxa" w:w="3096"/>
            <w:vAlign w:val="center"/>
            <w:tcMar>
              <w:top w:w="70" w:type="dxa"/>
              <w:start w:w="80" w:type="dxa"/>
              <w:bottom w:w="70" w:type="dxa"/>
              <w:end w:w="80" w:type="dxa"/>
            </w:tcMar>
          </w:tcPr>
          <w:p>
            <w:r/>
            <w:r>
              <w:rPr>
                <w:rFonts w:ascii="Aptos" w:hAnsi="Aptos"/>
                <w:b w:val="0"/>
                <w:color w:val="1B2A41"/>
                <w:sz w:val="15"/>
              </w:rPr>
              <w:t>Location-product</w:t>
            </w:r>
          </w:p>
        </w:tc>
        <w:tc>
          <w:tcPr>
            <w:tcW w:type="dxa" w:w="4104"/>
            <w:vAlign w:val="center"/>
            <w:tcMar>
              <w:top w:w="70" w:type="dxa"/>
              <w:start w:w="80" w:type="dxa"/>
              <w:bottom w:w="70" w:type="dxa"/>
              <w:end w:w="80" w:type="dxa"/>
            </w:tcMar>
          </w:tcPr>
          <w:p>
            <w:r/>
            <w:r>
              <w:rPr>
                <w:rFonts w:ascii="Aptos" w:hAnsi="Aptos"/>
                <w:b w:val="0"/>
                <w:color w:val="1B2A41"/>
                <w:sz w:val="15"/>
              </w:rPr>
              <w:t>Create only for valid planning combinations.</w:t>
            </w:r>
          </w:p>
        </w:tc>
      </w:tr>
      <w:tr>
        <w:tc>
          <w:tcPr>
            <w:tcW w:type="dxa" w:w="2880"/>
            <w:vAlign w:val="center"/>
            <w:tcMar>
              <w:top w:w="70" w:type="dxa"/>
              <w:start w:w="80" w:type="dxa"/>
              <w:bottom w:w="70" w:type="dxa"/>
              <w:end w:w="80" w:type="dxa"/>
            </w:tcMar>
            <w:shd w:fill="F7F9FB"/>
          </w:tcPr>
          <w:p>
            <w:r/>
            <w:r>
              <w:rPr>
                <w:rFonts w:ascii="Aptos" w:hAnsi="Aptos"/>
                <w:b w:val="0"/>
                <w:color w:val="1B2A41"/>
                <w:sz w:val="15"/>
              </w:rPr>
              <w:t>Work center / capacity</w:t>
            </w:r>
          </w:p>
        </w:tc>
        <w:tc>
          <w:tcPr>
            <w:tcW w:type="dxa" w:w="3096"/>
            <w:vAlign w:val="center"/>
            <w:tcMar>
              <w:top w:w="70" w:type="dxa"/>
              <w:start w:w="80" w:type="dxa"/>
              <w:bottom w:w="70" w:type="dxa"/>
              <w:end w:w="80" w:type="dxa"/>
            </w:tcMar>
            <w:shd w:fill="F7F9FB"/>
          </w:tcPr>
          <w:p>
            <w:r/>
            <w:r>
              <w:rPr>
                <w:rFonts w:ascii="Aptos" w:hAnsi="Aptos"/>
                <w:b w:val="0"/>
                <w:color w:val="1B2A41"/>
                <w:sz w:val="15"/>
              </w:rPr>
              <w:t>Resource (/SAPAPO/RES01)</w:t>
            </w:r>
          </w:p>
        </w:tc>
        <w:tc>
          <w:tcPr>
            <w:tcW w:type="dxa" w:w="4104"/>
            <w:vAlign w:val="center"/>
            <w:tcMar>
              <w:top w:w="70" w:type="dxa"/>
              <w:start w:w="80" w:type="dxa"/>
              <w:bottom w:w="70" w:type="dxa"/>
              <w:end w:w="80" w:type="dxa"/>
            </w:tcMar>
            <w:shd w:fill="F7F9FB"/>
          </w:tcPr>
          <w:p>
            <w:r/>
            <w:r>
              <w:rPr>
                <w:rFonts w:ascii="Aptos" w:hAnsi="Aptos"/>
                <w:b w:val="0"/>
                <w:color w:val="1B2A41"/>
                <w:sz w:val="15"/>
              </w:rPr>
              <w:t>Validate calendar, capacity and unit of capacity.</w:t>
            </w:r>
          </w:p>
        </w:tc>
      </w:tr>
      <w:tr>
        <w:tc>
          <w:tcPr>
            <w:tcW w:type="dxa" w:w="2880"/>
            <w:vAlign w:val="center"/>
            <w:tcMar>
              <w:top w:w="70" w:type="dxa"/>
              <w:start w:w="80" w:type="dxa"/>
              <w:bottom w:w="70" w:type="dxa"/>
              <w:end w:w="80" w:type="dxa"/>
            </w:tcMar>
          </w:tcPr>
          <w:p>
            <w:r/>
            <w:r>
              <w:rPr>
                <w:rFonts w:ascii="Aptos" w:hAnsi="Aptos"/>
                <w:b w:val="0"/>
                <w:color w:val="1B2A41"/>
                <w:sz w:val="15"/>
              </w:rPr>
              <w:t>Purchasing source / supplier relationship</w:t>
            </w:r>
          </w:p>
        </w:tc>
        <w:tc>
          <w:tcPr>
            <w:tcW w:type="dxa" w:w="3096"/>
            <w:vAlign w:val="center"/>
            <w:tcMar>
              <w:top w:w="70" w:type="dxa"/>
              <w:start w:w="80" w:type="dxa"/>
              <w:bottom w:w="70" w:type="dxa"/>
              <w:end w:w="80" w:type="dxa"/>
            </w:tcMar>
          </w:tcPr>
          <w:p>
            <w:r/>
            <w:r>
              <w:rPr>
                <w:rFonts w:ascii="Aptos" w:hAnsi="Aptos"/>
                <w:b w:val="0"/>
                <w:color w:val="1B2A41"/>
                <w:sz w:val="15"/>
              </w:rPr>
              <w:t>External source of supply</w:t>
            </w:r>
          </w:p>
        </w:tc>
        <w:tc>
          <w:tcPr>
            <w:tcW w:type="dxa" w:w="4104"/>
            <w:vAlign w:val="center"/>
            <w:tcMar>
              <w:top w:w="70" w:type="dxa"/>
              <w:start w:w="80" w:type="dxa"/>
              <w:bottom w:w="70" w:type="dxa"/>
              <w:end w:w="80" w:type="dxa"/>
            </w:tcMar>
          </w:tcPr>
          <w:p>
            <w:r/>
            <w:r>
              <w:rPr>
                <w:rFonts w:ascii="Aptos" w:hAnsi="Aptos"/>
                <w:b w:val="0"/>
                <w:color w:val="1B2A41"/>
                <w:sz w:val="15"/>
              </w:rPr>
              <w:t>Check validity period, source location and procurement lead time.</w:t>
            </w:r>
          </w:p>
        </w:tc>
      </w:tr>
      <w:tr>
        <w:tc>
          <w:tcPr>
            <w:tcW w:type="dxa" w:w="2880"/>
            <w:vAlign w:val="center"/>
            <w:tcMar>
              <w:top w:w="70" w:type="dxa"/>
              <w:start w:w="80" w:type="dxa"/>
              <w:bottom w:w="70" w:type="dxa"/>
              <w:end w:w="80" w:type="dxa"/>
            </w:tcMar>
            <w:shd w:fill="F7F9FB"/>
          </w:tcPr>
          <w:p>
            <w:r/>
            <w:r>
              <w:rPr>
                <w:rFonts w:ascii="Aptos" w:hAnsi="Aptos"/>
                <w:b w:val="0"/>
                <w:color w:val="1B2A41"/>
                <w:sz w:val="15"/>
              </w:rPr>
              <w:t>BOM + routing / recipe</w:t>
            </w:r>
          </w:p>
        </w:tc>
        <w:tc>
          <w:tcPr>
            <w:tcW w:type="dxa" w:w="3096"/>
            <w:vAlign w:val="center"/>
            <w:tcMar>
              <w:top w:w="70" w:type="dxa"/>
              <w:start w:w="80" w:type="dxa"/>
              <w:bottom w:w="70" w:type="dxa"/>
              <w:end w:w="80" w:type="dxa"/>
            </w:tcMar>
            <w:shd w:fill="F7F9FB"/>
          </w:tcPr>
          <w:p>
            <w:r/>
            <w:r>
              <w:rPr>
                <w:rFonts w:ascii="Aptos" w:hAnsi="Aptos"/>
                <w:b w:val="0"/>
                <w:color w:val="1B2A41"/>
                <w:sz w:val="15"/>
              </w:rPr>
              <w:t>PDS or PPM planning source</w:t>
            </w:r>
          </w:p>
        </w:tc>
        <w:tc>
          <w:tcPr>
            <w:tcW w:type="dxa" w:w="4104"/>
            <w:vAlign w:val="center"/>
            <w:tcMar>
              <w:top w:w="70" w:type="dxa"/>
              <w:start w:w="80" w:type="dxa"/>
              <w:bottom w:w="70" w:type="dxa"/>
              <w:end w:w="80" w:type="dxa"/>
            </w:tcMar>
            <w:shd w:fill="F7F9FB"/>
          </w:tcPr>
          <w:p>
            <w:r/>
            <w:r>
              <w:rPr>
                <w:rFonts w:ascii="Aptos" w:hAnsi="Aptos"/>
                <w:b w:val="0"/>
                <w:color w:val="1B2A41"/>
                <w:sz w:val="15"/>
              </w:rPr>
              <w:t>Confirm component quantity, production duration and resource assignment.</w:t>
            </w:r>
          </w:p>
        </w:tc>
      </w:tr>
      <w:tr>
        <w:tc>
          <w:tcPr>
            <w:tcW w:type="dxa" w:w="2880"/>
            <w:vAlign w:val="center"/>
            <w:tcMar>
              <w:top w:w="70" w:type="dxa"/>
              <w:start w:w="80" w:type="dxa"/>
              <w:bottom w:w="70" w:type="dxa"/>
              <w:end w:w="80" w:type="dxa"/>
            </w:tcMar>
          </w:tcPr>
          <w:p>
            <w:r/>
            <w:r>
              <w:rPr>
                <w:rFonts w:ascii="Aptos" w:hAnsi="Aptos"/>
                <w:b w:val="0"/>
                <w:color w:val="1B2A41"/>
                <w:sz w:val="15"/>
              </w:rPr>
              <w:t>Source-destination route</w:t>
            </w:r>
          </w:p>
        </w:tc>
        <w:tc>
          <w:tcPr>
            <w:tcW w:type="dxa" w:w="3096"/>
            <w:vAlign w:val="center"/>
            <w:tcMar>
              <w:top w:w="70" w:type="dxa"/>
              <w:start w:w="80" w:type="dxa"/>
              <w:bottom w:w="70" w:type="dxa"/>
              <w:end w:w="80" w:type="dxa"/>
            </w:tcMar>
          </w:tcPr>
          <w:p>
            <w:r/>
            <w:r>
              <w:rPr>
                <w:rFonts w:ascii="Aptos" w:hAnsi="Aptos"/>
                <w:b w:val="0"/>
                <w:color w:val="1B2A41"/>
                <w:sz w:val="15"/>
              </w:rPr>
              <w:t>Transportation lane (/SAPAPO/SCC_TL1)</w:t>
            </w:r>
          </w:p>
        </w:tc>
        <w:tc>
          <w:tcPr>
            <w:tcW w:type="dxa" w:w="4104"/>
            <w:vAlign w:val="center"/>
            <w:tcMar>
              <w:top w:w="70" w:type="dxa"/>
              <w:start w:w="80" w:type="dxa"/>
              <w:bottom w:w="70" w:type="dxa"/>
              <w:end w:w="80" w:type="dxa"/>
            </w:tcMar>
          </w:tcPr>
          <w:p>
            <w:r/>
            <w:r>
              <w:rPr>
                <w:rFonts w:ascii="Aptos" w:hAnsi="Aptos"/>
                <w:b w:val="0"/>
                <w:color w:val="1B2A41"/>
                <w:sz w:val="15"/>
              </w:rPr>
              <w:t>Validate transit time, product assignment and means of transport.</w:t>
            </w:r>
          </w:p>
        </w:tc>
      </w:tr>
      <w:tr>
        <w:tc>
          <w:tcPr>
            <w:tcW w:type="dxa" w:w="2880"/>
            <w:vAlign w:val="center"/>
            <w:tcMar>
              <w:top w:w="70" w:type="dxa"/>
              <w:start w:w="80" w:type="dxa"/>
              <w:bottom w:w="70" w:type="dxa"/>
              <w:end w:w="80" w:type="dxa"/>
            </w:tcMar>
            <w:shd w:fill="F7F9FB"/>
          </w:tcPr>
          <w:p>
            <w:r/>
            <w:r>
              <w:rPr>
                <w:rFonts w:ascii="Aptos" w:hAnsi="Aptos"/>
                <w:b w:val="0"/>
                <w:color w:val="1B2A41"/>
                <w:sz w:val="15"/>
              </w:rPr>
              <w:t>Stock / open orders / requirements</w:t>
            </w:r>
          </w:p>
        </w:tc>
        <w:tc>
          <w:tcPr>
            <w:tcW w:type="dxa" w:w="3096"/>
            <w:vAlign w:val="center"/>
            <w:tcMar>
              <w:top w:w="70" w:type="dxa"/>
              <w:start w:w="80" w:type="dxa"/>
              <w:bottom w:w="70" w:type="dxa"/>
              <w:end w:w="80" w:type="dxa"/>
            </w:tcMar>
            <w:shd w:fill="F7F9FB"/>
          </w:tcPr>
          <w:p>
            <w:r/>
            <w:r>
              <w:rPr>
                <w:rFonts w:ascii="Aptos" w:hAnsi="Aptos"/>
                <w:b w:val="0"/>
                <w:color w:val="1B2A41"/>
                <w:sz w:val="15"/>
              </w:rPr>
              <w:t>Transaction data for planning</w:t>
            </w:r>
          </w:p>
        </w:tc>
        <w:tc>
          <w:tcPr>
            <w:tcW w:type="dxa" w:w="4104"/>
            <w:vAlign w:val="center"/>
            <w:tcMar>
              <w:top w:w="70" w:type="dxa"/>
              <w:start w:w="80" w:type="dxa"/>
              <w:bottom w:w="70" w:type="dxa"/>
              <w:end w:w="80" w:type="dxa"/>
            </w:tcMar>
            <w:shd w:fill="F7F9FB"/>
          </w:tcPr>
          <w:p>
            <w:r/>
            <w:r>
              <w:rPr>
                <w:rFonts w:ascii="Aptos" w:hAnsi="Aptos"/>
                <w:b w:val="0"/>
                <w:color w:val="1B2A41"/>
                <w:sz w:val="15"/>
              </w:rPr>
              <w:t>Transfer only after required master data is valid and active.</w:t>
            </w:r>
          </w:p>
        </w:tc>
      </w:tr>
    </w:tbl>
    <w:p>
      <w:pPr>
        <w:pStyle w:val="Heading2"/>
        <w:spacing w:before="60" w:after="100"/>
      </w:pPr>
      <w:r>
        <w:t>6.1 Mapping controls</w:t>
      </w:r>
    </w:p>
    <w:p>
      <w:pPr>
        <w:pStyle w:val="ListBullet"/>
        <w:spacing w:after="40"/>
        <w:ind w:left="259"/>
      </w:pPr>
      <w:r>
        <w:rPr>
          <w:color w:val="1B2A41"/>
          <w:sz w:val="19"/>
        </w:rPr>
        <w:t>Maintain a source-to-target field dictionary with owner, datatype, mandatory flag and transformation rule.</w:t>
      </w:r>
    </w:p>
    <w:p>
      <w:pPr>
        <w:pStyle w:val="ListBullet"/>
        <w:spacing w:after="40"/>
        <w:ind w:left="259"/>
      </w:pPr>
      <w:r>
        <w:rPr>
          <w:color w:val="1B2A41"/>
          <w:sz w:val="19"/>
        </w:rPr>
        <w:t>Do not silently default critical fields such as base UoM, lead time or location type; route them to an exception queue.</w:t>
      </w:r>
    </w:p>
    <w:p>
      <w:pPr>
        <w:pStyle w:val="ListBullet"/>
        <w:spacing w:after="40"/>
        <w:ind w:left="259"/>
      </w:pPr>
      <w:r>
        <w:rPr>
          <w:color w:val="1B2A41"/>
          <w:sz w:val="19"/>
        </w:rPr>
        <w:t>Reconcile object counts before and after transfer and sample-check high-value A-items.</w:t>
      </w:r>
    </w:p>
    <w:p>
      <w:pPr>
        <w:pStyle w:val="ListBullet"/>
        <w:spacing w:after="40"/>
        <w:ind w:left="259"/>
      </w:pPr>
      <w:r>
        <w:rPr>
          <w:color w:val="1B2A41"/>
          <w:sz w:val="19"/>
        </w:rPr>
        <w:t>Version-control mapping changes so inventory shifts can be traced back to parameter changes.</w:t>
      </w:r>
    </w:p>
    <w:p>
      <w:r>
        <w:br w:type="page"/>
      </w:r>
    </w:p>
    <w:p>
      <w:pPr>
        <w:pStyle w:val="Heading1"/>
        <w:spacing w:before="60" w:after="100"/>
      </w:pPr>
      <w:r>
        <w:t>7. Data Cleansing, Integration and Migration</w:t>
      </w:r>
    </w:p>
    <w:p>
      <w:pPr>
        <w:spacing w:after="100" w:line="259" w:lineRule="auto"/>
      </w:pPr>
      <w:r>
        <w:rPr>
          <w:color w:val="1B2A41"/>
          <w:sz w:val="20"/>
        </w:rPr>
        <w:t>The cleansing sequence is designed to prevent bad data from entering the planning model. I would profile first, correct in staging or the source system with owner approval, and only then activate the transfer.</w:t>
      </w:r>
    </w:p>
    <w:p>
      <w:pPr>
        <w:pStyle w:val="Heading2"/>
        <w:spacing w:before="60" w:after="100"/>
      </w:pPr>
      <w:r>
        <w:t>7.1 Example cleansing rules</w:t>
      </w:r>
    </w:p>
    <w:tbl>
      <w:tblPr>
        <w:tblStyle w:val="TableGrid"/>
        <w:tblW w:type="auto" w:w="0"/>
        <w:jc w:val="center"/>
        <w:tblLook w:firstColumn="1" w:firstRow="1" w:lastColumn="0" w:lastRow="0" w:noHBand="0" w:noVBand="1" w:val="04A0"/>
      </w:tblPr>
      <w:tblGrid>
        <w:gridCol w:w="3456"/>
        <w:gridCol w:w="3456"/>
        <w:gridCol w:w="3456"/>
      </w:tblGrid>
      <w:tr>
        <w:tc>
          <w:tcPr>
            <w:tcW w:type="dxa" w:w="2304"/>
            <w:vAlign w:val="center"/>
            <w:shd w:fill="23395B"/>
            <w:tcMar>
              <w:top w:w="70" w:type="dxa"/>
              <w:start w:w="80" w:type="dxa"/>
              <w:bottom w:w="70" w:type="dxa"/>
              <w:end w:w="80" w:type="dxa"/>
            </w:tcMar>
          </w:tcPr>
          <w:p>
            <w:pPr>
              <w:jc w:val="center"/>
            </w:pPr>
            <w:r/>
            <w:r>
              <w:rPr>
                <w:rFonts w:ascii="Aptos" w:hAnsi="Aptos"/>
                <w:b/>
                <w:color w:val="FFFFFF"/>
                <w:sz w:val="17"/>
              </w:rPr>
              <w:t>Issue</w:t>
            </w:r>
          </w:p>
        </w:tc>
        <w:tc>
          <w:tcPr>
            <w:tcW w:type="dxa" w:w="4320"/>
            <w:vAlign w:val="center"/>
            <w:shd w:fill="23395B"/>
            <w:tcMar>
              <w:top w:w="70" w:type="dxa"/>
              <w:start w:w="80" w:type="dxa"/>
              <w:bottom w:w="70" w:type="dxa"/>
              <w:end w:w="80" w:type="dxa"/>
            </w:tcMar>
          </w:tcPr>
          <w:p>
            <w:pPr>
              <w:jc w:val="center"/>
            </w:pPr>
            <w:r/>
            <w:r>
              <w:rPr>
                <w:rFonts w:ascii="Aptos" w:hAnsi="Aptos"/>
                <w:b/>
                <w:color w:val="FFFFFF"/>
                <w:sz w:val="17"/>
              </w:rPr>
              <w:t>Rule</w:t>
            </w:r>
          </w:p>
        </w:tc>
        <w:tc>
          <w:tcPr>
            <w:tcW w:type="dxa" w:w="3456"/>
            <w:vAlign w:val="center"/>
            <w:shd w:fill="23395B"/>
            <w:tcMar>
              <w:top w:w="70" w:type="dxa"/>
              <w:start w:w="80" w:type="dxa"/>
              <w:bottom w:w="70" w:type="dxa"/>
              <w:end w:w="80" w:type="dxa"/>
            </w:tcMar>
          </w:tcPr>
          <w:p>
            <w:pPr>
              <w:jc w:val="center"/>
            </w:pPr>
            <w:r/>
            <w:r>
              <w:rPr>
                <w:rFonts w:ascii="Aptos" w:hAnsi="Aptos"/>
                <w:b/>
                <w:color w:val="FFFFFF"/>
                <w:sz w:val="17"/>
              </w:rPr>
              <w:t>Action</w:t>
            </w:r>
          </w:p>
        </w:tc>
      </w:tr>
      <w:tr>
        <w:tc>
          <w:tcPr>
            <w:tcW w:type="dxa" w:w="2304"/>
            <w:vAlign w:val="center"/>
            <w:tcMar>
              <w:top w:w="70" w:type="dxa"/>
              <w:start w:w="80" w:type="dxa"/>
              <w:bottom w:w="70" w:type="dxa"/>
              <w:end w:w="80" w:type="dxa"/>
            </w:tcMar>
          </w:tcPr>
          <w:p>
            <w:r/>
            <w:r>
              <w:rPr>
                <w:rFonts w:ascii="Aptos" w:hAnsi="Aptos"/>
                <w:b w:val="0"/>
                <w:color w:val="1B2A41"/>
                <w:sz w:val="16"/>
              </w:rPr>
              <w:t>Duplicate product-location</w:t>
            </w:r>
          </w:p>
        </w:tc>
        <w:tc>
          <w:tcPr>
            <w:tcW w:type="dxa" w:w="4320"/>
            <w:vAlign w:val="center"/>
            <w:tcMar>
              <w:top w:w="70" w:type="dxa"/>
              <w:start w:w="80" w:type="dxa"/>
              <w:bottom w:w="70" w:type="dxa"/>
              <w:end w:w="80" w:type="dxa"/>
            </w:tcMar>
          </w:tcPr>
          <w:p>
            <w:r/>
            <w:r>
              <w:rPr>
                <w:rFonts w:ascii="Aptos" w:hAnsi="Aptos"/>
                <w:b w:val="0"/>
                <w:color w:val="1B2A41"/>
                <w:sz w:val="16"/>
              </w:rPr>
              <w:t>Same product + location appears more than once</w:t>
            </w:r>
          </w:p>
        </w:tc>
        <w:tc>
          <w:tcPr>
            <w:tcW w:type="dxa" w:w="3456"/>
            <w:vAlign w:val="center"/>
            <w:tcMar>
              <w:top w:w="70" w:type="dxa"/>
              <w:start w:w="80" w:type="dxa"/>
              <w:bottom w:w="70" w:type="dxa"/>
              <w:end w:w="80" w:type="dxa"/>
            </w:tcMar>
          </w:tcPr>
          <w:p>
            <w:r/>
            <w:r>
              <w:rPr>
                <w:rFonts w:ascii="Aptos" w:hAnsi="Aptos"/>
                <w:b w:val="0"/>
                <w:color w:val="1B2A41"/>
                <w:sz w:val="16"/>
              </w:rPr>
              <w:t>Retain approved active record; merge dependent attributes.</w:t>
            </w:r>
          </w:p>
        </w:tc>
      </w:tr>
      <w:tr>
        <w:tc>
          <w:tcPr>
            <w:tcW w:type="dxa" w:w="2304"/>
            <w:vAlign w:val="center"/>
            <w:tcMar>
              <w:top w:w="70" w:type="dxa"/>
              <w:start w:w="80" w:type="dxa"/>
              <w:bottom w:w="70" w:type="dxa"/>
              <w:end w:w="80" w:type="dxa"/>
            </w:tcMar>
            <w:shd w:fill="F7F9FB"/>
          </w:tcPr>
          <w:p>
            <w:r/>
            <w:r>
              <w:rPr>
                <w:rFonts w:ascii="Aptos" w:hAnsi="Aptos"/>
                <w:b w:val="0"/>
                <w:color w:val="1B2A41"/>
                <w:sz w:val="16"/>
              </w:rPr>
              <w:t>UoM mismatch</w:t>
            </w:r>
          </w:p>
        </w:tc>
        <w:tc>
          <w:tcPr>
            <w:tcW w:type="dxa" w:w="4320"/>
            <w:vAlign w:val="center"/>
            <w:tcMar>
              <w:top w:w="70" w:type="dxa"/>
              <w:start w:w="80" w:type="dxa"/>
              <w:bottom w:w="70" w:type="dxa"/>
              <w:end w:w="80" w:type="dxa"/>
            </w:tcMar>
            <w:shd w:fill="F7F9FB"/>
          </w:tcPr>
          <w:p>
            <w:r/>
            <w:r>
              <w:rPr>
                <w:rFonts w:ascii="Aptos" w:hAnsi="Aptos"/>
                <w:b w:val="0"/>
                <w:color w:val="1B2A41"/>
                <w:sz w:val="16"/>
              </w:rPr>
              <w:t>Source says KG while planning record uses EA without conversion</w:t>
            </w:r>
          </w:p>
        </w:tc>
        <w:tc>
          <w:tcPr>
            <w:tcW w:type="dxa" w:w="3456"/>
            <w:vAlign w:val="center"/>
            <w:tcMar>
              <w:top w:w="70" w:type="dxa"/>
              <w:start w:w="80" w:type="dxa"/>
              <w:bottom w:w="70" w:type="dxa"/>
              <w:end w:w="80" w:type="dxa"/>
            </w:tcMar>
            <w:shd w:fill="F7F9FB"/>
          </w:tcPr>
          <w:p>
            <w:r/>
            <w:r>
              <w:rPr>
                <w:rFonts w:ascii="Aptos" w:hAnsi="Aptos"/>
                <w:b w:val="0"/>
                <w:color w:val="1B2A41"/>
                <w:sz w:val="16"/>
              </w:rPr>
              <w:t>Block transfer until conversion is approved.</w:t>
            </w:r>
          </w:p>
        </w:tc>
      </w:tr>
      <w:tr>
        <w:tc>
          <w:tcPr>
            <w:tcW w:type="dxa" w:w="2304"/>
            <w:vAlign w:val="center"/>
            <w:tcMar>
              <w:top w:w="70" w:type="dxa"/>
              <w:start w:w="80" w:type="dxa"/>
              <w:bottom w:w="70" w:type="dxa"/>
              <w:end w:w="80" w:type="dxa"/>
            </w:tcMar>
          </w:tcPr>
          <w:p>
            <w:r/>
            <w:r>
              <w:rPr>
                <w:rFonts w:ascii="Aptos" w:hAnsi="Aptos"/>
                <w:b w:val="0"/>
                <w:color w:val="1B2A41"/>
                <w:sz w:val="16"/>
              </w:rPr>
              <w:t>Zero/negative lead time</w:t>
            </w:r>
          </w:p>
        </w:tc>
        <w:tc>
          <w:tcPr>
            <w:tcW w:type="dxa" w:w="4320"/>
            <w:vAlign w:val="center"/>
            <w:tcMar>
              <w:top w:w="70" w:type="dxa"/>
              <w:start w:w="80" w:type="dxa"/>
              <w:bottom w:w="70" w:type="dxa"/>
              <w:end w:w="80" w:type="dxa"/>
            </w:tcMar>
          </w:tcPr>
          <w:p>
            <w:r/>
            <w:r>
              <w:rPr>
                <w:rFonts w:ascii="Aptos" w:hAnsi="Aptos"/>
                <w:b w:val="0"/>
                <w:color w:val="1B2A41"/>
                <w:sz w:val="16"/>
              </w:rPr>
              <w:t>Procurement or transport lead time ≤ 0</w:t>
            </w:r>
          </w:p>
        </w:tc>
        <w:tc>
          <w:tcPr>
            <w:tcW w:type="dxa" w:w="3456"/>
            <w:vAlign w:val="center"/>
            <w:tcMar>
              <w:top w:w="70" w:type="dxa"/>
              <w:start w:w="80" w:type="dxa"/>
              <w:bottom w:w="70" w:type="dxa"/>
              <w:end w:w="80" w:type="dxa"/>
            </w:tcMar>
          </w:tcPr>
          <w:p>
            <w:r/>
            <w:r>
              <w:rPr>
                <w:rFonts w:ascii="Aptos" w:hAnsi="Aptos"/>
                <w:b w:val="0"/>
                <w:color w:val="1B2A41"/>
                <w:sz w:val="16"/>
              </w:rPr>
              <w:t>Flag as critical; confirm with procurement/logistics.</w:t>
            </w:r>
          </w:p>
        </w:tc>
      </w:tr>
      <w:tr>
        <w:tc>
          <w:tcPr>
            <w:tcW w:type="dxa" w:w="2304"/>
            <w:vAlign w:val="center"/>
            <w:tcMar>
              <w:top w:w="70" w:type="dxa"/>
              <w:start w:w="80" w:type="dxa"/>
              <w:bottom w:w="70" w:type="dxa"/>
              <w:end w:w="80" w:type="dxa"/>
            </w:tcMar>
            <w:shd w:fill="F7F9FB"/>
          </w:tcPr>
          <w:p>
            <w:r/>
            <w:r>
              <w:rPr>
                <w:rFonts w:ascii="Aptos" w:hAnsi="Aptos"/>
                <w:b w:val="0"/>
                <w:color w:val="1B2A41"/>
                <w:sz w:val="16"/>
              </w:rPr>
              <w:t>Obsolete product still active</w:t>
            </w:r>
          </w:p>
        </w:tc>
        <w:tc>
          <w:tcPr>
            <w:tcW w:type="dxa" w:w="4320"/>
            <w:vAlign w:val="center"/>
            <w:tcMar>
              <w:top w:w="70" w:type="dxa"/>
              <w:start w:w="80" w:type="dxa"/>
              <w:bottom w:w="70" w:type="dxa"/>
              <w:end w:w="80" w:type="dxa"/>
            </w:tcMar>
            <w:shd w:fill="F7F9FB"/>
          </w:tcPr>
          <w:p>
            <w:r/>
            <w:r>
              <w:rPr>
                <w:rFonts w:ascii="Aptos" w:hAnsi="Aptos"/>
                <w:b w:val="0"/>
                <w:color w:val="1B2A41"/>
                <w:sz w:val="16"/>
              </w:rPr>
              <w:t>Discontinued material included in planning scope</w:t>
            </w:r>
          </w:p>
        </w:tc>
        <w:tc>
          <w:tcPr>
            <w:tcW w:type="dxa" w:w="3456"/>
            <w:vAlign w:val="center"/>
            <w:tcMar>
              <w:top w:w="70" w:type="dxa"/>
              <w:start w:w="80" w:type="dxa"/>
              <w:bottom w:w="70" w:type="dxa"/>
              <w:end w:w="80" w:type="dxa"/>
            </w:tcMar>
            <w:shd w:fill="F7F9FB"/>
          </w:tcPr>
          <w:p>
            <w:r/>
            <w:r>
              <w:rPr>
                <w:rFonts w:ascii="Aptos" w:hAnsi="Aptos"/>
                <w:b w:val="0"/>
                <w:color w:val="1B2A41"/>
                <w:sz w:val="16"/>
              </w:rPr>
              <w:t>Exclude or set valid end date based on business sign-off.</w:t>
            </w:r>
          </w:p>
        </w:tc>
      </w:tr>
      <w:tr>
        <w:tc>
          <w:tcPr>
            <w:tcW w:type="dxa" w:w="2304"/>
            <w:vAlign w:val="center"/>
            <w:tcMar>
              <w:top w:w="70" w:type="dxa"/>
              <w:start w:w="80" w:type="dxa"/>
              <w:bottom w:w="70" w:type="dxa"/>
              <w:end w:w="80" w:type="dxa"/>
            </w:tcMar>
          </w:tcPr>
          <w:p>
            <w:r/>
            <w:r>
              <w:rPr>
                <w:rFonts w:ascii="Aptos" w:hAnsi="Aptos"/>
                <w:b w:val="0"/>
                <w:color w:val="1B2A41"/>
                <w:sz w:val="16"/>
              </w:rPr>
              <w:t>Missing location calendar</w:t>
            </w:r>
          </w:p>
        </w:tc>
        <w:tc>
          <w:tcPr>
            <w:tcW w:type="dxa" w:w="4320"/>
            <w:vAlign w:val="center"/>
            <w:tcMar>
              <w:top w:w="70" w:type="dxa"/>
              <w:start w:w="80" w:type="dxa"/>
              <w:bottom w:w="70" w:type="dxa"/>
              <w:end w:w="80" w:type="dxa"/>
            </w:tcMar>
          </w:tcPr>
          <w:p>
            <w:r/>
            <w:r>
              <w:rPr>
                <w:rFonts w:ascii="Aptos" w:hAnsi="Aptos"/>
                <w:b w:val="0"/>
                <w:color w:val="1B2A41"/>
                <w:sz w:val="16"/>
              </w:rPr>
              <w:t>No valid receiving/shipping calendar</w:t>
            </w:r>
          </w:p>
        </w:tc>
        <w:tc>
          <w:tcPr>
            <w:tcW w:type="dxa" w:w="3456"/>
            <w:vAlign w:val="center"/>
            <w:tcMar>
              <w:top w:w="70" w:type="dxa"/>
              <w:start w:w="80" w:type="dxa"/>
              <w:bottom w:w="70" w:type="dxa"/>
              <w:end w:w="80" w:type="dxa"/>
            </w:tcMar>
          </w:tcPr>
          <w:p>
            <w:r/>
            <w:r>
              <w:rPr>
                <w:rFonts w:ascii="Aptos" w:hAnsi="Aptos"/>
                <w:b w:val="0"/>
                <w:color w:val="1B2A41"/>
                <w:sz w:val="16"/>
              </w:rPr>
              <w:t>Assign approved calendar before planning.</w:t>
            </w:r>
          </w:p>
        </w:tc>
      </w:tr>
      <w:tr>
        <w:tc>
          <w:tcPr>
            <w:tcW w:type="dxa" w:w="2304"/>
            <w:vAlign w:val="center"/>
            <w:tcMar>
              <w:top w:w="70" w:type="dxa"/>
              <w:start w:w="80" w:type="dxa"/>
              <w:bottom w:w="70" w:type="dxa"/>
              <w:end w:w="80" w:type="dxa"/>
            </w:tcMar>
            <w:shd w:fill="F7F9FB"/>
          </w:tcPr>
          <w:p>
            <w:r/>
            <w:r>
              <w:rPr>
                <w:rFonts w:ascii="Aptos" w:hAnsi="Aptos"/>
                <w:b w:val="0"/>
                <w:color w:val="1B2A41"/>
                <w:sz w:val="16"/>
              </w:rPr>
              <w:t>Extreme safety stock</w:t>
            </w:r>
          </w:p>
        </w:tc>
        <w:tc>
          <w:tcPr>
            <w:tcW w:type="dxa" w:w="4320"/>
            <w:vAlign w:val="center"/>
            <w:tcMar>
              <w:top w:w="70" w:type="dxa"/>
              <w:start w:w="80" w:type="dxa"/>
              <w:bottom w:w="70" w:type="dxa"/>
              <w:end w:w="80" w:type="dxa"/>
            </w:tcMar>
            <w:shd w:fill="F7F9FB"/>
          </w:tcPr>
          <w:p>
            <w:r/>
            <w:r>
              <w:rPr>
                <w:rFonts w:ascii="Aptos" w:hAnsi="Aptos"/>
                <w:b w:val="0"/>
                <w:color w:val="1B2A41"/>
                <w:sz w:val="16"/>
              </w:rPr>
              <w:t>Buffer far above historical demand without rationale</w:t>
            </w:r>
          </w:p>
        </w:tc>
        <w:tc>
          <w:tcPr>
            <w:tcW w:type="dxa" w:w="3456"/>
            <w:vAlign w:val="center"/>
            <w:tcMar>
              <w:top w:w="70" w:type="dxa"/>
              <w:start w:w="80" w:type="dxa"/>
              <w:bottom w:w="70" w:type="dxa"/>
              <w:end w:w="80" w:type="dxa"/>
            </w:tcMar>
            <w:shd w:fill="F7F9FB"/>
          </w:tcPr>
          <w:p>
            <w:r/>
            <w:r>
              <w:rPr>
                <w:rFonts w:ascii="Aptos" w:hAnsi="Aptos"/>
                <w:b w:val="0"/>
                <w:color w:val="1B2A41"/>
                <w:sz w:val="16"/>
              </w:rPr>
              <w:t>Review service level, variability and policy owner.</w:t>
            </w:r>
          </w:p>
        </w:tc>
      </w:tr>
    </w:tbl>
    <w:p>
      <w:pPr>
        <w:pStyle w:val="Heading2"/>
        <w:spacing w:before="60" w:after="100"/>
      </w:pPr>
      <w:r>
        <w:t>7.2 Integration sequence</w:t>
      </w:r>
    </w:p>
    <w:p>
      <w:pPr>
        <w:spacing w:after="100" w:line="259" w:lineRule="auto"/>
      </w:pPr>
      <w:r>
        <w:rPr>
          <w:color w:val="1B2A41"/>
          <w:sz w:val="20"/>
        </w:rPr>
        <w:t>SAP documentation describes CIF as the interface that supplies APO with relevant master and transaction data from ERP. For a controlled migration, I would generate an integration model in ECC (for example using CFM1), validate the object selection, activate it (CFM2), monitor transfer queues/logs and reconcile the resulting APO objects. Master-data and transaction-data integration models should be separated for manageability and performance.</w:t>
      </w:r>
    </w:p>
    <w:p>
      <w:r>
        <w:drawing>
          <wp:inline xmlns:a="http://schemas.openxmlformats.org/drawingml/2006/main" xmlns:pic="http://schemas.openxmlformats.org/drawingml/2006/picture">
            <wp:extent cx="6126480" cy="2784243"/>
            <wp:docPr id="1" name="Picture 1"/>
            <wp:cNvGraphicFramePr>
              <a:graphicFrameLocks noChangeAspect="1"/>
            </wp:cNvGraphicFramePr>
            <a:graphic>
              <a:graphicData uri="http://schemas.openxmlformats.org/drawingml/2006/picture">
                <pic:pic>
                  <pic:nvPicPr>
                    <pic:cNvPr id="0" name="week2_master_data_lifecycle.png"/>
                    <pic:cNvPicPr/>
                  </pic:nvPicPr>
                  <pic:blipFill>
                    <a:blip r:embed="rId11"/>
                    <a:stretch>
                      <a:fillRect/>
                    </a:stretch>
                  </pic:blipFill>
                  <pic:spPr>
                    <a:xfrm>
                      <a:off x="0" y="0"/>
                      <a:ext cx="6126480" cy="2784243"/>
                    </a:xfrm>
                    <a:prstGeom prst="rect"/>
                  </pic:spPr>
                </pic:pic>
              </a:graphicData>
            </a:graphic>
          </wp:inline>
        </w:drawing>
      </w:r>
    </w:p>
    <w:p>
      <w:pPr>
        <w:jc w:val="center"/>
      </w:pPr>
      <w:r>
        <w:rPr>
          <w:i/>
          <w:color w:val="5B6573"/>
          <w:sz w:val="17"/>
        </w:rPr>
        <w:t>Figure 1. Master data quality and inventory planning lifecycle</w:t>
      </w:r>
    </w:p>
    <w:p>
      <w:r>
        <w:br w:type="page"/>
      </w:r>
    </w:p>
    <w:p>
      <w:pPr>
        <w:pStyle w:val="Heading1"/>
        <w:spacing w:before="60" w:after="100"/>
      </w:pPr>
      <w:r>
        <w:t>8. SAP SCM Master Data Configuration Guidelines</w:t>
      </w:r>
    </w:p>
    <w:p>
      <w:pPr>
        <w:spacing w:after="100" w:line="259" w:lineRule="auto"/>
      </w:pPr>
      <w:r>
        <w:rPr>
          <w:color w:val="1B2A41"/>
          <w:sz w:val="20"/>
        </w:rPr>
        <w:t>The steps below are written as configuration/validation guidelines for the internship scenario. The actual path and fields used in a live system depend on the SAP SCM release, business design and system authorization.</w:t>
      </w:r>
    </w:p>
    <w:tbl>
      <w:tblPr>
        <w:tblStyle w:val="TableGrid"/>
        <w:tblW w:type="auto" w:w="0"/>
        <w:jc w:val="center"/>
        <w:tblLook w:firstColumn="1" w:firstRow="1" w:lastColumn="0" w:lastRow="0" w:noHBand="0" w:noVBand="1" w:val="04A0"/>
      </w:tblPr>
      <w:tblGrid>
        <w:gridCol w:w="3456"/>
        <w:gridCol w:w="3456"/>
        <w:gridCol w:w="3456"/>
      </w:tblGrid>
      <w:tr>
        <w:tc>
          <w:tcPr>
            <w:tcW w:type="dxa" w:w="864"/>
            <w:vAlign w:val="center"/>
            <w:shd w:fill="23395B"/>
            <w:tcMar>
              <w:top w:w="70" w:type="dxa"/>
              <w:start w:w="80" w:type="dxa"/>
              <w:bottom w:w="70" w:type="dxa"/>
              <w:end w:w="80" w:type="dxa"/>
            </w:tcMar>
          </w:tcPr>
          <w:p>
            <w:pPr>
              <w:jc w:val="center"/>
            </w:pPr>
            <w:r/>
            <w:r>
              <w:rPr>
                <w:rFonts w:ascii="Aptos" w:hAnsi="Aptos"/>
                <w:b/>
                <w:color w:val="FFFFFF"/>
                <w:sz w:val="17"/>
              </w:rPr>
              <w:t>Step</w:t>
            </w:r>
          </w:p>
        </w:tc>
        <w:tc>
          <w:tcPr>
            <w:tcW w:type="dxa" w:w="6480"/>
            <w:vAlign w:val="center"/>
            <w:shd w:fill="23395B"/>
            <w:tcMar>
              <w:top w:w="70" w:type="dxa"/>
              <w:start w:w="80" w:type="dxa"/>
              <w:bottom w:w="70" w:type="dxa"/>
              <w:end w:w="80" w:type="dxa"/>
            </w:tcMar>
          </w:tcPr>
          <w:p>
            <w:pPr>
              <w:jc w:val="center"/>
            </w:pPr>
            <w:r/>
            <w:r>
              <w:rPr>
                <w:rFonts w:ascii="Aptos" w:hAnsi="Aptos"/>
                <w:b/>
                <w:color w:val="FFFFFF"/>
                <w:sz w:val="17"/>
              </w:rPr>
              <w:t>Guideline</w:t>
            </w:r>
          </w:p>
        </w:tc>
        <w:tc>
          <w:tcPr>
            <w:tcW w:type="dxa" w:w="3024"/>
            <w:vAlign w:val="center"/>
            <w:shd w:fill="23395B"/>
            <w:tcMar>
              <w:top w:w="70" w:type="dxa"/>
              <w:start w:w="80" w:type="dxa"/>
              <w:bottom w:w="70" w:type="dxa"/>
              <w:end w:w="80" w:type="dxa"/>
            </w:tcMar>
          </w:tcPr>
          <w:p>
            <w:pPr>
              <w:jc w:val="center"/>
            </w:pPr>
            <w:r/>
            <w:r>
              <w:rPr>
                <w:rFonts w:ascii="Aptos" w:hAnsi="Aptos"/>
                <w:b/>
                <w:color w:val="FFFFFF"/>
                <w:sz w:val="17"/>
              </w:rPr>
              <w:t>Inventory relevance</w:t>
            </w:r>
          </w:p>
        </w:tc>
      </w:tr>
      <w:tr>
        <w:tc>
          <w:tcPr>
            <w:tcW w:type="dxa" w:w="864"/>
            <w:vAlign w:val="center"/>
            <w:tcMar>
              <w:top w:w="70" w:type="dxa"/>
              <w:start w:w="80" w:type="dxa"/>
              <w:bottom w:w="70" w:type="dxa"/>
              <w:end w:w="80" w:type="dxa"/>
            </w:tcMar>
          </w:tcPr>
          <w:p>
            <w:r/>
            <w:r>
              <w:rPr>
                <w:rFonts w:ascii="Aptos" w:hAnsi="Aptos"/>
                <w:b w:val="0"/>
                <w:color w:val="1B2A41"/>
                <w:sz w:val="15"/>
              </w:rPr>
              <w:t>1</w:t>
            </w:r>
          </w:p>
        </w:tc>
        <w:tc>
          <w:tcPr>
            <w:tcW w:type="dxa" w:w="6480"/>
            <w:vAlign w:val="center"/>
            <w:tcMar>
              <w:top w:w="70" w:type="dxa"/>
              <w:start w:w="80" w:type="dxa"/>
              <w:bottom w:w="70" w:type="dxa"/>
              <w:end w:w="80" w:type="dxa"/>
            </w:tcMar>
          </w:tcPr>
          <w:p>
            <w:r/>
            <w:r>
              <w:rPr>
                <w:rFonts w:ascii="Aptos" w:hAnsi="Aptos"/>
                <w:b w:val="0"/>
                <w:color w:val="1B2A41"/>
                <w:sz w:val="15"/>
              </w:rPr>
              <w:t>Validate product master in /SAPAPO/MAT1: base UoM, planning status, lot-size and location-dependent settings.</w:t>
            </w:r>
          </w:p>
        </w:tc>
        <w:tc>
          <w:tcPr>
            <w:tcW w:type="dxa" w:w="3024"/>
            <w:vAlign w:val="center"/>
            <w:tcMar>
              <w:top w:w="70" w:type="dxa"/>
              <w:start w:w="80" w:type="dxa"/>
              <w:bottom w:w="70" w:type="dxa"/>
              <w:end w:w="80" w:type="dxa"/>
            </w:tcMar>
          </w:tcPr>
          <w:p>
            <w:r/>
            <w:r>
              <w:rPr>
                <w:rFonts w:ascii="Aptos" w:hAnsi="Aptos"/>
                <w:b w:val="0"/>
                <w:color w:val="1B2A41"/>
                <w:sz w:val="15"/>
              </w:rPr>
              <w:t>Wrong UoM or lot size distorts planned receipts and stock.</w:t>
            </w:r>
          </w:p>
        </w:tc>
      </w:tr>
      <w:tr>
        <w:tc>
          <w:tcPr>
            <w:tcW w:type="dxa" w:w="864"/>
            <w:vAlign w:val="center"/>
            <w:tcMar>
              <w:top w:w="70" w:type="dxa"/>
              <w:start w:w="80" w:type="dxa"/>
              <w:bottom w:w="70" w:type="dxa"/>
              <w:end w:w="80" w:type="dxa"/>
            </w:tcMar>
            <w:shd w:fill="F7F9FB"/>
          </w:tcPr>
          <w:p>
            <w:r/>
            <w:r>
              <w:rPr>
                <w:rFonts w:ascii="Aptos" w:hAnsi="Aptos"/>
                <w:b w:val="0"/>
                <w:color w:val="1B2A41"/>
                <w:sz w:val="15"/>
              </w:rPr>
              <w:t>2</w:t>
            </w:r>
          </w:p>
        </w:tc>
        <w:tc>
          <w:tcPr>
            <w:tcW w:type="dxa" w:w="6480"/>
            <w:vAlign w:val="center"/>
            <w:tcMar>
              <w:top w:w="70" w:type="dxa"/>
              <w:start w:w="80" w:type="dxa"/>
              <w:bottom w:w="70" w:type="dxa"/>
              <w:end w:w="80" w:type="dxa"/>
            </w:tcMar>
            <w:shd w:fill="F7F9FB"/>
          </w:tcPr>
          <w:p>
            <w:r/>
            <w:r>
              <w:rPr>
                <w:rFonts w:ascii="Aptos" w:hAnsi="Aptos"/>
                <w:b w:val="0"/>
                <w:color w:val="1B2A41"/>
                <w:sz w:val="15"/>
              </w:rPr>
              <w:t>Validate locations in /SAPAPO/LOC3: type, address, time zone and calendars.</w:t>
            </w:r>
          </w:p>
        </w:tc>
        <w:tc>
          <w:tcPr>
            <w:tcW w:type="dxa" w:w="3024"/>
            <w:vAlign w:val="center"/>
            <w:tcMar>
              <w:top w:w="70" w:type="dxa"/>
              <w:start w:w="80" w:type="dxa"/>
              <w:bottom w:w="70" w:type="dxa"/>
              <w:end w:w="80" w:type="dxa"/>
            </w:tcMar>
            <w:shd w:fill="F7F9FB"/>
          </w:tcPr>
          <w:p>
            <w:r/>
            <w:r>
              <w:rPr>
                <w:rFonts w:ascii="Aptos" w:hAnsi="Aptos"/>
                <w:b w:val="0"/>
                <w:color w:val="1B2A41"/>
                <w:sz w:val="15"/>
              </w:rPr>
              <w:t>Determines where stock exists and valid receiving/shipping dates.</w:t>
            </w:r>
          </w:p>
        </w:tc>
      </w:tr>
      <w:tr>
        <w:tc>
          <w:tcPr>
            <w:tcW w:type="dxa" w:w="864"/>
            <w:vAlign w:val="center"/>
            <w:tcMar>
              <w:top w:w="70" w:type="dxa"/>
              <w:start w:w="80" w:type="dxa"/>
              <w:bottom w:w="70" w:type="dxa"/>
              <w:end w:w="80" w:type="dxa"/>
            </w:tcMar>
          </w:tcPr>
          <w:p>
            <w:r/>
            <w:r>
              <w:rPr>
                <w:rFonts w:ascii="Aptos" w:hAnsi="Aptos"/>
                <w:b w:val="0"/>
                <w:color w:val="1B2A41"/>
                <w:sz w:val="15"/>
              </w:rPr>
              <w:t>3</w:t>
            </w:r>
          </w:p>
        </w:tc>
        <w:tc>
          <w:tcPr>
            <w:tcW w:type="dxa" w:w="6480"/>
            <w:vAlign w:val="center"/>
            <w:tcMar>
              <w:top w:w="70" w:type="dxa"/>
              <w:start w:w="80" w:type="dxa"/>
              <w:bottom w:w="70" w:type="dxa"/>
              <w:end w:w="80" w:type="dxa"/>
            </w:tcMar>
          </w:tcPr>
          <w:p>
            <w:r/>
            <w:r>
              <w:rPr>
                <w:rFonts w:ascii="Aptos" w:hAnsi="Aptos"/>
                <w:b w:val="0"/>
                <w:color w:val="1B2A41"/>
                <w:sz w:val="15"/>
              </w:rPr>
              <w:t>Review location-product parameters: safety-stock method/value, safety days, service target and procurement settings.</w:t>
            </w:r>
          </w:p>
        </w:tc>
        <w:tc>
          <w:tcPr>
            <w:tcW w:type="dxa" w:w="3024"/>
            <w:vAlign w:val="center"/>
            <w:tcMar>
              <w:top w:w="70" w:type="dxa"/>
              <w:start w:w="80" w:type="dxa"/>
              <w:bottom w:w="70" w:type="dxa"/>
              <w:end w:w="80" w:type="dxa"/>
            </w:tcMar>
          </w:tcPr>
          <w:p>
            <w:r/>
            <w:r>
              <w:rPr>
                <w:rFonts w:ascii="Aptos" w:hAnsi="Aptos"/>
                <w:b w:val="0"/>
                <w:color w:val="1B2A41"/>
                <w:sz w:val="15"/>
              </w:rPr>
              <w:t>Defines the buffer and replenishment behavior at each DC.</w:t>
            </w:r>
          </w:p>
        </w:tc>
      </w:tr>
      <w:tr>
        <w:tc>
          <w:tcPr>
            <w:tcW w:type="dxa" w:w="864"/>
            <w:vAlign w:val="center"/>
            <w:tcMar>
              <w:top w:w="70" w:type="dxa"/>
              <w:start w:w="80" w:type="dxa"/>
              <w:bottom w:w="70" w:type="dxa"/>
              <w:end w:w="80" w:type="dxa"/>
            </w:tcMar>
            <w:shd w:fill="F7F9FB"/>
          </w:tcPr>
          <w:p>
            <w:r/>
            <w:r>
              <w:rPr>
                <w:rFonts w:ascii="Aptos" w:hAnsi="Aptos"/>
                <w:b w:val="0"/>
                <w:color w:val="1B2A41"/>
                <w:sz w:val="15"/>
              </w:rPr>
              <w:t>4</w:t>
            </w:r>
          </w:p>
        </w:tc>
        <w:tc>
          <w:tcPr>
            <w:tcW w:type="dxa" w:w="6480"/>
            <w:vAlign w:val="center"/>
            <w:tcMar>
              <w:top w:w="70" w:type="dxa"/>
              <w:start w:w="80" w:type="dxa"/>
              <w:bottom w:w="70" w:type="dxa"/>
              <w:end w:w="80" w:type="dxa"/>
            </w:tcMar>
            <w:shd w:fill="F7F9FB"/>
          </w:tcPr>
          <w:p>
            <w:r/>
            <w:r>
              <w:rPr>
                <w:rFonts w:ascii="Aptos" w:hAnsi="Aptos"/>
                <w:b w:val="0"/>
                <w:color w:val="1B2A41"/>
                <w:sz w:val="15"/>
              </w:rPr>
              <w:t>Validate resources in /SAPAPO/RES01: capacity and calendars.</w:t>
            </w:r>
          </w:p>
        </w:tc>
        <w:tc>
          <w:tcPr>
            <w:tcW w:type="dxa" w:w="3024"/>
            <w:vAlign w:val="center"/>
            <w:tcMar>
              <w:top w:w="70" w:type="dxa"/>
              <w:start w:w="80" w:type="dxa"/>
              <w:bottom w:w="70" w:type="dxa"/>
              <w:end w:w="80" w:type="dxa"/>
            </w:tcMar>
            <w:shd w:fill="F7F9FB"/>
          </w:tcPr>
          <w:p>
            <w:r/>
            <w:r>
              <w:rPr>
                <w:rFonts w:ascii="Aptos" w:hAnsi="Aptos"/>
                <w:b w:val="0"/>
                <w:color w:val="1B2A41"/>
                <w:sz w:val="15"/>
              </w:rPr>
              <w:t>Capacity constraints can delay replenishment and increase shortage risk.</w:t>
            </w:r>
          </w:p>
        </w:tc>
      </w:tr>
      <w:tr>
        <w:tc>
          <w:tcPr>
            <w:tcW w:type="dxa" w:w="864"/>
            <w:vAlign w:val="center"/>
            <w:tcMar>
              <w:top w:w="70" w:type="dxa"/>
              <w:start w:w="80" w:type="dxa"/>
              <w:bottom w:w="70" w:type="dxa"/>
              <w:end w:w="80" w:type="dxa"/>
            </w:tcMar>
          </w:tcPr>
          <w:p>
            <w:r/>
            <w:r>
              <w:rPr>
                <w:rFonts w:ascii="Aptos" w:hAnsi="Aptos"/>
                <w:b w:val="0"/>
                <w:color w:val="1B2A41"/>
                <w:sz w:val="15"/>
              </w:rPr>
              <w:t>5</w:t>
            </w:r>
          </w:p>
        </w:tc>
        <w:tc>
          <w:tcPr>
            <w:tcW w:type="dxa" w:w="6480"/>
            <w:vAlign w:val="center"/>
            <w:tcMar>
              <w:top w:w="70" w:type="dxa"/>
              <w:start w:w="80" w:type="dxa"/>
              <w:bottom w:w="70" w:type="dxa"/>
              <w:end w:w="80" w:type="dxa"/>
            </w:tcMar>
          </w:tcPr>
          <w:p>
            <w:r/>
            <w:r>
              <w:rPr>
                <w:rFonts w:ascii="Aptos" w:hAnsi="Aptos"/>
                <w:b w:val="0"/>
                <w:color w:val="1B2A41"/>
                <w:sz w:val="15"/>
              </w:rPr>
              <w:t>Confirm production sources (PDS/PPM) and procurement relationships.</w:t>
            </w:r>
          </w:p>
        </w:tc>
        <w:tc>
          <w:tcPr>
            <w:tcW w:type="dxa" w:w="3024"/>
            <w:vAlign w:val="center"/>
            <w:tcMar>
              <w:top w:w="70" w:type="dxa"/>
              <w:start w:w="80" w:type="dxa"/>
              <w:bottom w:w="70" w:type="dxa"/>
              <w:end w:w="80" w:type="dxa"/>
            </w:tcMar>
          </w:tcPr>
          <w:p>
            <w:r/>
            <w:r>
              <w:rPr>
                <w:rFonts w:ascii="Aptos" w:hAnsi="Aptos"/>
                <w:b w:val="0"/>
                <w:color w:val="1B2A41"/>
                <w:sz w:val="15"/>
              </w:rPr>
              <w:t>Ensures APO has a valid way to create supply.</w:t>
            </w:r>
          </w:p>
        </w:tc>
      </w:tr>
      <w:tr>
        <w:tc>
          <w:tcPr>
            <w:tcW w:type="dxa" w:w="864"/>
            <w:vAlign w:val="center"/>
            <w:tcMar>
              <w:top w:w="70" w:type="dxa"/>
              <w:start w:w="80" w:type="dxa"/>
              <w:bottom w:w="70" w:type="dxa"/>
              <w:end w:w="80" w:type="dxa"/>
            </w:tcMar>
            <w:shd w:fill="F7F9FB"/>
          </w:tcPr>
          <w:p>
            <w:r/>
            <w:r>
              <w:rPr>
                <w:rFonts w:ascii="Aptos" w:hAnsi="Aptos"/>
                <w:b w:val="0"/>
                <w:color w:val="1B2A41"/>
                <w:sz w:val="15"/>
              </w:rPr>
              <w:t>6</w:t>
            </w:r>
          </w:p>
        </w:tc>
        <w:tc>
          <w:tcPr>
            <w:tcW w:type="dxa" w:w="6480"/>
            <w:vAlign w:val="center"/>
            <w:tcMar>
              <w:top w:w="70" w:type="dxa"/>
              <w:start w:w="80" w:type="dxa"/>
              <w:bottom w:w="70" w:type="dxa"/>
              <w:end w:w="80" w:type="dxa"/>
            </w:tcMar>
            <w:shd w:fill="F7F9FB"/>
          </w:tcPr>
          <w:p>
            <w:r/>
            <w:r>
              <w:rPr>
                <w:rFonts w:ascii="Aptos" w:hAnsi="Aptos"/>
                <w:b w:val="0"/>
                <w:color w:val="1B2A41"/>
                <w:sz w:val="15"/>
              </w:rPr>
              <w:t>Maintain transportation lanes in /SAPAPO/SCC_TL1 with source, destination, product and transit time.</w:t>
            </w:r>
          </w:p>
        </w:tc>
        <w:tc>
          <w:tcPr>
            <w:tcW w:type="dxa" w:w="3024"/>
            <w:vAlign w:val="center"/>
            <w:tcMar>
              <w:top w:w="70" w:type="dxa"/>
              <w:start w:w="80" w:type="dxa"/>
              <w:bottom w:w="70" w:type="dxa"/>
              <w:end w:w="80" w:type="dxa"/>
            </w:tcMar>
            <w:shd w:fill="F7F9FB"/>
          </w:tcPr>
          <w:p>
            <w:r/>
            <w:r>
              <w:rPr>
                <w:rFonts w:ascii="Aptos" w:hAnsi="Aptos"/>
                <w:b w:val="0"/>
                <w:color w:val="1B2A41"/>
                <w:sz w:val="15"/>
              </w:rPr>
              <w:t>Transit time is a key inventory and pipeline-stock driver.</w:t>
            </w:r>
          </w:p>
        </w:tc>
      </w:tr>
      <w:tr>
        <w:tc>
          <w:tcPr>
            <w:tcW w:type="dxa" w:w="864"/>
            <w:vAlign w:val="center"/>
            <w:tcMar>
              <w:top w:w="70" w:type="dxa"/>
              <w:start w:w="80" w:type="dxa"/>
              <w:bottom w:w="70" w:type="dxa"/>
              <w:end w:w="80" w:type="dxa"/>
            </w:tcMar>
          </w:tcPr>
          <w:p>
            <w:r/>
            <w:r>
              <w:rPr>
                <w:rFonts w:ascii="Aptos" w:hAnsi="Aptos"/>
                <w:b w:val="0"/>
                <w:color w:val="1B2A41"/>
                <w:sz w:val="15"/>
              </w:rPr>
              <w:t>7</w:t>
            </w:r>
          </w:p>
        </w:tc>
        <w:tc>
          <w:tcPr>
            <w:tcW w:type="dxa" w:w="6480"/>
            <w:vAlign w:val="center"/>
            <w:tcMar>
              <w:top w:w="70" w:type="dxa"/>
              <w:start w:w="80" w:type="dxa"/>
              <w:bottom w:w="70" w:type="dxa"/>
              <w:end w:w="80" w:type="dxa"/>
            </w:tcMar>
          </w:tcPr>
          <w:p>
            <w:r/>
            <w:r>
              <w:rPr>
                <w:rFonts w:ascii="Aptos" w:hAnsi="Aptos"/>
                <w:b w:val="0"/>
                <w:color w:val="1B2A41"/>
                <w:sz w:val="15"/>
              </w:rPr>
              <w:t>Review quota arrangement/source priority where dual sourcing is used.</w:t>
            </w:r>
          </w:p>
        </w:tc>
        <w:tc>
          <w:tcPr>
            <w:tcW w:type="dxa" w:w="3024"/>
            <w:vAlign w:val="center"/>
            <w:tcMar>
              <w:top w:w="70" w:type="dxa"/>
              <w:start w:w="80" w:type="dxa"/>
              <w:bottom w:w="70" w:type="dxa"/>
              <w:end w:w="80" w:type="dxa"/>
            </w:tcMar>
          </w:tcPr>
          <w:p>
            <w:r/>
            <w:r>
              <w:rPr>
                <w:rFonts w:ascii="Aptos" w:hAnsi="Aptos"/>
                <w:b w:val="0"/>
                <w:color w:val="1B2A41"/>
                <w:sz w:val="15"/>
              </w:rPr>
              <w:t>Reduces dependency and supports contingency sourcing.</w:t>
            </w:r>
          </w:p>
        </w:tc>
      </w:tr>
      <w:tr>
        <w:tc>
          <w:tcPr>
            <w:tcW w:type="dxa" w:w="864"/>
            <w:vAlign w:val="center"/>
            <w:tcMar>
              <w:top w:w="70" w:type="dxa"/>
              <w:start w:w="80" w:type="dxa"/>
              <w:bottom w:w="70" w:type="dxa"/>
              <w:end w:w="80" w:type="dxa"/>
            </w:tcMar>
            <w:shd w:fill="F7F9FB"/>
          </w:tcPr>
          <w:p>
            <w:r/>
            <w:r>
              <w:rPr>
                <w:rFonts w:ascii="Aptos" w:hAnsi="Aptos"/>
                <w:b w:val="0"/>
                <w:color w:val="1B2A41"/>
                <w:sz w:val="15"/>
              </w:rPr>
              <w:t>8</w:t>
            </w:r>
          </w:p>
        </w:tc>
        <w:tc>
          <w:tcPr>
            <w:tcW w:type="dxa" w:w="6480"/>
            <w:vAlign w:val="center"/>
            <w:tcMar>
              <w:top w:w="70" w:type="dxa"/>
              <w:start w:w="80" w:type="dxa"/>
              <w:bottom w:w="70" w:type="dxa"/>
              <w:end w:w="80" w:type="dxa"/>
            </w:tcMar>
            <w:shd w:fill="F7F9FB"/>
          </w:tcPr>
          <w:p>
            <w:r/>
            <w:r>
              <w:rPr>
                <w:rFonts w:ascii="Aptos" w:hAnsi="Aptos"/>
                <w:b w:val="0"/>
                <w:color w:val="1B2A41"/>
                <w:sz w:val="15"/>
              </w:rPr>
              <w:t>Assign objects to the correct model/planning version and check selection scope.</w:t>
            </w:r>
          </w:p>
        </w:tc>
        <w:tc>
          <w:tcPr>
            <w:tcW w:type="dxa" w:w="3024"/>
            <w:vAlign w:val="center"/>
            <w:tcMar>
              <w:top w:w="70" w:type="dxa"/>
              <w:start w:w="80" w:type="dxa"/>
              <w:bottom w:w="70" w:type="dxa"/>
              <w:end w:w="80" w:type="dxa"/>
            </w:tcMar>
            <w:shd w:fill="F7F9FB"/>
          </w:tcPr>
          <w:p>
            <w:r/>
            <w:r>
              <w:rPr>
                <w:rFonts w:ascii="Aptos" w:hAnsi="Aptos"/>
                <w:b w:val="0"/>
                <w:color w:val="1B2A41"/>
                <w:sz w:val="15"/>
              </w:rPr>
              <w:t>Prevents planning with incomplete or wrong network objects.</w:t>
            </w:r>
          </w:p>
        </w:tc>
      </w:tr>
      <w:tr>
        <w:tc>
          <w:tcPr>
            <w:tcW w:type="dxa" w:w="864"/>
            <w:vAlign w:val="center"/>
            <w:tcMar>
              <w:top w:w="70" w:type="dxa"/>
              <w:start w:w="80" w:type="dxa"/>
              <w:bottom w:w="70" w:type="dxa"/>
              <w:end w:w="80" w:type="dxa"/>
            </w:tcMar>
          </w:tcPr>
          <w:p>
            <w:r/>
            <w:r>
              <w:rPr>
                <w:rFonts w:ascii="Aptos" w:hAnsi="Aptos"/>
                <w:b w:val="0"/>
                <w:color w:val="1B2A41"/>
                <w:sz w:val="15"/>
              </w:rPr>
              <w:t>9</w:t>
            </w:r>
          </w:p>
        </w:tc>
        <w:tc>
          <w:tcPr>
            <w:tcW w:type="dxa" w:w="6480"/>
            <w:vAlign w:val="center"/>
            <w:tcMar>
              <w:top w:w="70" w:type="dxa"/>
              <w:start w:w="80" w:type="dxa"/>
              <w:bottom w:w="70" w:type="dxa"/>
              <w:end w:w="80" w:type="dxa"/>
            </w:tcMar>
          </w:tcPr>
          <w:p>
            <w:r/>
            <w:r>
              <w:rPr>
                <w:rFonts w:ascii="Aptos" w:hAnsi="Aptos"/>
                <w:b w:val="0"/>
                <w:color w:val="1B2A41"/>
                <w:sz w:val="15"/>
              </w:rPr>
              <w:t>Load/release demand and confirm stock/open orders are visible only after master data reconciliation.</w:t>
            </w:r>
          </w:p>
        </w:tc>
        <w:tc>
          <w:tcPr>
            <w:tcW w:type="dxa" w:w="3024"/>
            <w:vAlign w:val="center"/>
            <w:tcMar>
              <w:top w:w="70" w:type="dxa"/>
              <w:start w:w="80" w:type="dxa"/>
              <w:bottom w:w="70" w:type="dxa"/>
              <w:end w:w="80" w:type="dxa"/>
            </w:tcMar>
          </w:tcPr>
          <w:p>
            <w:r/>
            <w:r>
              <w:rPr>
                <w:rFonts w:ascii="Aptos" w:hAnsi="Aptos"/>
                <w:b w:val="0"/>
                <w:color w:val="1B2A41"/>
                <w:sz w:val="15"/>
              </w:rPr>
              <w:t>Avoids transaction data being planned against invalid master data.</w:t>
            </w:r>
          </w:p>
        </w:tc>
      </w:tr>
      <w:tr>
        <w:tc>
          <w:tcPr>
            <w:tcW w:type="dxa" w:w="864"/>
            <w:vAlign w:val="center"/>
            <w:tcMar>
              <w:top w:w="70" w:type="dxa"/>
              <w:start w:w="80" w:type="dxa"/>
              <w:bottom w:w="70" w:type="dxa"/>
              <w:end w:w="80" w:type="dxa"/>
            </w:tcMar>
            <w:shd w:fill="F7F9FB"/>
          </w:tcPr>
          <w:p>
            <w:r/>
            <w:r>
              <w:rPr>
                <w:rFonts w:ascii="Aptos" w:hAnsi="Aptos"/>
                <w:b w:val="0"/>
                <w:color w:val="1B2A41"/>
                <w:sz w:val="15"/>
              </w:rPr>
              <w:t>10</w:t>
            </w:r>
          </w:p>
        </w:tc>
        <w:tc>
          <w:tcPr>
            <w:tcW w:type="dxa" w:w="6480"/>
            <w:vAlign w:val="center"/>
            <w:tcMar>
              <w:top w:w="70" w:type="dxa"/>
              <w:start w:w="80" w:type="dxa"/>
              <w:bottom w:w="70" w:type="dxa"/>
              <w:end w:w="80" w:type="dxa"/>
            </w:tcMar>
            <w:shd w:fill="F7F9FB"/>
          </w:tcPr>
          <w:p>
            <w:r/>
            <w:r>
              <w:rPr>
                <w:rFonts w:ascii="Aptos" w:hAnsi="Aptos"/>
                <w:b w:val="0"/>
                <w:color w:val="1B2A41"/>
                <w:sz w:val="15"/>
              </w:rPr>
              <w:t>Run planning and review alerts/exceptions for shortages, excess, overload and missing sources.</w:t>
            </w:r>
          </w:p>
        </w:tc>
        <w:tc>
          <w:tcPr>
            <w:tcW w:type="dxa" w:w="3024"/>
            <w:vAlign w:val="center"/>
            <w:tcMar>
              <w:top w:w="70" w:type="dxa"/>
              <w:start w:w="80" w:type="dxa"/>
              <w:bottom w:w="70" w:type="dxa"/>
              <w:end w:w="80" w:type="dxa"/>
            </w:tcMar>
            <w:shd w:fill="F7F9FB"/>
          </w:tcPr>
          <w:p>
            <w:r/>
            <w:r>
              <w:rPr>
                <w:rFonts w:ascii="Aptos" w:hAnsi="Aptos"/>
                <w:b w:val="0"/>
                <w:color w:val="1B2A41"/>
                <w:sz w:val="15"/>
              </w:rPr>
              <w:t>Provides feedback for parameter tuning.</w:t>
            </w:r>
          </w:p>
        </w:tc>
      </w:tr>
    </w:tbl>
    <w:tbl>
      <w:tblPr>
        <w:tblW w:type="auto" w:w="0"/>
        <w:jc w:val="center"/>
        <w:tblLayout w:type="autofit"/>
        <w:tblLook w:firstColumn="1" w:firstRow="1" w:lastColumn="0" w:lastRow="0" w:noHBand="0" w:noVBand="1" w:val="04A0"/>
      </w:tblPr>
      <w:tblGrid>
        <w:gridCol w:w="10368"/>
      </w:tblGrid>
      <w:tr>
        <w:tc>
          <w:tcPr>
            <w:tcW w:type="dxa" w:w="10368"/>
            <w:shd w:fill="EEF3F8"/>
            <w:tcMar>
              <w:top w:w="110" w:type="dxa"/>
              <w:start w:w="140" w:type="dxa"/>
              <w:bottom w:w="110" w:type="dxa"/>
              <w:end w:w="140" w:type="dxa"/>
            </w:tcMar>
          </w:tcPr>
          <w:p>
            <w:r>
              <w:rPr>
                <w:b/>
                <w:color w:val="23395B"/>
                <w:sz w:val="19"/>
              </w:rPr>
              <w:t xml:space="preserve">Control point:  </w:t>
            </w:r>
            <w:r>
              <w:rPr>
                <w:color w:val="1B2A41"/>
                <w:sz w:val="18"/>
              </w:rPr>
              <w:t>I would require a reconciliation sign-off before changing safety stock. If the stock on hand, lead time or demand history is wrong, changing the buffer merely hides the data problem.</w:t>
            </w:r>
          </w:p>
        </w:tc>
      </w:tr>
    </w:tbl>
    <w:p>
      <w:r>
        <w:br w:type="page"/>
      </w:r>
    </w:p>
    <w:p>
      <w:pPr>
        <w:pStyle w:val="Heading1"/>
        <w:spacing w:before="60" w:after="100"/>
      </w:pPr>
      <w:r>
        <w:t>9. Inventory Optimization Techniques</w:t>
      </w:r>
    </w:p>
    <w:p>
      <w:pPr>
        <w:spacing w:after="100" w:line="259" w:lineRule="auto"/>
      </w:pPr>
      <w:r>
        <w:rPr>
          <w:color w:val="1B2A41"/>
          <w:sz w:val="20"/>
        </w:rPr>
        <w:t>Inventory optimization in this project uses a combination of SAP APO safety-stock concepts and general inventory-management calculations. The purpose is not to force one method on every product, but to select a policy that matches demand variability, importance, lead time and cost.</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center"/>
            <w:shd w:fill="23395B"/>
            <w:tcMar>
              <w:top w:w="70" w:type="dxa"/>
              <w:start w:w="80" w:type="dxa"/>
              <w:bottom w:w="70" w:type="dxa"/>
              <w:end w:w="80" w:type="dxa"/>
            </w:tcMar>
          </w:tcPr>
          <w:p>
            <w:pPr>
              <w:jc w:val="center"/>
            </w:pPr>
            <w:r/>
            <w:r>
              <w:rPr>
                <w:rFonts w:ascii="Aptos" w:hAnsi="Aptos"/>
                <w:b/>
                <w:color w:val="FFFFFF"/>
                <w:sz w:val="17"/>
              </w:rPr>
              <w:t>Technique</w:t>
            </w:r>
          </w:p>
        </w:tc>
        <w:tc>
          <w:tcPr>
            <w:tcW w:type="dxa" w:w="4824"/>
            <w:vAlign w:val="center"/>
            <w:shd w:fill="23395B"/>
            <w:tcMar>
              <w:top w:w="70" w:type="dxa"/>
              <w:start w:w="80" w:type="dxa"/>
              <w:bottom w:w="70" w:type="dxa"/>
              <w:end w:w="80" w:type="dxa"/>
            </w:tcMar>
          </w:tcPr>
          <w:p>
            <w:pPr>
              <w:jc w:val="center"/>
            </w:pPr>
            <w:r/>
            <w:r>
              <w:rPr>
                <w:rFonts w:ascii="Aptos" w:hAnsi="Aptos"/>
                <w:b/>
                <w:color w:val="FFFFFF"/>
                <w:sz w:val="17"/>
              </w:rPr>
              <w:t>Use in the project</w:t>
            </w:r>
          </w:p>
        </w:tc>
        <w:tc>
          <w:tcPr>
            <w:tcW w:type="dxa" w:w="3384"/>
            <w:vAlign w:val="center"/>
            <w:shd w:fill="23395B"/>
            <w:tcMar>
              <w:top w:w="70" w:type="dxa"/>
              <w:start w:w="80" w:type="dxa"/>
              <w:bottom w:w="70" w:type="dxa"/>
              <w:end w:w="80" w:type="dxa"/>
            </w:tcMar>
          </w:tcPr>
          <w:p>
            <w:pPr>
              <w:jc w:val="center"/>
            </w:pPr>
            <w:r/>
            <w:r>
              <w:rPr>
                <w:rFonts w:ascii="Aptos" w:hAnsi="Aptos"/>
                <w:b/>
                <w:color w:val="FFFFFF"/>
                <w:sz w:val="17"/>
              </w:rPr>
              <w:t>Decision rule / note</w:t>
            </w:r>
          </w:p>
        </w:tc>
      </w:tr>
      <w:tr>
        <w:tc>
          <w:tcPr>
            <w:tcW w:type="dxa" w:w="2016"/>
            <w:vAlign w:val="center"/>
            <w:tcMar>
              <w:top w:w="70" w:type="dxa"/>
              <w:start w:w="80" w:type="dxa"/>
              <w:bottom w:w="70" w:type="dxa"/>
              <w:end w:w="80" w:type="dxa"/>
            </w:tcMar>
          </w:tcPr>
          <w:p>
            <w:r/>
            <w:r>
              <w:rPr>
                <w:rFonts w:ascii="Aptos" w:hAnsi="Aptos"/>
                <w:b w:val="0"/>
                <w:color w:val="1B2A41"/>
                <w:sz w:val="15"/>
              </w:rPr>
              <w:t>Safety stock</w:t>
            </w:r>
          </w:p>
        </w:tc>
        <w:tc>
          <w:tcPr>
            <w:tcW w:type="dxa" w:w="4824"/>
            <w:vAlign w:val="center"/>
            <w:tcMar>
              <w:top w:w="70" w:type="dxa"/>
              <w:start w:w="80" w:type="dxa"/>
              <w:bottom w:w="70" w:type="dxa"/>
              <w:end w:w="80" w:type="dxa"/>
            </w:tcMar>
          </w:tcPr>
          <w:p>
            <w:r/>
            <w:r>
              <w:rPr>
                <w:rFonts w:ascii="Aptos" w:hAnsi="Aptos"/>
                <w:b w:val="0"/>
                <w:color w:val="1B2A41"/>
                <w:sz w:val="15"/>
              </w:rPr>
              <w:t>Protect against demand and replenishment uncertainty.</w:t>
            </w:r>
          </w:p>
        </w:tc>
        <w:tc>
          <w:tcPr>
            <w:tcW w:type="dxa" w:w="3384"/>
            <w:vAlign w:val="center"/>
            <w:tcMar>
              <w:top w:w="70" w:type="dxa"/>
              <w:start w:w="80" w:type="dxa"/>
              <w:bottom w:w="70" w:type="dxa"/>
              <w:end w:w="80" w:type="dxa"/>
            </w:tcMar>
          </w:tcPr>
          <w:p>
            <w:r/>
            <w:r>
              <w:rPr>
                <w:rFonts w:ascii="Aptos" w:hAnsi="Aptos"/>
                <w:b w:val="0"/>
                <w:color w:val="1B2A41"/>
                <w:sz w:val="15"/>
              </w:rPr>
              <w:t>Higher variability or service target requires more buffer.</w:t>
            </w:r>
          </w:p>
        </w:tc>
      </w:tr>
      <w:tr>
        <w:tc>
          <w:tcPr>
            <w:tcW w:type="dxa" w:w="2016"/>
            <w:vAlign w:val="center"/>
            <w:tcMar>
              <w:top w:w="70" w:type="dxa"/>
              <w:start w:w="80" w:type="dxa"/>
              <w:bottom w:w="70" w:type="dxa"/>
              <w:end w:w="80" w:type="dxa"/>
            </w:tcMar>
            <w:shd w:fill="F7F9FB"/>
          </w:tcPr>
          <w:p>
            <w:r/>
            <w:r>
              <w:rPr>
                <w:rFonts w:ascii="Aptos" w:hAnsi="Aptos"/>
                <w:b w:val="0"/>
                <w:color w:val="1B2A41"/>
                <w:sz w:val="15"/>
              </w:rPr>
              <w:t>Safety days of supply</w:t>
            </w:r>
          </w:p>
        </w:tc>
        <w:tc>
          <w:tcPr>
            <w:tcW w:type="dxa" w:w="4824"/>
            <w:vAlign w:val="center"/>
            <w:tcMar>
              <w:top w:w="70" w:type="dxa"/>
              <w:start w:w="80" w:type="dxa"/>
              <w:bottom w:w="70" w:type="dxa"/>
              <w:end w:w="80" w:type="dxa"/>
            </w:tcMar>
            <w:shd w:fill="F7F9FB"/>
          </w:tcPr>
          <w:p>
            <w:r/>
            <w:r>
              <w:rPr>
                <w:rFonts w:ascii="Aptos" w:hAnsi="Aptos"/>
                <w:b w:val="0"/>
                <w:color w:val="1B2A41"/>
                <w:sz w:val="15"/>
              </w:rPr>
              <w:t>Express buffer in time rather than fixed quantity.</w:t>
            </w:r>
          </w:p>
        </w:tc>
        <w:tc>
          <w:tcPr>
            <w:tcW w:type="dxa" w:w="3384"/>
            <w:vAlign w:val="center"/>
            <w:tcMar>
              <w:top w:w="70" w:type="dxa"/>
              <w:start w:w="80" w:type="dxa"/>
              <w:bottom w:w="70" w:type="dxa"/>
              <w:end w:w="80" w:type="dxa"/>
            </w:tcMar>
            <w:shd w:fill="F7F9FB"/>
          </w:tcPr>
          <w:p>
            <w:r/>
            <w:r>
              <w:rPr>
                <w:rFonts w:ascii="Aptos" w:hAnsi="Aptos"/>
                <w:b w:val="0"/>
                <w:color w:val="1B2A41"/>
                <w:sz w:val="15"/>
              </w:rPr>
              <w:t>Useful when demand level changes by season.</w:t>
            </w:r>
          </w:p>
        </w:tc>
      </w:tr>
      <w:tr>
        <w:tc>
          <w:tcPr>
            <w:tcW w:type="dxa" w:w="2016"/>
            <w:vAlign w:val="center"/>
            <w:tcMar>
              <w:top w:w="70" w:type="dxa"/>
              <w:start w:w="80" w:type="dxa"/>
              <w:bottom w:w="70" w:type="dxa"/>
              <w:end w:w="80" w:type="dxa"/>
            </w:tcMar>
          </w:tcPr>
          <w:p>
            <w:r/>
            <w:r>
              <w:rPr>
                <w:rFonts w:ascii="Aptos" w:hAnsi="Aptos"/>
                <w:b w:val="0"/>
                <w:color w:val="1B2A41"/>
                <w:sz w:val="15"/>
              </w:rPr>
              <w:t>Dynamic safety stock</w:t>
            </w:r>
          </w:p>
        </w:tc>
        <w:tc>
          <w:tcPr>
            <w:tcW w:type="dxa" w:w="4824"/>
            <w:vAlign w:val="center"/>
            <w:tcMar>
              <w:top w:w="70" w:type="dxa"/>
              <w:start w:w="80" w:type="dxa"/>
              <w:bottom w:w="70" w:type="dxa"/>
              <w:end w:w="80" w:type="dxa"/>
            </w:tcMar>
          </w:tcPr>
          <w:p>
            <w:r/>
            <w:r>
              <w:rPr>
                <w:rFonts w:ascii="Aptos" w:hAnsi="Aptos"/>
                <w:b w:val="0"/>
                <w:color w:val="1B2A41"/>
                <w:sz w:val="15"/>
              </w:rPr>
              <w:t>Allow the buffer to change over time.</w:t>
            </w:r>
          </w:p>
        </w:tc>
        <w:tc>
          <w:tcPr>
            <w:tcW w:type="dxa" w:w="3384"/>
            <w:vAlign w:val="center"/>
            <w:tcMar>
              <w:top w:w="70" w:type="dxa"/>
              <w:start w:w="80" w:type="dxa"/>
              <w:bottom w:w="70" w:type="dxa"/>
              <w:end w:w="80" w:type="dxa"/>
            </w:tcMar>
          </w:tcPr>
          <w:p>
            <w:r/>
            <w:r>
              <w:rPr>
                <w:rFonts w:ascii="Aptos" w:hAnsi="Aptos"/>
                <w:b w:val="0"/>
                <w:color w:val="1B2A41"/>
                <w:sz w:val="15"/>
              </w:rPr>
              <w:t>Prefer for seasonal demand rather than one static value.</w:t>
            </w:r>
          </w:p>
        </w:tc>
      </w:tr>
      <w:tr>
        <w:tc>
          <w:tcPr>
            <w:tcW w:type="dxa" w:w="2016"/>
            <w:vAlign w:val="center"/>
            <w:tcMar>
              <w:top w:w="70" w:type="dxa"/>
              <w:start w:w="80" w:type="dxa"/>
              <w:bottom w:w="70" w:type="dxa"/>
              <w:end w:w="80" w:type="dxa"/>
            </w:tcMar>
            <w:shd w:fill="F7F9FB"/>
          </w:tcPr>
          <w:p>
            <w:r/>
            <w:r>
              <w:rPr>
                <w:rFonts w:ascii="Aptos" w:hAnsi="Aptos"/>
                <w:b w:val="0"/>
                <w:color w:val="1B2A41"/>
                <w:sz w:val="15"/>
              </w:rPr>
              <w:t>EOQ</w:t>
            </w:r>
          </w:p>
        </w:tc>
        <w:tc>
          <w:tcPr>
            <w:tcW w:type="dxa" w:w="4824"/>
            <w:vAlign w:val="center"/>
            <w:tcMar>
              <w:top w:w="70" w:type="dxa"/>
              <w:start w:w="80" w:type="dxa"/>
              <w:bottom w:w="70" w:type="dxa"/>
              <w:end w:w="80" w:type="dxa"/>
            </w:tcMar>
            <w:shd w:fill="F7F9FB"/>
          </w:tcPr>
          <w:p>
            <w:r/>
            <w:r>
              <w:rPr>
                <w:rFonts w:ascii="Aptos" w:hAnsi="Aptos"/>
                <w:b w:val="0"/>
                <w:color w:val="1B2A41"/>
                <w:sz w:val="15"/>
              </w:rPr>
              <w:t>Balance order/setup frequency with average cycle stock.</w:t>
            </w:r>
          </w:p>
        </w:tc>
        <w:tc>
          <w:tcPr>
            <w:tcW w:type="dxa" w:w="3384"/>
            <w:vAlign w:val="center"/>
            <w:tcMar>
              <w:top w:w="70" w:type="dxa"/>
              <w:start w:w="80" w:type="dxa"/>
              <w:bottom w:w="70" w:type="dxa"/>
              <w:end w:w="80" w:type="dxa"/>
            </w:tcMar>
            <w:shd w:fill="F7F9FB"/>
          </w:tcPr>
          <w:p>
            <w:r/>
            <w:r>
              <w:rPr>
                <w:rFonts w:ascii="Aptos" w:hAnsi="Aptos"/>
                <w:b w:val="0"/>
                <w:color w:val="1B2A41"/>
                <w:sz w:val="15"/>
              </w:rPr>
              <w:t>EOQ = √(2DS/H) as an illustrative analytical check.</w:t>
            </w:r>
          </w:p>
        </w:tc>
      </w:tr>
      <w:tr>
        <w:tc>
          <w:tcPr>
            <w:tcW w:type="dxa" w:w="2016"/>
            <w:vAlign w:val="center"/>
            <w:tcMar>
              <w:top w:w="70" w:type="dxa"/>
              <w:start w:w="80" w:type="dxa"/>
              <w:bottom w:w="70" w:type="dxa"/>
              <w:end w:w="80" w:type="dxa"/>
            </w:tcMar>
          </w:tcPr>
          <w:p>
            <w:r/>
            <w:r>
              <w:rPr>
                <w:rFonts w:ascii="Aptos" w:hAnsi="Aptos"/>
                <w:b w:val="0"/>
                <w:color w:val="1B2A41"/>
                <w:sz w:val="15"/>
              </w:rPr>
              <w:t>Reorder point</w:t>
            </w:r>
          </w:p>
        </w:tc>
        <w:tc>
          <w:tcPr>
            <w:tcW w:type="dxa" w:w="4824"/>
            <w:vAlign w:val="center"/>
            <w:tcMar>
              <w:top w:w="70" w:type="dxa"/>
              <w:start w:w="80" w:type="dxa"/>
              <w:bottom w:w="70" w:type="dxa"/>
              <w:end w:w="80" w:type="dxa"/>
            </w:tcMar>
          </w:tcPr>
          <w:p>
            <w:r/>
            <w:r>
              <w:rPr>
                <w:rFonts w:ascii="Aptos" w:hAnsi="Aptos"/>
                <w:b w:val="0"/>
                <w:color w:val="1B2A41"/>
                <w:sz w:val="15"/>
              </w:rPr>
              <w:t>Trigger review when stock position approaches expected lead-time demand plus buffer.</w:t>
            </w:r>
          </w:p>
        </w:tc>
        <w:tc>
          <w:tcPr>
            <w:tcW w:type="dxa" w:w="3384"/>
            <w:vAlign w:val="center"/>
            <w:tcMar>
              <w:top w:w="70" w:type="dxa"/>
              <w:start w:w="80" w:type="dxa"/>
              <w:bottom w:w="70" w:type="dxa"/>
              <w:end w:w="80" w:type="dxa"/>
            </w:tcMar>
          </w:tcPr>
          <w:p>
            <w:r/>
            <w:r>
              <w:rPr>
                <w:rFonts w:ascii="Aptos" w:hAnsi="Aptos"/>
                <w:b w:val="0"/>
                <w:color w:val="1B2A41"/>
                <w:sz w:val="15"/>
              </w:rPr>
              <w:t>ROP ≈ demand during lead time + safety stock.</w:t>
            </w:r>
          </w:p>
        </w:tc>
      </w:tr>
      <w:tr>
        <w:tc>
          <w:tcPr>
            <w:tcW w:type="dxa" w:w="2016"/>
            <w:vAlign w:val="center"/>
            <w:tcMar>
              <w:top w:w="70" w:type="dxa"/>
              <w:start w:w="80" w:type="dxa"/>
              <w:bottom w:w="70" w:type="dxa"/>
              <w:end w:w="80" w:type="dxa"/>
            </w:tcMar>
            <w:shd w:fill="F7F9FB"/>
          </w:tcPr>
          <w:p>
            <w:r/>
            <w:r>
              <w:rPr>
                <w:rFonts w:ascii="Aptos" w:hAnsi="Aptos"/>
                <w:b w:val="0"/>
                <w:color w:val="1B2A41"/>
                <w:sz w:val="15"/>
              </w:rPr>
              <w:t>Lot-size review</w:t>
            </w:r>
          </w:p>
        </w:tc>
        <w:tc>
          <w:tcPr>
            <w:tcW w:type="dxa" w:w="4824"/>
            <w:vAlign w:val="center"/>
            <w:tcMar>
              <w:top w:w="70" w:type="dxa"/>
              <w:start w:w="80" w:type="dxa"/>
              <w:bottom w:w="70" w:type="dxa"/>
              <w:end w:w="80" w:type="dxa"/>
            </w:tcMar>
            <w:shd w:fill="F7F9FB"/>
          </w:tcPr>
          <w:p>
            <w:r/>
            <w:r>
              <w:rPr>
                <w:rFonts w:ascii="Aptos" w:hAnsi="Aptos"/>
                <w:b w:val="0"/>
                <w:color w:val="1B2A41"/>
                <w:sz w:val="15"/>
              </w:rPr>
              <w:t>Avoid MOQ/lot values that force excess stock.</w:t>
            </w:r>
          </w:p>
        </w:tc>
        <w:tc>
          <w:tcPr>
            <w:tcW w:type="dxa" w:w="3384"/>
            <w:vAlign w:val="center"/>
            <w:tcMar>
              <w:top w:w="70" w:type="dxa"/>
              <w:start w:w="80" w:type="dxa"/>
              <w:bottom w:w="70" w:type="dxa"/>
              <w:end w:w="80" w:type="dxa"/>
            </w:tcMar>
            <w:shd w:fill="F7F9FB"/>
          </w:tcPr>
          <w:p>
            <w:r/>
            <w:r>
              <w:rPr>
                <w:rFonts w:ascii="Aptos" w:hAnsi="Aptos"/>
                <w:b w:val="0"/>
                <w:color w:val="1B2A41"/>
                <w:sz w:val="15"/>
              </w:rPr>
              <w:t>Compare lot quantity with weeks of demand and shelf life.</w:t>
            </w:r>
          </w:p>
        </w:tc>
      </w:tr>
      <w:tr>
        <w:tc>
          <w:tcPr>
            <w:tcW w:type="dxa" w:w="2016"/>
            <w:vAlign w:val="center"/>
            <w:tcMar>
              <w:top w:w="70" w:type="dxa"/>
              <w:start w:w="80" w:type="dxa"/>
              <w:bottom w:w="70" w:type="dxa"/>
              <w:end w:w="80" w:type="dxa"/>
            </w:tcMar>
          </w:tcPr>
          <w:p>
            <w:r/>
            <w:r>
              <w:rPr>
                <w:rFonts w:ascii="Aptos" w:hAnsi="Aptos"/>
                <w:b w:val="0"/>
                <w:color w:val="1B2A41"/>
                <w:sz w:val="15"/>
              </w:rPr>
              <w:t>ABC-XYZ segmentation</w:t>
            </w:r>
          </w:p>
        </w:tc>
        <w:tc>
          <w:tcPr>
            <w:tcW w:type="dxa" w:w="4824"/>
            <w:vAlign w:val="center"/>
            <w:tcMar>
              <w:top w:w="70" w:type="dxa"/>
              <w:start w:w="80" w:type="dxa"/>
              <w:bottom w:w="70" w:type="dxa"/>
              <w:end w:w="80" w:type="dxa"/>
            </w:tcMar>
          </w:tcPr>
          <w:p>
            <w:r/>
            <w:r>
              <w:rPr>
                <w:rFonts w:ascii="Aptos" w:hAnsi="Aptos"/>
                <w:b w:val="0"/>
                <w:color w:val="1B2A41"/>
                <w:sz w:val="15"/>
              </w:rPr>
              <w:t>Differentiate service targets and planner attention.</w:t>
            </w:r>
          </w:p>
        </w:tc>
        <w:tc>
          <w:tcPr>
            <w:tcW w:type="dxa" w:w="3384"/>
            <w:vAlign w:val="center"/>
            <w:tcMar>
              <w:top w:w="70" w:type="dxa"/>
              <w:start w:w="80" w:type="dxa"/>
              <w:bottom w:w="70" w:type="dxa"/>
              <w:end w:w="80" w:type="dxa"/>
            </w:tcMar>
          </w:tcPr>
          <w:p>
            <w:r/>
            <w:r>
              <w:rPr>
                <w:rFonts w:ascii="Aptos" w:hAnsi="Aptos"/>
                <w:b w:val="0"/>
                <w:color w:val="1B2A41"/>
                <w:sz w:val="15"/>
              </w:rPr>
              <w:t>AX gets tighter service/monitoring than CZ.</w:t>
            </w:r>
          </w:p>
        </w:tc>
      </w:tr>
      <w:tr>
        <w:tc>
          <w:tcPr>
            <w:tcW w:type="dxa" w:w="2016"/>
            <w:vAlign w:val="center"/>
            <w:tcMar>
              <w:top w:w="70" w:type="dxa"/>
              <w:start w:w="80" w:type="dxa"/>
              <w:bottom w:w="70" w:type="dxa"/>
              <w:end w:w="80" w:type="dxa"/>
            </w:tcMar>
            <w:shd w:fill="F7F9FB"/>
          </w:tcPr>
          <w:p>
            <w:r/>
            <w:r>
              <w:rPr>
                <w:rFonts w:ascii="Aptos" w:hAnsi="Aptos"/>
                <w:b w:val="0"/>
                <w:color w:val="1B2A41"/>
                <w:sz w:val="15"/>
              </w:rPr>
              <w:t>Redeployment</w:t>
            </w:r>
          </w:p>
        </w:tc>
        <w:tc>
          <w:tcPr>
            <w:tcW w:type="dxa" w:w="4824"/>
            <w:vAlign w:val="center"/>
            <w:tcMar>
              <w:top w:w="70" w:type="dxa"/>
              <w:start w:w="80" w:type="dxa"/>
              <w:bottom w:w="70" w:type="dxa"/>
              <w:end w:w="80" w:type="dxa"/>
            </w:tcMar>
            <w:shd w:fill="F7F9FB"/>
          </w:tcPr>
          <w:p>
            <w:r/>
            <w:r>
              <w:rPr>
                <w:rFonts w:ascii="Aptos" w:hAnsi="Aptos"/>
                <w:b w:val="0"/>
                <w:color w:val="1B2A41"/>
                <w:sz w:val="15"/>
              </w:rPr>
              <w:t>Move available stock between DCs before buying/producing more.</w:t>
            </w:r>
          </w:p>
        </w:tc>
        <w:tc>
          <w:tcPr>
            <w:tcW w:type="dxa" w:w="3384"/>
            <w:vAlign w:val="center"/>
            <w:tcMar>
              <w:top w:w="70" w:type="dxa"/>
              <w:start w:w="80" w:type="dxa"/>
              <w:bottom w:w="70" w:type="dxa"/>
              <w:end w:w="80" w:type="dxa"/>
            </w:tcMar>
            <w:shd w:fill="F7F9FB"/>
          </w:tcPr>
          <w:p>
            <w:r/>
            <w:r>
              <w:rPr>
                <w:rFonts w:ascii="Aptos" w:hAnsi="Aptos"/>
                <w:b w:val="0"/>
                <w:color w:val="1B2A41"/>
                <w:sz w:val="15"/>
              </w:rPr>
              <w:t>Use when one DC is excess and another is at shortage risk.</w:t>
            </w:r>
          </w:p>
        </w:tc>
      </w:tr>
      <w:tr>
        <w:tc>
          <w:tcPr>
            <w:tcW w:type="dxa" w:w="2016"/>
            <w:vAlign w:val="center"/>
            <w:tcMar>
              <w:top w:w="70" w:type="dxa"/>
              <w:start w:w="80" w:type="dxa"/>
              <w:bottom w:w="70" w:type="dxa"/>
              <w:end w:w="80" w:type="dxa"/>
            </w:tcMar>
          </w:tcPr>
          <w:p>
            <w:r/>
            <w:r>
              <w:rPr>
                <w:rFonts w:ascii="Aptos" w:hAnsi="Aptos"/>
                <w:b w:val="0"/>
                <w:color w:val="1B2A41"/>
                <w:sz w:val="15"/>
              </w:rPr>
              <w:t>Dual sourcing</w:t>
            </w:r>
          </w:p>
        </w:tc>
        <w:tc>
          <w:tcPr>
            <w:tcW w:type="dxa" w:w="4824"/>
            <w:vAlign w:val="center"/>
            <w:tcMar>
              <w:top w:w="70" w:type="dxa"/>
              <w:start w:w="80" w:type="dxa"/>
              <w:bottom w:w="70" w:type="dxa"/>
              <w:end w:w="80" w:type="dxa"/>
            </w:tcMar>
          </w:tcPr>
          <w:p>
            <w:r/>
            <w:r>
              <w:rPr>
                <w:rFonts w:ascii="Aptos" w:hAnsi="Aptos"/>
                <w:b w:val="0"/>
                <w:color w:val="1B2A41"/>
                <w:sz w:val="15"/>
              </w:rPr>
              <w:t>Reduce disruption exposure.</w:t>
            </w:r>
          </w:p>
        </w:tc>
        <w:tc>
          <w:tcPr>
            <w:tcW w:type="dxa" w:w="3384"/>
            <w:vAlign w:val="center"/>
            <w:tcMar>
              <w:top w:w="70" w:type="dxa"/>
              <w:start w:w="80" w:type="dxa"/>
              <w:bottom w:w="70" w:type="dxa"/>
              <w:end w:w="80" w:type="dxa"/>
            </w:tcMar>
          </w:tcPr>
          <w:p>
            <w:r/>
            <w:r>
              <w:rPr>
                <w:rFonts w:ascii="Aptos" w:hAnsi="Aptos"/>
                <w:b w:val="0"/>
                <w:color w:val="1B2A41"/>
                <w:sz w:val="15"/>
              </w:rPr>
              <w:t>Primary source for cost/lead time, backup source for resilience.</w:t>
            </w:r>
          </w:p>
        </w:tc>
      </w:tr>
    </w:tbl>
    <w:p>
      <w:r>
        <w:drawing>
          <wp:inline xmlns:a="http://schemas.openxmlformats.org/drawingml/2006/main" xmlns:pic="http://schemas.openxmlformats.org/drawingml/2006/picture">
            <wp:extent cx="6126480" cy="2784243"/>
            <wp:docPr id="2" name="Picture 2"/>
            <wp:cNvGraphicFramePr>
              <a:graphicFrameLocks noChangeAspect="1"/>
            </wp:cNvGraphicFramePr>
            <a:graphic>
              <a:graphicData uri="http://schemas.openxmlformats.org/drawingml/2006/picture">
                <pic:pic>
                  <pic:nvPicPr>
                    <pic:cNvPr id="0" name="week2_inventory_optimization_loop.png"/>
                    <pic:cNvPicPr/>
                  </pic:nvPicPr>
                  <pic:blipFill>
                    <a:blip r:embed="rId12"/>
                    <a:stretch>
                      <a:fillRect/>
                    </a:stretch>
                  </pic:blipFill>
                  <pic:spPr>
                    <a:xfrm>
                      <a:off x="0" y="0"/>
                      <a:ext cx="6126480" cy="2784243"/>
                    </a:xfrm>
                    <a:prstGeom prst="rect"/>
                  </pic:spPr>
                </pic:pic>
              </a:graphicData>
            </a:graphic>
          </wp:inline>
        </w:drawing>
      </w:r>
    </w:p>
    <w:p>
      <w:pPr>
        <w:jc w:val="center"/>
      </w:pPr>
      <w:r>
        <w:rPr>
          <w:i/>
          <w:color w:val="5B6573"/>
          <w:sz w:val="17"/>
        </w:rPr>
        <w:t>Figure 2. Inventory optimization feedback loop</w:t>
      </w:r>
    </w:p>
    <w:p>
      <w:r>
        <w:br w:type="page"/>
      </w:r>
    </w:p>
    <w:p>
      <w:pPr>
        <w:pStyle w:val="Heading1"/>
        <w:spacing w:before="60" w:after="100"/>
      </w:pPr>
      <w:r>
        <w:t>10. Practical Simulation: Stock-out Risk</w:t>
      </w:r>
    </w:p>
    <w:p>
      <w:pPr>
        <w:spacing w:after="100" w:line="259" w:lineRule="auto"/>
      </w:pPr>
      <w:r>
        <w:rPr>
          <w:color w:val="1B2A41"/>
          <w:sz w:val="20"/>
        </w:rPr>
        <w:t>I simulated a short-term stock-out risk at the Hyderabad DC for DH-MIL-01. The intention is to show how master-data accuracy and inventory parameters affect the response, not to claim an executed live planning run.</w:t>
      </w:r>
    </w:p>
    <w:tbl>
      <w:tblPr>
        <w:tblStyle w:val="TableGrid"/>
        <w:tblW w:type="auto" w:w="0"/>
        <w:jc w:val="center"/>
        <w:tblLook w:firstColumn="1" w:firstRow="1" w:lastColumn="0" w:lastRow="0" w:noHBand="0" w:noVBand="1" w:val="04A0"/>
      </w:tblPr>
      <w:tblGrid>
        <w:gridCol w:w="5184"/>
        <w:gridCol w:w="5184"/>
      </w:tblGrid>
      <w:tr>
        <w:tc>
          <w:tcPr>
            <w:tcW w:type="dxa" w:w="4320"/>
            <w:vAlign w:val="center"/>
            <w:shd w:fill="23395B"/>
            <w:tcMar>
              <w:top w:w="70" w:type="dxa"/>
              <w:start w:w="80" w:type="dxa"/>
              <w:bottom w:w="70" w:type="dxa"/>
              <w:end w:w="80" w:type="dxa"/>
            </w:tcMar>
          </w:tcPr>
          <w:p>
            <w:pPr>
              <w:jc w:val="center"/>
            </w:pPr>
            <w:r/>
            <w:r>
              <w:rPr>
                <w:rFonts w:ascii="Aptos" w:hAnsi="Aptos"/>
                <w:b/>
                <w:color w:val="FFFFFF"/>
                <w:sz w:val="17"/>
              </w:rPr>
              <w:t>Input</w:t>
            </w:r>
          </w:p>
        </w:tc>
        <w:tc>
          <w:tcPr>
            <w:tcW w:type="dxa" w:w="5040"/>
            <w:vAlign w:val="center"/>
            <w:shd w:fill="23395B"/>
            <w:tcMar>
              <w:top w:w="70" w:type="dxa"/>
              <w:start w:w="80" w:type="dxa"/>
              <w:bottom w:w="70" w:type="dxa"/>
              <w:end w:w="80" w:type="dxa"/>
            </w:tcMar>
          </w:tcPr>
          <w:p>
            <w:pPr>
              <w:jc w:val="center"/>
            </w:pPr>
            <w:r/>
            <w:r>
              <w:rPr>
                <w:rFonts w:ascii="Aptos" w:hAnsi="Aptos"/>
                <w:b/>
                <w:color w:val="FFFFFF"/>
                <w:sz w:val="17"/>
              </w:rPr>
              <w:t>Illustrative value</w:t>
            </w:r>
          </w:p>
        </w:tc>
      </w:tr>
      <w:tr>
        <w:tc>
          <w:tcPr>
            <w:tcW w:type="dxa" w:w="4320"/>
            <w:vAlign w:val="center"/>
            <w:tcMar>
              <w:top w:w="70" w:type="dxa"/>
              <w:start w:w="80" w:type="dxa"/>
              <w:bottom w:w="70" w:type="dxa"/>
              <w:end w:w="80" w:type="dxa"/>
            </w:tcMar>
          </w:tcPr>
          <w:p>
            <w:r/>
            <w:r>
              <w:rPr>
                <w:rFonts w:ascii="Aptos" w:hAnsi="Aptos"/>
                <w:b w:val="0"/>
                <w:color w:val="1B2A41"/>
                <w:sz w:val="17"/>
              </w:rPr>
              <w:t>Opening available stock</w:t>
            </w:r>
          </w:p>
        </w:tc>
        <w:tc>
          <w:tcPr>
            <w:tcW w:type="dxa" w:w="5040"/>
            <w:vAlign w:val="center"/>
            <w:tcMar>
              <w:top w:w="70" w:type="dxa"/>
              <w:start w:w="80" w:type="dxa"/>
              <w:bottom w:w="70" w:type="dxa"/>
              <w:end w:w="80" w:type="dxa"/>
            </w:tcMar>
          </w:tcPr>
          <w:p>
            <w:r/>
            <w:r>
              <w:rPr>
                <w:rFonts w:ascii="Aptos" w:hAnsi="Aptos"/>
                <w:b w:val="0"/>
                <w:color w:val="1B2A41"/>
                <w:sz w:val="17"/>
              </w:rPr>
              <w:t>12 tonnes</w:t>
            </w:r>
          </w:p>
        </w:tc>
      </w:tr>
      <w:tr>
        <w:tc>
          <w:tcPr>
            <w:tcW w:type="dxa" w:w="4320"/>
            <w:vAlign w:val="center"/>
            <w:tcMar>
              <w:top w:w="70" w:type="dxa"/>
              <w:start w:w="80" w:type="dxa"/>
              <w:bottom w:w="70" w:type="dxa"/>
              <w:end w:w="80" w:type="dxa"/>
            </w:tcMar>
            <w:shd w:fill="F7F9FB"/>
          </w:tcPr>
          <w:p>
            <w:r/>
            <w:r>
              <w:rPr>
                <w:rFonts w:ascii="Aptos" w:hAnsi="Aptos"/>
                <w:b w:val="0"/>
                <w:color w:val="1B2A41"/>
                <w:sz w:val="17"/>
              </w:rPr>
              <w:t>Expected 7-day demand</w:t>
            </w:r>
          </w:p>
        </w:tc>
        <w:tc>
          <w:tcPr>
            <w:tcW w:type="dxa" w:w="5040"/>
            <w:vAlign w:val="center"/>
            <w:tcMar>
              <w:top w:w="70" w:type="dxa"/>
              <w:start w:w="80" w:type="dxa"/>
              <w:bottom w:w="70" w:type="dxa"/>
              <w:end w:w="80" w:type="dxa"/>
            </w:tcMar>
            <w:shd w:fill="F7F9FB"/>
          </w:tcPr>
          <w:p>
            <w:r/>
            <w:r>
              <w:rPr>
                <w:rFonts w:ascii="Aptos" w:hAnsi="Aptos"/>
                <w:b w:val="0"/>
                <w:color w:val="1B2A41"/>
                <w:sz w:val="17"/>
              </w:rPr>
              <w:t>18 tonnes</w:t>
            </w:r>
          </w:p>
        </w:tc>
      </w:tr>
      <w:tr>
        <w:tc>
          <w:tcPr>
            <w:tcW w:type="dxa" w:w="4320"/>
            <w:vAlign w:val="center"/>
            <w:tcMar>
              <w:top w:w="70" w:type="dxa"/>
              <w:start w:w="80" w:type="dxa"/>
              <w:bottom w:w="70" w:type="dxa"/>
              <w:end w:w="80" w:type="dxa"/>
            </w:tcMar>
          </w:tcPr>
          <w:p>
            <w:r/>
            <w:r>
              <w:rPr>
                <w:rFonts w:ascii="Aptos" w:hAnsi="Aptos"/>
                <w:b w:val="0"/>
                <w:color w:val="1B2A41"/>
                <w:sz w:val="17"/>
              </w:rPr>
              <w:t>Confirmed inbound receipt</w:t>
            </w:r>
          </w:p>
        </w:tc>
        <w:tc>
          <w:tcPr>
            <w:tcW w:type="dxa" w:w="5040"/>
            <w:vAlign w:val="center"/>
            <w:tcMar>
              <w:top w:w="70" w:type="dxa"/>
              <w:start w:w="80" w:type="dxa"/>
              <w:bottom w:w="70" w:type="dxa"/>
              <w:end w:w="80" w:type="dxa"/>
            </w:tcMar>
          </w:tcPr>
          <w:p>
            <w:r/>
            <w:r>
              <w:rPr>
                <w:rFonts w:ascii="Aptos" w:hAnsi="Aptos"/>
                <w:b w:val="0"/>
                <w:color w:val="1B2A41"/>
                <w:sz w:val="17"/>
              </w:rPr>
              <w:t>10 tonnes, planned on Day 5</w:t>
            </w:r>
          </w:p>
        </w:tc>
      </w:tr>
      <w:tr>
        <w:tc>
          <w:tcPr>
            <w:tcW w:type="dxa" w:w="4320"/>
            <w:vAlign w:val="center"/>
            <w:tcMar>
              <w:top w:w="70" w:type="dxa"/>
              <w:start w:w="80" w:type="dxa"/>
              <w:bottom w:w="70" w:type="dxa"/>
              <w:end w:w="80" w:type="dxa"/>
            </w:tcMar>
            <w:shd w:fill="F7F9FB"/>
          </w:tcPr>
          <w:p>
            <w:r/>
            <w:r>
              <w:rPr>
                <w:rFonts w:ascii="Aptos" w:hAnsi="Aptos"/>
                <w:b w:val="0"/>
                <w:color w:val="1B2A41"/>
                <w:sz w:val="17"/>
              </w:rPr>
              <w:t>Unexpected transport delay</w:t>
            </w:r>
          </w:p>
        </w:tc>
        <w:tc>
          <w:tcPr>
            <w:tcW w:type="dxa" w:w="5040"/>
            <w:vAlign w:val="center"/>
            <w:tcMar>
              <w:top w:w="70" w:type="dxa"/>
              <w:start w:w="80" w:type="dxa"/>
              <w:bottom w:w="70" w:type="dxa"/>
              <w:end w:w="80" w:type="dxa"/>
            </w:tcMar>
            <w:shd w:fill="F7F9FB"/>
          </w:tcPr>
          <w:p>
            <w:r/>
            <w:r>
              <w:rPr>
                <w:rFonts w:ascii="Aptos" w:hAnsi="Aptos"/>
                <w:b w:val="0"/>
                <w:color w:val="1B2A41"/>
                <w:sz w:val="17"/>
              </w:rPr>
              <w:t>3 additional days</w:t>
            </w:r>
          </w:p>
        </w:tc>
      </w:tr>
      <w:tr>
        <w:tc>
          <w:tcPr>
            <w:tcW w:type="dxa" w:w="4320"/>
            <w:vAlign w:val="center"/>
            <w:tcMar>
              <w:top w:w="70" w:type="dxa"/>
              <w:start w:w="80" w:type="dxa"/>
              <w:bottom w:w="70" w:type="dxa"/>
              <w:end w:w="80" w:type="dxa"/>
            </w:tcMar>
          </w:tcPr>
          <w:p>
            <w:r/>
            <w:r>
              <w:rPr>
                <w:rFonts w:ascii="Aptos" w:hAnsi="Aptos"/>
                <w:b w:val="0"/>
                <w:color w:val="1B2A41"/>
                <w:sz w:val="17"/>
              </w:rPr>
              <w:t>Current safety stock</w:t>
            </w:r>
          </w:p>
        </w:tc>
        <w:tc>
          <w:tcPr>
            <w:tcW w:type="dxa" w:w="5040"/>
            <w:vAlign w:val="center"/>
            <w:tcMar>
              <w:top w:w="70" w:type="dxa"/>
              <w:start w:w="80" w:type="dxa"/>
              <w:bottom w:w="70" w:type="dxa"/>
              <w:end w:w="80" w:type="dxa"/>
            </w:tcMar>
          </w:tcPr>
          <w:p>
            <w:r/>
            <w:r>
              <w:rPr>
                <w:rFonts w:ascii="Aptos" w:hAnsi="Aptos"/>
                <w:b w:val="0"/>
                <w:color w:val="1B2A41"/>
                <w:sz w:val="17"/>
              </w:rPr>
              <w:t>3 tonnes</w:t>
            </w:r>
          </w:p>
        </w:tc>
      </w:tr>
      <w:tr>
        <w:tc>
          <w:tcPr>
            <w:tcW w:type="dxa" w:w="4320"/>
            <w:vAlign w:val="center"/>
            <w:tcMar>
              <w:top w:w="70" w:type="dxa"/>
              <w:start w:w="80" w:type="dxa"/>
              <w:bottom w:w="70" w:type="dxa"/>
              <w:end w:w="80" w:type="dxa"/>
            </w:tcMar>
            <w:shd w:fill="F7F9FB"/>
          </w:tcPr>
          <w:p>
            <w:r/>
            <w:r>
              <w:rPr>
                <w:rFonts w:ascii="Aptos" w:hAnsi="Aptos"/>
                <w:b w:val="0"/>
                <w:color w:val="1B2A41"/>
                <w:sz w:val="17"/>
              </w:rPr>
              <w:t>Target service objective</w:t>
            </w:r>
          </w:p>
        </w:tc>
        <w:tc>
          <w:tcPr>
            <w:tcW w:type="dxa" w:w="5040"/>
            <w:vAlign w:val="center"/>
            <w:tcMar>
              <w:top w:w="70" w:type="dxa"/>
              <w:start w:w="80" w:type="dxa"/>
              <w:bottom w:w="70" w:type="dxa"/>
              <w:end w:w="80" w:type="dxa"/>
            </w:tcMar>
            <w:shd w:fill="F7F9FB"/>
          </w:tcPr>
          <w:p>
            <w:r/>
            <w:r>
              <w:rPr>
                <w:rFonts w:ascii="Aptos" w:hAnsi="Aptos"/>
                <w:b w:val="0"/>
                <w:color w:val="1B2A41"/>
                <w:sz w:val="17"/>
              </w:rPr>
              <w:t>High service for an A-class finished product</w:t>
            </w:r>
          </w:p>
        </w:tc>
      </w:tr>
    </w:tbl>
    <w:p>
      <w:pPr>
        <w:pStyle w:val="Heading2"/>
        <w:spacing w:before="60" w:after="100"/>
      </w:pPr>
      <w:r>
        <w:t>10.1 Problem diagnosis</w:t>
      </w:r>
    </w:p>
    <w:p>
      <w:pPr>
        <w:pStyle w:val="ListBullet"/>
        <w:spacing w:after="40"/>
        <w:ind w:left="259"/>
      </w:pPr>
      <w:r>
        <w:rPr>
          <w:color w:val="1B2A41"/>
          <w:sz w:val="19"/>
        </w:rPr>
        <w:t>Lead-time master data is understated if the lane repeatedly takes longer than the planned value.</w:t>
      </w:r>
    </w:p>
    <w:p>
      <w:pPr>
        <w:pStyle w:val="ListBullet"/>
        <w:spacing w:after="40"/>
        <w:ind w:left="259"/>
      </w:pPr>
      <w:r>
        <w:rPr>
          <w:color w:val="1B2A41"/>
          <w:sz w:val="19"/>
        </w:rPr>
        <w:t>A 3-tonne buffer is not enough to absorb the combined demand and transport delay in this example.</w:t>
      </w:r>
    </w:p>
    <w:p>
      <w:pPr>
        <w:pStyle w:val="ListBullet"/>
        <w:spacing w:after="40"/>
        <w:ind w:left="259"/>
      </w:pPr>
      <w:r>
        <w:rPr>
          <w:color w:val="1B2A41"/>
          <w:sz w:val="19"/>
        </w:rPr>
        <w:t>If another DC holds excess stock, a network-level response is better than simply increasing every location’s safety stock.</w:t>
      </w:r>
    </w:p>
    <w:p>
      <w:pPr>
        <w:pStyle w:val="Heading2"/>
        <w:spacing w:before="60" w:after="100"/>
      </w:pPr>
      <w:r>
        <w:t>10.2 Proposed response</w:t>
      </w:r>
    </w:p>
    <w:tbl>
      <w:tblPr>
        <w:tblStyle w:val="TableGrid"/>
        <w:tblW w:type="auto" w:w="0"/>
        <w:jc w:val="center"/>
        <w:tblLook w:firstColumn="1" w:firstRow="1" w:lastColumn="0" w:lastRow="0" w:noHBand="0" w:noVBand="1" w:val="04A0"/>
      </w:tblPr>
      <w:tblGrid>
        <w:gridCol w:w="3456"/>
        <w:gridCol w:w="3456"/>
        <w:gridCol w:w="3456"/>
      </w:tblGrid>
      <w:tr>
        <w:tc>
          <w:tcPr>
            <w:tcW w:type="dxa" w:w="1440"/>
            <w:vAlign w:val="center"/>
            <w:shd w:fill="23395B"/>
            <w:tcMar>
              <w:top w:w="70" w:type="dxa"/>
              <w:start w:w="80" w:type="dxa"/>
              <w:bottom w:w="70" w:type="dxa"/>
              <w:end w:w="80" w:type="dxa"/>
            </w:tcMar>
          </w:tcPr>
          <w:p>
            <w:pPr>
              <w:jc w:val="center"/>
            </w:pPr>
            <w:r/>
            <w:r>
              <w:rPr>
                <w:rFonts w:ascii="Aptos" w:hAnsi="Aptos"/>
                <w:b/>
                <w:color w:val="FFFFFF"/>
                <w:sz w:val="17"/>
              </w:rPr>
              <w:t>Priority</w:t>
            </w:r>
          </w:p>
        </w:tc>
        <w:tc>
          <w:tcPr>
            <w:tcW w:type="dxa" w:w="4608"/>
            <w:vAlign w:val="center"/>
            <w:shd w:fill="23395B"/>
            <w:tcMar>
              <w:top w:w="70" w:type="dxa"/>
              <w:start w:w="80" w:type="dxa"/>
              <w:bottom w:w="70" w:type="dxa"/>
              <w:end w:w="80" w:type="dxa"/>
            </w:tcMar>
          </w:tcPr>
          <w:p>
            <w:pPr>
              <w:jc w:val="center"/>
            </w:pPr>
            <w:r/>
            <w:r>
              <w:rPr>
                <w:rFonts w:ascii="Aptos" w:hAnsi="Aptos"/>
                <w:b/>
                <w:color w:val="FFFFFF"/>
                <w:sz w:val="17"/>
              </w:rPr>
              <w:t>Action</w:t>
            </w:r>
          </w:p>
        </w:tc>
        <w:tc>
          <w:tcPr>
            <w:tcW w:type="dxa" w:w="4032"/>
            <w:vAlign w:val="center"/>
            <w:shd w:fill="23395B"/>
            <w:tcMar>
              <w:top w:w="70" w:type="dxa"/>
              <w:start w:w="80" w:type="dxa"/>
              <w:bottom w:w="70" w:type="dxa"/>
              <w:end w:w="80" w:type="dxa"/>
            </w:tcMar>
          </w:tcPr>
          <w:p>
            <w:pPr>
              <w:jc w:val="center"/>
            </w:pPr>
            <w:r/>
            <w:r>
              <w:rPr>
                <w:rFonts w:ascii="Aptos" w:hAnsi="Aptos"/>
                <w:b/>
                <w:color w:val="FFFFFF"/>
                <w:sz w:val="17"/>
              </w:rPr>
              <w:t>Reason</w:t>
            </w:r>
          </w:p>
        </w:tc>
      </w:tr>
      <w:tr>
        <w:tc>
          <w:tcPr>
            <w:tcW w:type="dxa" w:w="1440"/>
            <w:vAlign w:val="center"/>
            <w:tcMar>
              <w:top w:w="70" w:type="dxa"/>
              <w:start w:w="80" w:type="dxa"/>
              <w:bottom w:w="70" w:type="dxa"/>
              <w:end w:w="80" w:type="dxa"/>
            </w:tcMar>
          </w:tcPr>
          <w:p>
            <w:r/>
            <w:r>
              <w:rPr>
                <w:rFonts w:ascii="Aptos" w:hAnsi="Aptos"/>
                <w:b w:val="0"/>
                <w:color w:val="1B2A41"/>
                <w:sz w:val="15"/>
              </w:rPr>
              <w:t>Immediate</w:t>
            </w:r>
          </w:p>
        </w:tc>
        <w:tc>
          <w:tcPr>
            <w:tcW w:type="dxa" w:w="4608"/>
            <w:vAlign w:val="center"/>
            <w:tcMar>
              <w:top w:w="70" w:type="dxa"/>
              <w:start w:w="80" w:type="dxa"/>
              <w:bottom w:w="70" w:type="dxa"/>
              <w:end w:w="80" w:type="dxa"/>
            </w:tcMar>
          </w:tcPr>
          <w:p>
            <w:r/>
            <w:r>
              <w:rPr>
                <w:rFonts w:ascii="Aptos" w:hAnsi="Aptos"/>
                <w:b w:val="0"/>
                <w:color w:val="1B2A41"/>
                <w:sz w:val="15"/>
              </w:rPr>
              <w:t>Check ATP/stock position and confirm the revised inbound date.</w:t>
            </w:r>
          </w:p>
        </w:tc>
        <w:tc>
          <w:tcPr>
            <w:tcW w:type="dxa" w:w="4032"/>
            <w:vAlign w:val="center"/>
            <w:tcMar>
              <w:top w:w="70" w:type="dxa"/>
              <w:start w:w="80" w:type="dxa"/>
              <w:bottom w:w="70" w:type="dxa"/>
              <w:end w:w="80" w:type="dxa"/>
            </w:tcMar>
          </w:tcPr>
          <w:p>
            <w:r/>
            <w:r>
              <w:rPr>
                <w:rFonts w:ascii="Aptos" w:hAnsi="Aptos"/>
                <w:b w:val="0"/>
                <w:color w:val="1B2A41"/>
                <w:sz w:val="15"/>
              </w:rPr>
              <w:t>Avoid planning against an outdated receipt.</w:t>
            </w:r>
          </w:p>
        </w:tc>
      </w:tr>
      <w:tr>
        <w:tc>
          <w:tcPr>
            <w:tcW w:type="dxa" w:w="1440"/>
            <w:vAlign w:val="center"/>
            <w:tcMar>
              <w:top w:w="70" w:type="dxa"/>
              <w:start w:w="80" w:type="dxa"/>
              <w:bottom w:w="70" w:type="dxa"/>
              <w:end w:w="80" w:type="dxa"/>
            </w:tcMar>
            <w:shd w:fill="F7F9FB"/>
          </w:tcPr>
          <w:p>
            <w:r/>
            <w:r>
              <w:rPr>
                <w:rFonts w:ascii="Aptos" w:hAnsi="Aptos"/>
                <w:b w:val="0"/>
                <w:color w:val="1B2A41"/>
                <w:sz w:val="15"/>
              </w:rPr>
              <w:t>Immediate</w:t>
            </w:r>
          </w:p>
        </w:tc>
        <w:tc>
          <w:tcPr>
            <w:tcW w:type="dxa" w:w="4608"/>
            <w:vAlign w:val="center"/>
            <w:tcMar>
              <w:top w:w="70" w:type="dxa"/>
              <w:start w:w="80" w:type="dxa"/>
              <w:bottom w:w="70" w:type="dxa"/>
              <w:end w:w="80" w:type="dxa"/>
            </w:tcMar>
            <w:shd w:fill="F7F9FB"/>
          </w:tcPr>
          <w:p>
            <w:r/>
            <w:r>
              <w:rPr>
                <w:rFonts w:ascii="Aptos" w:hAnsi="Aptos"/>
                <w:b w:val="0"/>
                <w:color w:val="1B2A41"/>
                <w:sz w:val="15"/>
              </w:rPr>
              <w:t>Evaluate redeployment from Bengaluru/Vijayawada if their projected cover remains above target.</w:t>
            </w:r>
          </w:p>
        </w:tc>
        <w:tc>
          <w:tcPr>
            <w:tcW w:type="dxa" w:w="4032"/>
            <w:vAlign w:val="center"/>
            <w:tcMar>
              <w:top w:w="70" w:type="dxa"/>
              <w:start w:w="80" w:type="dxa"/>
              <w:bottom w:w="70" w:type="dxa"/>
              <w:end w:w="80" w:type="dxa"/>
            </w:tcMar>
            <w:shd w:fill="F7F9FB"/>
          </w:tcPr>
          <w:p>
            <w:r/>
            <w:r>
              <w:rPr>
                <w:rFonts w:ascii="Aptos" w:hAnsi="Aptos"/>
                <w:b w:val="0"/>
                <w:color w:val="1B2A41"/>
                <w:sz w:val="15"/>
              </w:rPr>
              <w:t>Uses existing network stock before creating new supply.</w:t>
            </w:r>
          </w:p>
        </w:tc>
      </w:tr>
      <w:tr>
        <w:tc>
          <w:tcPr>
            <w:tcW w:type="dxa" w:w="1440"/>
            <w:vAlign w:val="center"/>
            <w:tcMar>
              <w:top w:w="70" w:type="dxa"/>
              <w:start w:w="80" w:type="dxa"/>
              <w:bottom w:w="70" w:type="dxa"/>
              <w:end w:w="80" w:type="dxa"/>
            </w:tcMar>
          </w:tcPr>
          <w:p>
            <w:r/>
            <w:r>
              <w:rPr>
                <w:rFonts w:ascii="Aptos" w:hAnsi="Aptos"/>
                <w:b w:val="0"/>
                <w:color w:val="1B2A41"/>
                <w:sz w:val="15"/>
              </w:rPr>
              <w:t>Short term</w:t>
            </w:r>
          </w:p>
        </w:tc>
        <w:tc>
          <w:tcPr>
            <w:tcW w:type="dxa" w:w="4608"/>
            <w:vAlign w:val="center"/>
            <w:tcMar>
              <w:top w:w="70" w:type="dxa"/>
              <w:start w:w="80" w:type="dxa"/>
              <w:bottom w:w="70" w:type="dxa"/>
              <w:end w:w="80" w:type="dxa"/>
            </w:tcMar>
          </w:tcPr>
          <w:p>
            <w:r/>
            <w:r>
              <w:rPr>
                <w:rFonts w:ascii="Aptos" w:hAnsi="Aptos"/>
                <w:b w:val="0"/>
                <w:color w:val="1B2A41"/>
                <w:sz w:val="15"/>
              </w:rPr>
              <w:t>Use secondary source or expedited transport for the constrained quantity if commercially justified.</w:t>
            </w:r>
          </w:p>
        </w:tc>
        <w:tc>
          <w:tcPr>
            <w:tcW w:type="dxa" w:w="4032"/>
            <w:vAlign w:val="center"/>
            <w:tcMar>
              <w:top w:w="70" w:type="dxa"/>
              <w:start w:w="80" w:type="dxa"/>
              <w:bottom w:w="70" w:type="dxa"/>
              <w:end w:w="80" w:type="dxa"/>
            </w:tcMar>
          </w:tcPr>
          <w:p>
            <w:r/>
            <w:r>
              <w:rPr>
                <w:rFonts w:ascii="Aptos" w:hAnsi="Aptos"/>
                <w:b w:val="0"/>
                <w:color w:val="1B2A41"/>
                <w:sz w:val="15"/>
              </w:rPr>
              <w:t>Protects service for a critical item.</w:t>
            </w:r>
          </w:p>
        </w:tc>
      </w:tr>
      <w:tr>
        <w:tc>
          <w:tcPr>
            <w:tcW w:type="dxa" w:w="1440"/>
            <w:vAlign w:val="center"/>
            <w:tcMar>
              <w:top w:w="70" w:type="dxa"/>
              <w:start w:w="80" w:type="dxa"/>
              <w:bottom w:w="70" w:type="dxa"/>
              <w:end w:w="80" w:type="dxa"/>
            </w:tcMar>
            <w:shd w:fill="F7F9FB"/>
          </w:tcPr>
          <w:p>
            <w:r/>
            <w:r>
              <w:rPr>
                <w:rFonts w:ascii="Aptos" w:hAnsi="Aptos"/>
                <w:b w:val="0"/>
                <w:color w:val="1B2A41"/>
                <w:sz w:val="15"/>
              </w:rPr>
              <w:t>Master data</w:t>
            </w:r>
          </w:p>
        </w:tc>
        <w:tc>
          <w:tcPr>
            <w:tcW w:type="dxa" w:w="4608"/>
            <w:vAlign w:val="center"/>
            <w:tcMar>
              <w:top w:w="70" w:type="dxa"/>
              <w:start w:w="80" w:type="dxa"/>
              <w:bottom w:w="70" w:type="dxa"/>
              <w:end w:w="80" w:type="dxa"/>
            </w:tcMar>
            <w:shd w:fill="F7F9FB"/>
          </w:tcPr>
          <w:p>
            <w:r/>
            <w:r>
              <w:rPr>
                <w:rFonts w:ascii="Aptos" w:hAnsi="Aptos"/>
                <w:b w:val="0"/>
                <w:color w:val="1B2A41"/>
                <w:sz w:val="15"/>
              </w:rPr>
              <w:t>Correct transportation lead time if actual performance consistently differs from master data.</w:t>
            </w:r>
          </w:p>
        </w:tc>
        <w:tc>
          <w:tcPr>
            <w:tcW w:type="dxa" w:w="4032"/>
            <w:vAlign w:val="center"/>
            <w:tcMar>
              <w:top w:w="70" w:type="dxa"/>
              <w:start w:w="80" w:type="dxa"/>
              <w:bottom w:w="70" w:type="dxa"/>
              <w:end w:w="80" w:type="dxa"/>
            </w:tcMar>
            <w:shd w:fill="F7F9FB"/>
          </w:tcPr>
          <w:p>
            <w:r/>
            <w:r>
              <w:rPr>
                <w:rFonts w:ascii="Aptos" w:hAnsi="Aptos"/>
                <w:b w:val="0"/>
                <w:color w:val="1B2A41"/>
                <w:sz w:val="15"/>
              </w:rPr>
              <w:t>Stops the same shortage from recurring in every plan.</w:t>
            </w:r>
          </w:p>
        </w:tc>
      </w:tr>
      <w:tr>
        <w:tc>
          <w:tcPr>
            <w:tcW w:type="dxa" w:w="1440"/>
            <w:vAlign w:val="center"/>
            <w:tcMar>
              <w:top w:w="70" w:type="dxa"/>
              <w:start w:w="80" w:type="dxa"/>
              <w:bottom w:w="70" w:type="dxa"/>
              <w:end w:w="80" w:type="dxa"/>
            </w:tcMar>
          </w:tcPr>
          <w:p>
            <w:r/>
            <w:r>
              <w:rPr>
                <w:rFonts w:ascii="Aptos" w:hAnsi="Aptos"/>
                <w:b w:val="0"/>
                <w:color w:val="1B2A41"/>
                <w:sz w:val="15"/>
              </w:rPr>
              <w:t>Policy</w:t>
            </w:r>
          </w:p>
        </w:tc>
        <w:tc>
          <w:tcPr>
            <w:tcW w:type="dxa" w:w="4608"/>
            <w:vAlign w:val="center"/>
            <w:tcMar>
              <w:top w:w="70" w:type="dxa"/>
              <w:start w:w="80" w:type="dxa"/>
              <w:bottom w:w="70" w:type="dxa"/>
              <w:end w:w="80" w:type="dxa"/>
            </w:tcMar>
          </w:tcPr>
          <w:p>
            <w:r/>
            <w:r>
              <w:rPr>
                <w:rFonts w:ascii="Aptos" w:hAnsi="Aptos"/>
                <w:b w:val="0"/>
                <w:color w:val="1B2A41"/>
                <w:sz w:val="15"/>
              </w:rPr>
              <w:t>Recalculate safety stock/safety days using demand and lead-time variability.</w:t>
            </w:r>
          </w:p>
        </w:tc>
        <w:tc>
          <w:tcPr>
            <w:tcW w:type="dxa" w:w="4032"/>
            <w:vAlign w:val="center"/>
            <w:tcMar>
              <w:top w:w="70" w:type="dxa"/>
              <w:start w:w="80" w:type="dxa"/>
              <w:bottom w:w="70" w:type="dxa"/>
              <w:end w:w="80" w:type="dxa"/>
            </w:tcMar>
          </w:tcPr>
          <w:p>
            <w:r/>
            <w:r>
              <w:rPr>
                <w:rFonts w:ascii="Aptos" w:hAnsi="Aptos"/>
                <w:b w:val="0"/>
                <w:color w:val="1B2A41"/>
                <w:sz w:val="15"/>
              </w:rPr>
              <w:t>Aligns the buffer with the observed uncertainty.</w:t>
            </w:r>
          </w:p>
        </w:tc>
      </w:tr>
      <w:tr>
        <w:tc>
          <w:tcPr>
            <w:tcW w:type="dxa" w:w="1440"/>
            <w:vAlign w:val="center"/>
            <w:tcMar>
              <w:top w:w="70" w:type="dxa"/>
              <w:start w:w="80" w:type="dxa"/>
              <w:bottom w:w="70" w:type="dxa"/>
              <w:end w:w="80" w:type="dxa"/>
            </w:tcMar>
            <w:shd w:fill="F7F9FB"/>
          </w:tcPr>
          <w:p>
            <w:r/>
            <w:r>
              <w:rPr>
                <w:rFonts w:ascii="Aptos" w:hAnsi="Aptos"/>
                <w:b w:val="0"/>
                <w:color w:val="1B2A41"/>
                <w:sz w:val="15"/>
              </w:rPr>
              <w:t>Governance</w:t>
            </w:r>
          </w:p>
        </w:tc>
        <w:tc>
          <w:tcPr>
            <w:tcW w:type="dxa" w:w="4608"/>
            <w:vAlign w:val="center"/>
            <w:tcMar>
              <w:top w:w="70" w:type="dxa"/>
              <w:start w:w="80" w:type="dxa"/>
              <w:bottom w:w="70" w:type="dxa"/>
              <w:end w:w="80" w:type="dxa"/>
            </w:tcMar>
            <w:shd w:fill="F7F9FB"/>
          </w:tcPr>
          <w:p>
            <w:r/>
            <w:r>
              <w:rPr>
                <w:rFonts w:ascii="Aptos" w:hAnsi="Aptos"/>
                <w:b w:val="0"/>
                <w:color w:val="1B2A41"/>
                <w:sz w:val="15"/>
              </w:rPr>
              <w:t>Track supplier/carrier on-time performance and require owner sign-off for lead-time changes.</w:t>
            </w:r>
          </w:p>
        </w:tc>
        <w:tc>
          <w:tcPr>
            <w:tcW w:type="dxa" w:w="4032"/>
            <w:vAlign w:val="center"/>
            <w:tcMar>
              <w:top w:w="70" w:type="dxa"/>
              <w:start w:w="80" w:type="dxa"/>
              <w:bottom w:w="70" w:type="dxa"/>
              <w:end w:w="80" w:type="dxa"/>
            </w:tcMar>
            <w:shd w:fill="F7F9FB"/>
          </w:tcPr>
          <w:p>
            <w:r/>
            <w:r>
              <w:rPr>
                <w:rFonts w:ascii="Aptos" w:hAnsi="Aptos"/>
                <w:b w:val="0"/>
                <w:color w:val="1B2A41"/>
                <w:sz w:val="15"/>
              </w:rPr>
              <w:t>Maintains the parameter over time.</w:t>
            </w:r>
          </w:p>
        </w:tc>
      </w:tr>
    </w:tbl>
    <w:tbl>
      <w:tblPr>
        <w:tblW w:type="auto" w:w="0"/>
        <w:jc w:val="center"/>
        <w:tblLayout w:type="autofit"/>
        <w:tblLook w:firstColumn="1" w:firstRow="1" w:lastColumn="0" w:lastRow="0" w:noHBand="0" w:noVBand="1" w:val="04A0"/>
      </w:tblPr>
      <w:tblGrid>
        <w:gridCol w:w="10368"/>
      </w:tblGrid>
      <w:tr>
        <w:tc>
          <w:tcPr>
            <w:tcW w:type="dxa" w:w="10368"/>
            <w:shd w:fill="EEF3F8"/>
            <w:tcMar>
              <w:top w:w="110" w:type="dxa"/>
              <w:start w:w="140" w:type="dxa"/>
              <w:bottom w:w="110" w:type="dxa"/>
              <w:end w:w="140" w:type="dxa"/>
            </w:tcMar>
          </w:tcPr>
          <w:p>
            <w:r>
              <w:rPr>
                <w:b/>
                <w:color w:val="23395B"/>
                <w:sz w:val="19"/>
              </w:rPr>
              <w:t xml:space="preserve">Illustrative outcome:  </w:t>
            </w:r>
            <w:r>
              <w:rPr>
                <w:color w:val="1B2A41"/>
                <w:sz w:val="18"/>
              </w:rPr>
              <w:t>If 5 tonnes can be redeployed and the delayed 10-tonne receipt is confirmed, the immediate shortage can be reduced without permanently raising stock at every location. The long-term fix is to correct the lead-time assumption and then retune the safety buffer.</w:t>
            </w:r>
          </w:p>
        </w:tc>
      </w:tr>
    </w:tbl>
    <w:p>
      <w:r>
        <w:br w:type="page"/>
      </w:r>
    </w:p>
    <w:p>
      <w:pPr>
        <w:pStyle w:val="Heading1"/>
        <w:spacing w:before="60" w:after="100"/>
      </w:pPr>
      <w:r>
        <w:t>11. Practical Simulation: Excess Inventory</w:t>
      </w:r>
    </w:p>
    <w:p>
      <w:pPr>
        <w:spacing w:after="100" w:line="259" w:lineRule="auto"/>
      </w:pPr>
      <w:r>
        <w:rPr>
          <w:color w:val="1B2A41"/>
          <w:sz w:val="20"/>
        </w:rPr>
        <w:t>The second simulation creates the opposite problem: excessive stock at the Vijayawada DC after a forecast slowdown. The location has enough inventory to cover several weeks, while another DC is closer to its target buffer.</w:t>
      </w:r>
    </w:p>
    <w:tbl>
      <w:tblPr>
        <w:tblStyle w:val="TableGrid"/>
        <w:tblW w:type="auto" w:w="0"/>
        <w:jc w:val="center"/>
        <w:tblLook w:firstColumn="1" w:firstRow="1" w:lastColumn="0" w:lastRow="0" w:noHBand="0" w:noVBand="1" w:val="04A0"/>
      </w:tblPr>
      <w:tblGrid>
        <w:gridCol w:w="5184"/>
        <w:gridCol w:w="5184"/>
      </w:tblGrid>
      <w:tr>
        <w:tc>
          <w:tcPr>
            <w:tcW w:type="dxa" w:w="4320"/>
            <w:vAlign w:val="center"/>
            <w:shd w:fill="23395B"/>
            <w:tcMar>
              <w:top w:w="70" w:type="dxa"/>
              <w:start w:w="80" w:type="dxa"/>
              <w:bottom w:w="70" w:type="dxa"/>
              <w:end w:w="80" w:type="dxa"/>
            </w:tcMar>
          </w:tcPr>
          <w:p>
            <w:pPr>
              <w:jc w:val="center"/>
            </w:pPr>
            <w:r/>
            <w:r>
              <w:rPr>
                <w:rFonts w:ascii="Aptos" w:hAnsi="Aptos"/>
                <w:b/>
                <w:color w:val="FFFFFF"/>
                <w:sz w:val="17"/>
              </w:rPr>
              <w:t>Input</w:t>
            </w:r>
          </w:p>
        </w:tc>
        <w:tc>
          <w:tcPr>
            <w:tcW w:type="dxa" w:w="5040"/>
            <w:vAlign w:val="center"/>
            <w:shd w:fill="23395B"/>
            <w:tcMar>
              <w:top w:w="70" w:type="dxa"/>
              <w:start w:w="80" w:type="dxa"/>
              <w:bottom w:w="70" w:type="dxa"/>
              <w:end w:w="80" w:type="dxa"/>
            </w:tcMar>
          </w:tcPr>
          <w:p>
            <w:pPr>
              <w:jc w:val="center"/>
            </w:pPr>
            <w:r/>
            <w:r>
              <w:rPr>
                <w:rFonts w:ascii="Aptos" w:hAnsi="Aptos"/>
                <w:b/>
                <w:color w:val="FFFFFF"/>
                <w:sz w:val="17"/>
              </w:rPr>
              <w:t>Illustrative value</w:t>
            </w:r>
          </w:p>
        </w:tc>
      </w:tr>
      <w:tr>
        <w:tc>
          <w:tcPr>
            <w:tcW w:type="dxa" w:w="4320"/>
            <w:vAlign w:val="center"/>
            <w:tcMar>
              <w:top w:w="70" w:type="dxa"/>
              <w:start w:w="80" w:type="dxa"/>
              <w:bottom w:w="70" w:type="dxa"/>
              <w:end w:w="80" w:type="dxa"/>
            </w:tcMar>
          </w:tcPr>
          <w:p>
            <w:r/>
            <w:r>
              <w:rPr>
                <w:rFonts w:ascii="Aptos" w:hAnsi="Aptos"/>
                <w:b w:val="0"/>
                <w:color w:val="1B2A41"/>
                <w:sz w:val="17"/>
              </w:rPr>
              <w:t>Opening stock at Vijayawada</w:t>
            </w:r>
          </w:p>
        </w:tc>
        <w:tc>
          <w:tcPr>
            <w:tcW w:type="dxa" w:w="5040"/>
            <w:vAlign w:val="center"/>
            <w:tcMar>
              <w:top w:w="70" w:type="dxa"/>
              <w:start w:w="80" w:type="dxa"/>
              <w:bottom w:w="70" w:type="dxa"/>
              <w:end w:w="80" w:type="dxa"/>
            </w:tcMar>
          </w:tcPr>
          <w:p>
            <w:r/>
            <w:r>
              <w:rPr>
                <w:rFonts w:ascii="Aptos" w:hAnsi="Aptos"/>
                <w:b w:val="0"/>
                <w:color w:val="1B2A41"/>
                <w:sz w:val="17"/>
              </w:rPr>
              <w:t>32 tonnes</w:t>
            </w:r>
          </w:p>
        </w:tc>
      </w:tr>
      <w:tr>
        <w:tc>
          <w:tcPr>
            <w:tcW w:type="dxa" w:w="4320"/>
            <w:vAlign w:val="center"/>
            <w:tcMar>
              <w:top w:w="70" w:type="dxa"/>
              <w:start w:w="80" w:type="dxa"/>
              <w:bottom w:w="70" w:type="dxa"/>
              <w:end w:w="80" w:type="dxa"/>
            </w:tcMar>
            <w:shd w:fill="F7F9FB"/>
          </w:tcPr>
          <w:p>
            <w:r/>
            <w:r>
              <w:rPr>
                <w:rFonts w:ascii="Aptos" w:hAnsi="Aptos"/>
                <w:b w:val="0"/>
                <w:color w:val="1B2A41"/>
                <w:sz w:val="17"/>
              </w:rPr>
              <w:t>Expected weekly demand</w:t>
            </w:r>
          </w:p>
        </w:tc>
        <w:tc>
          <w:tcPr>
            <w:tcW w:type="dxa" w:w="5040"/>
            <w:vAlign w:val="center"/>
            <w:tcMar>
              <w:top w:w="70" w:type="dxa"/>
              <w:start w:w="80" w:type="dxa"/>
              <w:bottom w:w="70" w:type="dxa"/>
              <w:end w:w="80" w:type="dxa"/>
            </w:tcMar>
            <w:shd w:fill="F7F9FB"/>
          </w:tcPr>
          <w:p>
            <w:r/>
            <w:r>
              <w:rPr>
                <w:rFonts w:ascii="Aptos" w:hAnsi="Aptos"/>
                <w:b w:val="0"/>
                <w:color w:val="1B2A41"/>
                <w:sz w:val="17"/>
              </w:rPr>
              <w:t>7 tonnes/week</w:t>
            </w:r>
          </w:p>
        </w:tc>
      </w:tr>
      <w:tr>
        <w:tc>
          <w:tcPr>
            <w:tcW w:type="dxa" w:w="4320"/>
            <w:vAlign w:val="center"/>
            <w:tcMar>
              <w:top w:w="70" w:type="dxa"/>
              <w:start w:w="80" w:type="dxa"/>
              <w:bottom w:w="70" w:type="dxa"/>
              <w:end w:w="80" w:type="dxa"/>
            </w:tcMar>
          </w:tcPr>
          <w:p>
            <w:r/>
            <w:r>
              <w:rPr>
                <w:rFonts w:ascii="Aptos" w:hAnsi="Aptos"/>
                <w:b w:val="0"/>
                <w:color w:val="1B2A41"/>
                <w:sz w:val="17"/>
              </w:rPr>
              <w:t>Current coverage</w:t>
            </w:r>
          </w:p>
        </w:tc>
        <w:tc>
          <w:tcPr>
            <w:tcW w:type="dxa" w:w="5040"/>
            <w:vAlign w:val="center"/>
            <w:tcMar>
              <w:top w:w="70" w:type="dxa"/>
              <w:start w:w="80" w:type="dxa"/>
              <w:bottom w:w="70" w:type="dxa"/>
              <w:end w:w="80" w:type="dxa"/>
            </w:tcMar>
          </w:tcPr>
          <w:p>
            <w:r/>
            <w:r>
              <w:rPr>
                <w:rFonts w:ascii="Aptos" w:hAnsi="Aptos"/>
                <w:b w:val="0"/>
                <w:color w:val="1B2A41"/>
                <w:sz w:val="17"/>
              </w:rPr>
              <w:t>≈ 4.6 weeks</w:t>
            </w:r>
          </w:p>
        </w:tc>
      </w:tr>
      <w:tr>
        <w:tc>
          <w:tcPr>
            <w:tcW w:type="dxa" w:w="4320"/>
            <w:vAlign w:val="center"/>
            <w:tcMar>
              <w:top w:w="70" w:type="dxa"/>
              <w:start w:w="80" w:type="dxa"/>
              <w:bottom w:w="70" w:type="dxa"/>
              <w:end w:w="80" w:type="dxa"/>
            </w:tcMar>
            <w:shd w:fill="F7F9FB"/>
          </w:tcPr>
          <w:p>
            <w:r/>
            <w:r>
              <w:rPr>
                <w:rFonts w:ascii="Aptos" w:hAnsi="Aptos"/>
                <w:b w:val="0"/>
                <w:color w:val="1B2A41"/>
                <w:sz w:val="17"/>
              </w:rPr>
              <w:t>Desired normal coverage</w:t>
            </w:r>
          </w:p>
        </w:tc>
        <w:tc>
          <w:tcPr>
            <w:tcW w:type="dxa" w:w="5040"/>
            <w:vAlign w:val="center"/>
            <w:tcMar>
              <w:top w:w="70" w:type="dxa"/>
              <w:start w:w="80" w:type="dxa"/>
              <w:bottom w:w="70" w:type="dxa"/>
              <w:end w:w="80" w:type="dxa"/>
            </w:tcMar>
            <w:shd w:fill="F7F9FB"/>
          </w:tcPr>
          <w:p>
            <w:r/>
            <w:r>
              <w:rPr>
                <w:rFonts w:ascii="Aptos" w:hAnsi="Aptos"/>
                <w:b w:val="0"/>
                <w:color w:val="1B2A41"/>
                <w:sz w:val="17"/>
              </w:rPr>
              <w:t>≈ 2.0 weeks before safety-stock review</w:t>
            </w:r>
          </w:p>
        </w:tc>
      </w:tr>
      <w:tr>
        <w:tc>
          <w:tcPr>
            <w:tcW w:type="dxa" w:w="4320"/>
            <w:vAlign w:val="center"/>
            <w:tcMar>
              <w:top w:w="70" w:type="dxa"/>
              <w:start w:w="80" w:type="dxa"/>
              <w:bottom w:w="70" w:type="dxa"/>
              <w:end w:w="80" w:type="dxa"/>
            </w:tcMar>
          </w:tcPr>
          <w:p>
            <w:r/>
            <w:r>
              <w:rPr>
                <w:rFonts w:ascii="Aptos" w:hAnsi="Aptos"/>
                <w:b w:val="0"/>
                <w:color w:val="1B2A41"/>
                <w:sz w:val="17"/>
              </w:rPr>
              <w:t>Next planned replenishment</w:t>
            </w:r>
          </w:p>
        </w:tc>
        <w:tc>
          <w:tcPr>
            <w:tcW w:type="dxa" w:w="5040"/>
            <w:vAlign w:val="center"/>
            <w:tcMar>
              <w:top w:w="70" w:type="dxa"/>
              <w:start w:w="80" w:type="dxa"/>
              <w:bottom w:w="70" w:type="dxa"/>
              <w:end w:w="80" w:type="dxa"/>
            </w:tcMar>
          </w:tcPr>
          <w:p>
            <w:r/>
            <w:r>
              <w:rPr>
                <w:rFonts w:ascii="Aptos" w:hAnsi="Aptos"/>
                <w:b w:val="0"/>
                <w:color w:val="1B2A41"/>
                <w:sz w:val="17"/>
              </w:rPr>
              <w:t>10 tonnes in Week 2</w:t>
            </w:r>
          </w:p>
        </w:tc>
      </w:tr>
      <w:tr>
        <w:tc>
          <w:tcPr>
            <w:tcW w:type="dxa" w:w="4320"/>
            <w:vAlign w:val="center"/>
            <w:tcMar>
              <w:top w:w="70" w:type="dxa"/>
              <w:start w:w="80" w:type="dxa"/>
              <w:bottom w:w="70" w:type="dxa"/>
              <w:end w:w="80" w:type="dxa"/>
            </w:tcMar>
            <w:shd w:fill="F7F9FB"/>
          </w:tcPr>
          <w:p>
            <w:r/>
            <w:r>
              <w:rPr>
                <w:rFonts w:ascii="Aptos" w:hAnsi="Aptos"/>
                <w:b w:val="0"/>
                <w:color w:val="1B2A41"/>
                <w:sz w:val="17"/>
              </w:rPr>
              <w:t>Shelf-life consideration</w:t>
            </w:r>
          </w:p>
        </w:tc>
        <w:tc>
          <w:tcPr>
            <w:tcW w:type="dxa" w:w="5040"/>
            <w:vAlign w:val="center"/>
            <w:tcMar>
              <w:top w:w="70" w:type="dxa"/>
              <w:start w:w="80" w:type="dxa"/>
              <w:bottom w:w="70" w:type="dxa"/>
              <w:end w:w="80" w:type="dxa"/>
            </w:tcMar>
            <w:shd w:fill="F7F9FB"/>
          </w:tcPr>
          <w:p>
            <w:r/>
            <w:r>
              <w:rPr>
                <w:rFonts w:ascii="Aptos" w:hAnsi="Aptos"/>
                <w:b w:val="0"/>
                <w:color w:val="1B2A41"/>
                <w:sz w:val="17"/>
              </w:rPr>
              <w:t>Finished food product; avoid unnecessary aging stock</w:t>
            </w:r>
          </w:p>
        </w:tc>
      </w:tr>
    </w:tbl>
    <w:p>
      <w:pPr>
        <w:pStyle w:val="Heading2"/>
        <w:spacing w:before="60" w:after="100"/>
      </w:pPr>
      <w:r>
        <w:t>11.1 Root causes to test</w:t>
      </w:r>
    </w:p>
    <w:p>
      <w:pPr>
        <w:pStyle w:val="ListBullet"/>
        <w:spacing w:after="40"/>
        <w:ind w:left="259"/>
      </w:pPr>
      <w:r>
        <w:rPr>
          <w:color w:val="1B2A41"/>
          <w:sz w:val="19"/>
        </w:rPr>
        <w:t>Forecast may have decreased after a replenishment lot was already created.</w:t>
      </w:r>
    </w:p>
    <w:p>
      <w:pPr>
        <w:pStyle w:val="ListBullet"/>
        <w:spacing w:after="40"/>
        <w:ind w:left="259"/>
      </w:pPr>
      <w:r>
        <w:rPr>
          <w:color w:val="1B2A41"/>
          <w:sz w:val="19"/>
        </w:rPr>
        <w:t>Lot size or minimum order quantity may be too large for the current demand rate.</w:t>
      </w:r>
    </w:p>
    <w:p>
      <w:pPr>
        <w:pStyle w:val="ListBullet"/>
        <w:spacing w:after="40"/>
        <w:ind w:left="259"/>
      </w:pPr>
      <w:r>
        <w:rPr>
          <w:color w:val="1B2A41"/>
          <w:sz w:val="19"/>
        </w:rPr>
        <w:t>Safety stock may be based on an old service/variability assumption.</w:t>
      </w:r>
    </w:p>
    <w:p>
      <w:pPr>
        <w:pStyle w:val="ListBullet"/>
        <w:spacing w:after="40"/>
        <w:ind w:left="259"/>
      </w:pPr>
      <w:r>
        <w:rPr>
          <w:color w:val="1B2A41"/>
          <w:sz w:val="19"/>
        </w:rPr>
        <w:t>A duplicate or incorrect location-product record could cause double planning.</w:t>
      </w:r>
    </w:p>
    <w:p>
      <w:pPr>
        <w:pStyle w:val="ListBullet"/>
        <w:spacing w:after="40"/>
        <w:ind w:left="259"/>
      </w:pPr>
      <w:r>
        <w:rPr>
          <w:color w:val="1B2A41"/>
          <w:sz w:val="19"/>
        </w:rPr>
        <w:t>Planned receipts may not have been re-evaluated after demand changed.</w:t>
      </w:r>
    </w:p>
    <w:p>
      <w:pPr>
        <w:pStyle w:val="Heading2"/>
        <w:spacing w:before="60" w:after="100"/>
      </w:pPr>
      <w:r>
        <w:t>11.2 Proposed correction</w:t>
      </w:r>
    </w:p>
    <w:tbl>
      <w:tblPr>
        <w:tblStyle w:val="TableGrid"/>
        <w:tblW w:type="auto" w:w="0"/>
        <w:jc w:val="center"/>
        <w:tblLook w:firstColumn="1" w:firstRow="1" w:lastColumn="0" w:lastRow="0" w:noHBand="0" w:noVBand="1" w:val="04A0"/>
      </w:tblPr>
      <w:tblGrid>
        <w:gridCol w:w="5184"/>
        <w:gridCol w:w="5184"/>
      </w:tblGrid>
      <w:tr>
        <w:tc>
          <w:tcPr>
            <w:tcW w:type="dxa" w:w="5040"/>
            <w:vAlign w:val="center"/>
            <w:shd w:fill="23395B"/>
            <w:tcMar>
              <w:top w:w="70" w:type="dxa"/>
              <w:start w:w="80" w:type="dxa"/>
              <w:bottom w:w="70" w:type="dxa"/>
              <w:end w:w="80" w:type="dxa"/>
            </w:tcMar>
          </w:tcPr>
          <w:p>
            <w:pPr>
              <w:jc w:val="center"/>
            </w:pPr>
            <w:r/>
            <w:r>
              <w:rPr>
                <w:rFonts w:ascii="Aptos" w:hAnsi="Aptos"/>
                <w:b/>
                <w:color w:val="FFFFFF"/>
                <w:sz w:val="17"/>
              </w:rPr>
              <w:t>Action</w:t>
            </w:r>
          </w:p>
        </w:tc>
        <w:tc>
          <w:tcPr>
            <w:tcW w:type="dxa" w:w="5040"/>
            <w:vAlign w:val="center"/>
            <w:shd w:fill="23395B"/>
            <w:tcMar>
              <w:top w:w="70" w:type="dxa"/>
              <w:start w:w="80" w:type="dxa"/>
              <w:bottom w:w="70" w:type="dxa"/>
              <w:end w:w="80" w:type="dxa"/>
            </w:tcMar>
          </w:tcPr>
          <w:p>
            <w:pPr>
              <w:jc w:val="center"/>
            </w:pPr>
            <w:r/>
            <w:r>
              <w:rPr>
                <w:rFonts w:ascii="Aptos" w:hAnsi="Aptos"/>
                <w:b/>
                <w:color w:val="FFFFFF"/>
                <w:sz w:val="17"/>
              </w:rPr>
              <w:t>Inventory effect</w:t>
            </w:r>
          </w:p>
        </w:tc>
      </w:tr>
      <w:tr>
        <w:tc>
          <w:tcPr>
            <w:tcW w:type="dxa" w:w="5040"/>
            <w:vAlign w:val="center"/>
            <w:tcMar>
              <w:top w:w="70" w:type="dxa"/>
              <w:start w:w="80" w:type="dxa"/>
              <w:bottom w:w="70" w:type="dxa"/>
              <w:end w:w="80" w:type="dxa"/>
            </w:tcMar>
          </w:tcPr>
          <w:p>
            <w:r/>
            <w:r>
              <w:rPr>
                <w:rFonts w:ascii="Aptos" w:hAnsi="Aptos"/>
                <w:b w:val="0"/>
                <w:color w:val="1B2A41"/>
                <w:sz w:val="16"/>
              </w:rPr>
              <w:t>Freeze or reduce non-firm future replenishment where business rules allow.</w:t>
            </w:r>
          </w:p>
        </w:tc>
        <w:tc>
          <w:tcPr>
            <w:tcW w:type="dxa" w:w="5040"/>
            <w:vAlign w:val="center"/>
            <w:tcMar>
              <w:top w:w="70" w:type="dxa"/>
              <w:start w:w="80" w:type="dxa"/>
              <w:bottom w:w="70" w:type="dxa"/>
              <w:end w:w="80" w:type="dxa"/>
            </w:tcMar>
          </w:tcPr>
          <w:p>
            <w:r/>
            <w:r>
              <w:rPr>
                <w:rFonts w:ascii="Aptos" w:hAnsi="Aptos"/>
                <w:b w:val="0"/>
                <w:color w:val="1B2A41"/>
                <w:sz w:val="16"/>
              </w:rPr>
              <w:t>Stops additional excess from arriving.</w:t>
            </w:r>
          </w:p>
        </w:tc>
      </w:tr>
      <w:tr>
        <w:tc>
          <w:tcPr>
            <w:tcW w:type="dxa" w:w="5040"/>
            <w:vAlign w:val="center"/>
            <w:tcMar>
              <w:top w:w="70" w:type="dxa"/>
              <w:start w:w="80" w:type="dxa"/>
              <w:bottom w:w="70" w:type="dxa"/>
              <w:end w:w="80" w:type="dxa"/>
            </w:tcMar>
            <w:shd w:fill="F7F9FB"/>
          </w:tcPr>
          <w:p>
            <w:r/>
            <w:r>
              <w:rPr>
                <w:rFonts w:ascii="Aptos" w:hAnsi="Aptos"/>
                <w:b w:val="0"/>
                <w:color w:val="1B2A41"/>
                <w:sz w:val="16"/>
              </w:rPr>
              <w:t>Redeploy 8–10 tonnes to a DC with higher projected demand/shortage risk.</w:t>
            </w:r>
          </w:p>
        </w:tc>
        <w:tc>
          <w:tcPr>
            <w:tcW w:type="dxa" w:w="5040"/>
            <w:vAlign w:val="center"/>
            <w:tcMar>
              <w:top w:w="70" w:type="dxa"/>
              <w:start w:w="80" w:type="dxa"/>
              <w:bottom w:w="70" w:type="dxa"/>
              <w:end w:w="80" w:type="dxa"/>
            </w:tcMar>
            <w:shd w:fill="F7F9FB"/>
          </w:tcPr>
          <w:p>
            <w:r/>
            <w:r>
              <w:rPr>
                <w:rFonts w:ascii="Aptos" w:hAnsi="Aptos"/>
                <w:b w:val="0"/>
                <w:color w:val="1B2A41"/>
                <w:sz w:val="16"/>
              </w:rPr>
              <w:t>Improves network balance without new production.</w:t>
            </w:r>
          </w:p>
        </w:tc>
      </w:tr>
      <w:tr>
        <w:tc>
          <w:tcPr>
            <w:tcW w:type="dxa" w:w="5040"/>
            <w:vAlign w:val="center"/>
            <w:tcMar>
              <w:top w:w="70" w:type="dxa"/>
              <w:start w:w="80" w:type="dxa"/>
              <w:bottom w:w="70" w:type="dxa"/>
              <w:end w:w="80" w:type="dxa"/>
            </w:tcMar>
          </w:tcPr>
          <w:p>
            <w:r/>
            <w:r>
              <w:rPr>
                <w:rFonts w:ascii="Aptos" w:hAnsi="Aptos"/>
                <w:b w:val="0"/>
                <w:color w:val="1B2A41"/>
                <w:sz w:val="16"/>
              </w:rPr>
              <w:t>Review lot size / MOQ with procurement and production.</w:t>
            </w:r>
          </w:p>
        </w:tc>
        <w:tc>
          <w:tcPr>
            <w:tcW w:type="dxa" w:w="5040"/>
            <w:vAlign w:val="center"/>
            <w:tcMar>
              <w:top w:w="70" w:type="dxa"/>
              <w:start w:w="80" w:type="dxa"/>
              <w:bottom w:w="70" w:type="dxa"/>
              <w:end w:w="80" w:type="dxa"/>
            </w:tcMar>
          </w:tcPr>
          <w:p>
            <w:r/>
            <w:r>
              <w:rPr>
                <w:rFonts w:ascii="Aptos" w:hAnsi="Aptos"/>
                <w:b w:val="0"/>
                <w:color w:val="1B2A41"/>
                <w:sz w:val="16"/>
              </w:rPr>
              <w:t>Reduces future cycle-stock peaks.</w:t>
            </w:r>
          </w:p>
        </w:tc>
      </w:tr>
      <w:tr>
        <w:tc>
          <w:tcPr>
            <w:tcW w:type="dxa" w:w="5040"/>
            <w:vAlign w:val="center"/>
            <w:tcMar>
              <w:top w:w="70" w:type="dxa"/>
              <w:start w:w="80" w:type="dxa"/>
              <w:bottom w:w="70" w:type="dxa"/>
              <w:end w:w="80" w:type="dxa"/>
            </w:tcMar>
            <w:shd w:fill="F7F9FB"/>
          </w:tcPr>
          <w:p>
            <w:r/>
            <w:r>
              <w:rPr>
                <w:rFonts w:ascii="Aptos" w:hAnsi="Aptos"/>
                <w:b w:val="0"/>
                <w:color w:val="1B2A41"/>
                <w:sz w:val="16"/>
              </w:rPr>
              <w:t>Recalculate safety days based on current demand variability.</w:t>
            </w:r>
          </w:p>
        </w:tc>
        <w:tc>
          <w:tcPr>
            <w:tcW w:type="dxa" w:w="5040"/>
            <w:vAlign w:val="center"/>
            <w:tcMar>
              <w:top w:w="70" w:type="dxa"/>
              <w:start w:w="80" w:type="dxa"/>
              <w:bottom w:w="70" w:type="dxa"/>
              <w:end w:w="80" w:type="dxa"/>
            </w:tcMar>
            <w:shd w:fill="F7F9FB"/>
          </w:tcPr>
          <w:p>
            <w:r/>
            <w:r>
              <w:rPr>
                <w:rFonts w:ascii="Aptos" w:hAnsi="Aptos"/>
                <w:b w:val="0"/>
                <w:color w:val="1B2A41"/>
                <w:sz w:val="16"/>
              </w:rPr>
              <w:t>Avoids holding a stale buffer.</w:t>
            </w:r>
          </w:p>
        </w:tc>
      </w:tr>
      <w:tr>
        <w:tc>
          <w:tcPr>
            <w:tcW w:type="dxa" w:w="5040"/>
            <w:vAlign w:val="center"/>
            <w:tcMar>
              <w:top w:w="70" w:type="dxa"/>
              <w:start w:w="80" w:type="dxa"/>
              <w:bottom w:w="70" w:type="dxa"/>
              <w:end w:w="80" w:type="dxa"/>
            </w:tcMar>
          </w:tcPr>
          <w:p>
            <w:r/>
            <w:r>
              <w:rPr>
                <w:rFonts w:ascii="Aptos" w:hAnsi="Aptos"/>
                <w:b w:val="0"/>
                <w:color w:val="1B2A41"/>
                <w:sz w:val="16"/>
              </w:rPr>
              <w:t>Add excess-coverage alert (for example &gt; target + tolerance).</w:t>
            </w:r>
          </w:p>
        </w:tc>
        <w:tc>
          <w:tcPr>
            <w:tcW w:type="dxa" w:w="5040"/>
            <w:vAlign w:val="center"/>
            <w:tcMar>
              <w:top w:w="70" w:type="dxa"/>
              <w:start w:w="80" w:type="dxa"/>
              <w:bottom w:w="70" w:type="dxa"/>
              <w:end w:w="80" w:type="dxa"/>
            </w:tcMar>
          </w:tcPr>
          <w:p>
            <w:r/>
            <w:r>
              <w:rPr>
                <w:rFonts w:ascii="Aptos" w:hAnsi="Aptos"/>
                <w:b w:val="0"/>
                <w:color w:val="1B2A41"/>
                <w:sz w:val="16"/>
              </w:rPr>
              <w:t>Creates earlier planner visibility.</w:t>
            </w:r>
          </w:p>
        </w:tc>
      </w:tr>
      <w:tr>
        <w:tc>
          <w:tcPr>
            <w:tcW w:type="dxa" w:w="5040"/>
            <w:vAlign w:val="center"/>
            <w:tcMar>
              <w:top w:w="70" w:type="dxa"/>
              <w:start w:w="80" w:type="dxa"/>
              <w:bottom w:w="70" w:type="dxa"/>
              <w:end w:w="80" w:type="dxa"/>
            </w:tcMar>
            <w:shd w:fill="F7F9FB"/>
          </w:tcPr>
          <w:p>
            <w:r/>
            <w:r>
              <w:rPr>
                <w:rFonts w:ascii="Aptos" w:hAnsi="Aptos"/>
                <w:b w:val="0"/>
                <w:color w:val="1B2A41"/>
                <w:sz w:val="16"/>
              </w:rPr>
              <w:t>Monitor aging / shelf-life risk separately from quantity coverage.</w:t>
            </w:r>
          </w:p>
        </w:tc>
        <w:tc>
          <w:tcPr>
            <w:tcW w:type="dxa" w:w="5040"/>
            <w:vAlign w:val="center"/>
            <w:tcMar>
              <w:top w:w="70" w:type="dxa"/>
              <w:start w:w="80" w:type="dxa"/>
              <w:bottom w:w="70" w:type="dxa"/>
              <w:end w:w="80" w:type="dxa"/>
            </w:tcMar>
            <w:shd w:fill="F7F9FB"/>
          </w:tcPr>
          <w:p>
            <w:r/>
            <w:r>
              <w:rPr>
                <w:rFonts w:ascii="Aptos" w:hAnsi="Aptos"/>
                <w:b w:val="0"/>
                <w:color w:val="1B2A41"/>
                <w:sz w:val="16"/>
              </w:rPr>
              <w:t>Protects against write-off and waste.</w:t>
            </w:r>
          </w:p>
        </w:tc>
      </w:tr>
    </w:tbl>
    <w:tbl>
      <w:tblPr>
        <w:tblW w:type="auto" w:w="0"/>
        <w:jc w:val="center"/>
        <w:tblLayout w:type="autofit"/>
        <w:tblLook w:firstColumn="1" w:firstRow="1" w:lastColumn="0" w:lastRow="0" w:noHBand="0" w:noVBand="1" w:val="04A0"/>
      </w:tblPr>
      <w:tblGrid>
        <w:gridCol w:w="10368"/>
      </w:tblGrid>
      <w:tr>
        <w:tc>
          <w:tcPr>
            <w:tcW w:type="dxa" w:w="10368"/>
            <w:shd w:fill="EEF3F8"/>
            <w:tcMar>
              <w:top w:w="110" w:type="dxa"/>
              <w:start w:w="140" w:type="dxa"/>
              <w:bottom w:w="110" w:type="dxa"/>
              <w:end w:w="140" w:type="dxa"/>
            </w:tcMar>
          </w:tcPr>
          <w:p>
            <w:r>
              <w:rPr>
                <w:b/>
                <w:color w:val="23395B"/>
                <w:sz w:val="19"/>
              </w:rPr>
              <w:t xml:space="preserve">Illustrative outcome:  </w:t>
            </w:r>
            <w:r>
              <w:rPr>
                <w:color w:val="1B2A41"/>
                <w:sz w:val="18"/>
              </w:rPr>
              <w:t>Redeploying 9 tonnes reduces Vijayawada stock from 32 to 23 tonnes, lowering coverage from about 4.6 to 3.3 weeks before the next planning cycle. Further reduction should come from cancelling or resizing future receipts, not from forcing an immediate transfer that creates unnecessary transport cost.</w:t>
            </w:r>
          </w:p>
        </w:tc>
      </w:tr>
    </w:tbl>
    <w:p>
      <w:r>
        <w:br w:type="page"/>
      </w:r>
    </w:p>
    <w:p>
      <w:pPr>
        <w:pStyle w:val="Heading1"/>
        <w:spacing w:before="60" w:after="100"/>
      </w:pPr>
      <w:r>
        <w:t>12. Monitoring and Post-Implementation Evaluation</w:t>
      </w:r>
    </w:p>
    <w:p>
      <w:pPr>
        <w:spacing w:after="100" w:line="259" w:lineRule="auto"/>
      </w:pPr>
      <w:r>
        <w:rPr>
          <w:color w:val="1B2A41"/>
          <w:sz w:val="20"/>
        </w:rPr>
        <w:t>Post-implementation monitoring checks whether better master data actually improves business outcomes. I would monitor both inventory KPIs and data-quality KPIs because a good service result can temporarily hide poor data, and clean data can still be paired with a poor inventory policy.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88"/>
            <w:vAlign w:val="center"/>
            <w:shd w:fill="23395B"/>
            <w:tcMar>
              <w:top w:w="70" w:type="dxa"/>
              <w:start w:w="80" w:type="dxa"/>
              <w:bottom w:w="70" w:type="dxa"/>
              <w:end w:w="80" w:type="dxa"/>
            </w:tcMar>
          </w:tcPr>
          <w:p>
            <w:pPr>
              <w:jc w:val="center"/>
            </w:pPr>
            <w:r/>
            <w:r>
              <w:rPr>
                <w:rFonts w:ascii="Aptos" w:hAnsi="Aptos"/>
                <w:b/>
                <w:color w:val="FFFFFF"/>
                <w:sz w:val="17"/>
              </w:rPr>
              <w:t>KPI</w:t>
            </w:r>
          </w:p>
        </w:tc>
        <w:tc>
          <w:tcPr>
            <w:tcW w:type="dxa" w:w="3528"/>
            <w:vAlign w:val="center"/>
            <w:shd w:fill="23395B"/>
            <w:tcMar>
              <w:top w:w="70" w:type="dxa"/>
              <w:start w:w="80" w:type="dxa"/>
              <w:bottom w:w="70" w:type="dxa"/>
              <w:end w:w="80" w:type="dxa"/>
            </w:tcMar>
          </w:tcPr>
          <w:p>
            <w:pPr>
              <w:jc w:val="center"/>
            </w:pPr>
            <w:r/>
            <w:r>
              <w:rPr>
                <w:rFonts w:ascii="Aptos" w:hAnsi="Aptos"/>
                <w:b/>
                <w:color w:val="FFFFFF"/>
                <w:sz w:val="17"/>
              </w:rPr>
              <w:t>Purpose</w:t>
            </w:r>
          </w:p>
        </w:tc>
        <w:tc>
          <w:tcPr>
            <w:tcW w:type="dxa" w:w="2664"/>
            <w:vAlign w:val="center"/>
            <w:shd w:fill="23395B"/>
            <w:tcMar>
              <w:top w:w="70" w:type="dxa"/>
              <w:start w:w="80" w:type="dxa"/>
              <w:bottom w:w="70" w:type="dxa"/>
              <w:end w:w="80" w:type="dxa"/>
            </w:tcMar>
          </w:tcPr>
          <w:p>
            <w:pPr>
              <w:jc w:val="center"/>
            </w:pPr>
            <w:r/>
            <w:r>
              <w:rPr>
                <w:rFonts w:ascii="Aptos" w:hAnsi="Aptos"/>
                <w:b/>
                <w:color w:val="FFFFFF"/>
                <w:sz w:val="17"/>
              </w:rPr>
              <w:t>Illustrative target / trigger</w:t>
            </w:r>
          </w:p>
        </w:tc>
        <w:tc>
          <w:tcPr>
            <w:tcW w:type="dxa" w:w="1584"/>
            <w:vAlign w:val="center"/>
            <w:shd w:fill="23395B"/>
            <w:tcMar>
              <w:top w:w="70" w:type="dxa"/>
              <w:start w:w="80" w:type="dxa"/>
              <w:bottom w:w="70" w:type="dxa"/>
              <w:end w:w="80" w:type="dxa"/>
            </w:tcMar>
          </w:tcPr>
          <w:p>
            <w:pPr>
              <w:jc w:val="center"/>
            </w:pPr>
            <w:r/>
            <w:r>
              <w:rPr>
                <w:rFonts w:ascii="Aptos" w:hAnsi="Aptos"/>
                <w:b/>
                <w:color w:val="FFFFFF"/>
                <w:sz w:val="17"/>
              </w:rPr>
              <w:t>Review cadence</w:t>
            </w:r>
          </w:p>
        </w:tc>
      </w:tr>
      <w:tr>
        <w:tc>
          <w:tcPr>
            <w:tcW w:type="dxa" w:w="2088"/>
            <w:vAlign w:val="center"/>
            <w:tcMar>
              <w:top w:w="70" w:type="dxa"/>
              <w:start w:w="80" w:type="dxa"/>
              <w:bottom w:w="70" w:type="dxa"/>
              <w:end w:w="80" w:type="dxa"/>
            </w:tcMar>
          </w:tcPr>
          <w:p>
            <w:r/>
            <w:r>
              <w:rPr>
                <w:rFonts w:ascii="Aptos" w:hAnsi="Aptos"/>
                <w:b w:val="0"/>
                <w:color w:val="1B2A41"/>
                <w:sz w:val="15"/>
              </w:rPr>
              <w:t>Fill rate / service level</w:t>
            </w:r>
          </w:p>
        </w:tc>
        <w:tc>
          <w:tcPr>
            <w:tcW w:type="dxa" w:w="3528"/>
            <w:vAlign w:val="center"/>
            <w:tcMar>
              <w:top w:w="70" w:type="dxa"/>
              <w:start w:w="80" w:type="dxa"/>
              <w:bottom w:w="70" w:type="dxa"/>
              <w:end w:w="80" w:type="dxa"/>
            </w:tcMar>
          </w:tcPr>
          <w:p>
            <w:r/>
            <w:r>
              <w:rPr>
                <w:rFonts w:ascii="Aptos" w:hAnsi="Aptos"/>
                <w:b w:val="0"/>
                <w:color w:val="1B2A41"/>
                <w:sz w:val="15"/>
              </w:rPr>
              <w:t>Measures ability to satisfy demand.</w:t>
            </w:r>
          </w:p>
        </w:tc>
        <w:tc>
          <w:tcPr>
            <w:tcW w:type="dxa" w:w="2664"/>
            <w:vAlign w:val="center"/>
            <w:tcMar>
              <w:top w:w="70" w:type="dxa"/>
              <w:start w:w="80" w:type="dxa"/>
              <w:bottom w:w="70" w:type="dxa"/>
              <w:end w:w="80" w:type="dxa"/>
            </w:tcMar>
          </w:tcPr>
          <w:p>
            <w:r/>
            <w:r>
              <w:rPr>
                <w:rFonts w:ascii="Aptos" w:hAnsi="Aptos"/>
                <w:b w:val="0"/>
                <w:color w:val="1B2A41"/>
                <w:sz w:val="15"/>
              </w:rPr>
              <w:t>≥ 96% for A-items; segment-specific target</w:t>
            </w:r>
          </w:p>
        </w:tc>
        <w:tc>
          <w:tcPr>
            <w:tcW w:type="dxa" w:w="1584"/>
            <w:vAlign w:val="center"/>
            <w:tcMar>
              <w:top w:w="70" w:type="dxa"/>
              <w:start w:w="80" w:type="dxa"/>
              <w:bottom w:w="70" w:type="dxa"/>
              <w:end w:w="80" w:type="dxa"/>
            </w:tcMar>
          </w:tcPr>
          <w:p>
            <w:r/>
            <w:r>
              <w:rPr>
                <w:rFonts w:ascii="Aptos" w:hAnsi="Aptos"/>
                <w:b w:val="0"/>
                <w:color w:val="1B2A41"/>
                <w:sz w:val="15"/>
              </w:rPr>
              <w:t>Weekly</w:t>
            </w:r>
          </w:p>
        </w:tc>
      </w:tr>
      <w:tr>
        <w:tc>
          <w:tcPr>
            <w:tcW w:type="dxa" w:w="2088"/>
            <w:vAlign w:val="center"/>
            <w:tcMar>
              <w:top w:w="70" w:type="dxa"/>
              <w:start w:w="80" w:type="dxa"/>
              <w:bottom w:w="70" w:type="dxa"/>
              <w:end w:w="80" w:type="dxa"/>
            </w:tcMar>
            <w:shd w:fill="F7F9FB"/>
          </w:tcPr>
          <w:p>
            <w:r/>
            <w:r>
              <w:rPr>
                <w:rFonts w:ascii="Aptos" w:hAnsi="Aptos"/>
                <w:b w:val="0"/>
                <w:color w:val="1B2A41"/>
                <w:sz w:val="15"/>
              </w:rPr>
              <w:t>Stock-out frequency</w:t>
            </w:r>
          </w:p>
        </w:tc>
        <w:tc>
          <w:tcPr>
            <w:tcW w:type="dxa" w:w="3528"/>
            <w:vAlign w:val="center"/>
            <w:tcMar>
              <w:top w:w="70" w:type="dxa"/>
              <w:start w:w="80" w:type="dxa"/>
              <w:bottom w:w="70" w:type="dxa"/>
              <w:end w:w="80" w:type="dxa"/>
            </w:tcMar>
            <w:shd w:fill="F7F9FB"/>
          </w:tcPr>
          <w:p>
            <w:r/>
            <w:r>
              <w:rPr>
                <w:rFonts w:ascii="Aptos" w:hAnsi="Aptos"/>
                <w:b w:val="0"/>
                <w:color w:val="1B2A41"/>
                <w:sz w:val="15"/>
              </w:rPr>
              <w:t>Counts shortage events.</w:t>
            </w:r>
          </w:p>
        </w:tc>
        <w:tc>
          <w:tcPr>
            <w:tcW w:type="dxa" w:w="2664"/>
            <w:vAlign w:val="center"/>
            <w:tcMar>
              <w:top w:w="70" w:type="dxa"/>
              <w:start w:w="80" w:type="dxa"/>
              <w:bottom w:w="70" w:type="dxa"/>
              <w:end w:w="80" w:type="dxa"/>
            </w:tcMar>
            <w:shd w:fill="F7F9FB"/>
          </w:tcPr>
          <w:p>
            <w:r/>
            <w:r>
              <w:rPr>
                <w:rFonts w:ascii="Aptos" w:hAnsi="Aptos"/>
                <w:b w:val="0"/>
                <w:color w:val="1B2A41"/>
                <w:sz w:val="15"/>
              </w:rPr>
              <w:t>Downward trend; investigate every A-item event</w:t>
            </w:r>
          </w:p>
        </w:tc>
        <w:tc>
          <w:tcPr>
            <w:tcW w:type="dxa" w:w="1584"/>
            <w:vAlign w:val="center"/>
            <w:tcMar>
              <w:top w:w="70" w:type="dxa"/>
              <w:start w:w="80" w:type="dxa"/>
              <w:bottom w:w="70" w:type="dxa"/>
              <w:end w:w="80" w:type="dxa"/>
            </w:tcMar>
            <w:shd w:fill="F7F9FB"/>
          </w:tcPr>
          <w:p>
            <w:r/>
            <w:r>
              <w:rPr>
                <w:rFonts w:ascii="Aptos" w:hAnsi="Aptos"/>
                <w:b w:val="0"/>
                <w:color w:val="1B2A41"/>
                <w:sz w:val="15"/>
              </w:rPr>
              <w:t>Weekly</w:t>
            </w:r>
          </w:p>
        </w:tc>
      </w:tr>
      <w:tr>
        <w:tc>
          <w:tcPr>
            <w:tcW w:type="dxa" w:w="2088"/>
            <w:vAlign w:val="center"/>
            <w:tcMar>
              <w:top w:w="70" w:type="dxa"/>
              <w:start w:w="80" w:type="dxa"/>
              <w:bottom w:w="70" w:type="dxa"/>
              <w:end w:w="80" w:type="dxa"/>
            </w:tcMar>
          </w:tcPr>
          <w:p>
            <w:r/>
            <w:r>
              <w:rPr>
                <w:rFonts w:ascii="Aptos" w:hAnsi="Aptos"/>
                <w:b w:val="0"/>
                <w:color w:val="1B2A41"/>
                <w:sz w:val="15"/>
              </w:rPr>
              <w:t>Inventory coverage</w:t>
            </w:r>
          </w:p>
        </w:tc>
        <w:tc>
          <w:tcPr>
            <w:tcW w:type="dxa" w:w="3528"/>
            <w:vAlign w:val="center"/>
            <w:tcMar>
              <w:top w:w="70" w:type="dxa"/>
              <w:start w:w="80" w:type="dxa"/>
              <w:bottom w:w="70" w:type="dxa"/>
              <w:end w:w="80" w:type="dxa"/>
            </w:tcMar>
          </w:tcPr>
          <w:p>
            <w:r/>
            <w:r>
              <w:rPr>
                <w:rFonts w:ascii="Aptos" w:hAnsi="Aptos"/>
                <w:b w:val="0"/>
                <w:color w:val="1B2A41"/>
                <w:sz w:val="15"/>
              </w:rPr>
              <w:t>Shows weeks/days of stock.</w:t>
            </w:r>
          </w:p>
        </w:tc>
        <w:tc>
          <w:tcPr>
            <w:tcW w:type="dxa" w:w="2664"/>
            <w:vAlign w:val="center"/>
            <w:tcMar>
              <w:top w:w="70" w:type="dxa"/>
              <w:start w:w="80" w:type="dxa"/>
              <w:bottom w:w="70" w:type="dxa"/>
              <w:end w:w="80" w:type="dxa"/>
            </w:tcMar>
          </w:tcPr>
          <w:p>
            <w:r/>
            <w:r>
              <w:rPr>
                <w:rFonts w:ascii="Aptos" w:hAnsi="Aptos"/>
                <w:b w:val="0"/>
                <w:color w:val="1B2A41"/>
                <w:sz w:val="15"/>
              </w:rPr>
              <w:t>Within target band by segment</w:t>
            </w:r>
          </w:p>
        </w:tc>
        <w:tc>
          <w:tcPr>
            <w:tcW w:type="dxa" w:w="1584"/>
            <w:vAlign w:val="center"/>
            <w:tcMar>
              <w:top w:w="70" w:type="dxa"/>
              <w:start w:w="80" w:type="dxa"/>
              <w:bottom w:w="70" w:type="dxa"/>
              <w:end w:w="80" w:type="dxa"/>
            </w:tcMar>
          </w:tcPr>
          <w:p>
            <w:r/>
            <w:r>
              <w:rPr>
                <w:rFonts w:ascii="Aptos" w:hAnsi="Aptos"/>
                <w:b w:val="0"/>
                <w:color w:val="1B2A41"/>
                <w:sz w:val="15"/>
              </w:rPr>
              <w:t>Weekly</w:t>
            </w:r>
          </w:p>
        </w:tc>
      </w:tr>
      <w:tr>
        <w:tc>
          <w:tcPr>
            <w:tcW w:type="dxa" w:w="2088"/>
            <w:vAlign w:val="center"/>
            <w:tcMar>
              <w:top w:w="70" w:type="dxa"/>
              <w:start w:w="80" w:type="dxa"/>
              <w:bottom w:w="70" w:type="dxa"/>
              <w:end w:w="80" w:type="dxa"/>
            </w:tcMar>
            <w:shd w:fill="F7F9FB"/>
          </w:tcPr>
          <w:p>
            <w:r/>
            <w:r>
              <w:rPr>
                <w:rFonts w:ascii="Aptos" w:hAnsi="Aptos"/>
                <w:b w:val="0"/>
                <w:color w:val="1B2A41"/>
                <w:sz w:val="15"/>
              </w:rPr>
              <w:t>Excess inventory value</w:t>
            </w:r>
          </w:p>
        </w:tc>
        <w:tc>
          <w:tcPr>
            <w:tcW w:type="dxa" w:w="3528"/>
            <w:vAlign w:val="center"/>
            <w:tcMar>
              <w:top w:w="70" w:type="dxa"/>
              <w:start w:w="80" w:type="dxa"/>
              <w:bottom w:w="70" w:type="dxa"/>
              <w:end w:w="80" w:type="dxa"/>
            </w:tcMar>
            <w:shd w:fill="F7F9FB"/>
          </w:tcPr>
          <w:p>
            <w:r/>
            <w:r>
              <w:rPr>
                <w:rFonts w:ascii="Aptos" w:hAnsi="Aptos"/>
                <w:b w:val="0"/>
                <w:color w:val="1B2A41"/>
                <w:sz w:val="15"/>
              </w:rPr>
              <w:t>Identifies working capital tied up above policy.</w:t>
            </w:r>
          </w:p>
        </w:tc>
        <w:tc>
          <w:tcPr>
            <w:tcW w:type="dxa" w:w="2664"/>
            <w:vAlign w:val="center"/>
            <w:tcMar>
              <w:top w:w="70" w:type="dxa"/>
              <w:start w:w="80" w:type="dxa"/>
              <w:bottom w:w="70" w:type="dxa"/>
              <w:end w:w="80" w:type="dxa"/>
            </w:tcMar>
            <w:shd w:fill="F7F9FB"/>
          </w:tcPr>
          <w:p>
            <w:r/>
            <w:r>
              <w:rPr>
                <w:rFonts w:ascii="Aptos" w:hAnsi="Aptos"/>
                <w:b w:val="0"/>
                <w:color w:val="1B2A41"/>
                <w:sz w:val="15"/>
              </w:rPr>
              <w:t>Reduce month-on-month</w:t>
            </w:r>
          </w:p>
        </w:tc>
        <w:tc>
          <w:tcPr>
            <w:tcW w:type="dxa" w:w="1584"/>
            <w:vAlign w:val="center"/>
            <w:tcMar>
              <w:top w:w="70" w:type="dxa"/>
              <w:start w:w="80" w:type="dxa"/>
              <w:bottom w:w="70" w:type="dxa"/>
              <w:end w:w="80" w:type="dxa"/>
            </w:tcMar>
            <w:shd w:fill="F7F9FB"/>
          </w:tcPr>
          <w:p>
            <w:r/>
            <w:r>
              <w:rPr>
                <w:rFonts w:ascii="Aptos" w:hAnsi="Aptos"/>
                <w:b w:val="0"/>
                <w:color w:val="1B2A41"/>
                <w:sz w:val="15"/>
              </w:rPr>
              <w:t>Monthly</w:t>
            </w:r>
          </w:p>
        </w:tc>
      </w:tr>
      <w:tr>
        <w:tc>
          <w:tcPr>
            <w:tcW w:type="dxa" w:w="2088"/>
            <w:vAlign w:val="center"/>
            <w:tcMar>
              <w:top w:w="70" w:type="dxa"/>
              <w:start w:w="80" w:type="dxa"/>
              <w:bottom w:w="70" w:type="dxa"/>
              <w:end w:w="80" w:type="dxa"/>
            </w:tcMar>
          </w:tcPr>
          <w:p>
            <w:r/>
            <w:r>
              <w:rPr>
                <w:rFonts w:ascii="Aptos" w:hAnsi="Aptos"/>
                <w:b w:val="0"/>
                <w:color w:val="1B2A41"/>
                <w:sz w:val="15"/>
              </w:rPr>
              <w:t>Forecast error</w:t>
            </w:r>
          </w:p>
        </w:tc>
        <w:tc>
          <w:tcPr>
            <w:tcW w:type="dxa" w:w="3528"/>
            <w:vAlign w:val="center"/>
            <w:tcMar>
              <w:top w:w="70" w:type="dxa"/>
              <w:start w:w="80" w:type="dxa"/>
              <w:bottom w:w="70" w:type="dxa"/>
              <w:end w:w="80" w:type="dxa"/>
            </w:tcMar>
          </w:tcPr>
          <w:p>
            <w:r/>
            <w:r>
              <w:rPr>
                <w:rFonts w:ascii="Aptos" w:hAnsi="Aptos"/>
                <w:b w:val="0"/>
                <w:color w:val="1B2A41"/>
                <w:sz w:val="15"/>
              </w:rPr>
              <w:t>Explains demand-driven buffer needs.</w:t>
            </w:r>
          </w:p>
        </w:tc>
        <w:tc>
          <w:tcPr>
            <w:tcW w:type="dxa" w:w="2664"/>
            <w:vAlign w:val="center"/>
            <w:tcMar>
              <w:top w:w="70" w:type="dxa"/>
              <w:start w:w="80" w:type="dxa"/>
              <w:bottom w:w="70" w:type="dxa"/>
              <w:end w:w="80" w:type="dxa"/>
            </w:tcMar>
          </w:tcPr>
          <w:p>
            <w:r/>
            <w:r>
              <w:rPr>
                <w:rFonts w:ascii="Aptos" w:hAnsi="Aptos"/>
                <w:b w:val="0"/>
                <w:color w:val="1B2A41"/>
                <w:sz w:val="15"/>
              </w:rPr>
              <w:t>Track by ABC-XYZ class</w:t>
            </w:r>
          </w:p>
        </w:tc>
        <w:tc>
          <w:tcPr>
            <w:tcW w:type="dxa" w:w="1584"/>
            <w:vAlign w:val="center"/>
            <w:tcMar>
              <w:top w:w="70" w:type="dxa"/>
              <w:start w:w="80" w:type="dxa"/>
              <w:bottom w:w="70" w:type="dxa"/>
              <w:end w:w="80" w:type="dxa"/>
            </w:tcMar>
          </w:tcPr>
          <w:p>
            <w:r/>
            <w:r>
              <w:rPr>
                <w:rFonts w:ascii="Aptos" w:hAnsi="Aptos"/>
                <w:b w:val="0"/>
                <w:color w:val="1B2A41"/>
                <w:sz w:val="15"/>
              </w:rPr>
              <w:t>Monthly</w:t>
            </w:r>
          </w:p>
        </w:tc>
      </w:tr>
      <w:tr>
        <w:tc>
          <w:tcPr>
            <w:tcW w:type="dxa" w:w="2088"/>
            <w:vAlign w:val="center"/>
            <w:tcMar>
              <w:top w:w="70" w:type="dxa"/>
              <w:start w:w="80" w:type="dxa"/>
              <w:bottom w:w="70" w:type="dxa"/>
              <w:end w:w="80" w:type="dxa"/>
            </w:tcMar>
            <w:shd w:fill="F7F9FB"/>
          </w:tcPr>
          <w:p>
            <w:r/>
            <w:r>
              <w:rPr>
                <w:rFonts w:ascii="Aptos" w:hAnsi="Aptos"/>
                <w:b w:val="0"/>
                <w:color w:val="1B2A41"/>
                <w:sz w:val="15"/>
              </w:rPr>
              <w:t>Supplier/transport lead-time variance</w:t>
            </w:r>
          </w:p>
        </w:tc>
        <w:tc>
          <w:tcPr>
            <w:tcW w:type="dxa" w:w="3528"/>
            <w:vAlign w:val="center"/>
            <w:tcMar>
              <w:top w:w="70" w:type="dxa"/>
              <w:start w:w="80" w:type="dxa"/>
              <w:bottom w:w="70" w:type="dxa"/>
              <w:end w:w="80" w:type="dxa"/>
            </w:tcMar>
            <w:shd w:fill="F7F9FB"/>
          </w:tcPr>
          <w:p>
            <w:r/>
            <w:r>
              <w:rPr>
                <w:rFonts w:ascii="Aptos" w:hAnsi="Aptos"/>
                <w:b w:val="0"/>
                <w:color w:val="1B2A41"/>
                <w:sz w:val="15"/>
              </w:rPr>
              <w:t>Tests master-data accuracy.</w:t>
            </w:r>
          </w:p>
        </w:tc>
        <w:tc>
          <w:tcPr>
            <w:tcW w:type="dxa" w:w="2664"/>
            <w:vAlign w:val="center"/>
            <w:tcMar>
              <w:top w:w="70" w:type="dxa"/>
              <w:start w:w="80" w:type="dxa"/>
              <w:bottom w:w="70" w:type="dxa"/>
              <w:end w:w="80" w:type="dxa"/>
            </w:tcMar>
            <w:shd w:fill="F7F9FB"/>
          </w:tcPr>
          <w:p>
            <w:r/>
            <w:r>
              <w:rPr>
                <w:rFonts w:ascii="Aptos" w:hAnsi="Aptos"/>
                <w:b w:val="0"/>
                <w:color w:val="1B2A41"/>
                <w:sz w:val="15"/>
              </w:rPr>
              <w:t>Actual vs planned within tolerance</w:t>
            </w:r>
          </w:p>
        </w:tc>
        <w:tc>
          <w:tcPr>
            <w:tcW w:type="dxa" w:w="1584"/>
            <w:vAlign w:val="center"/>
            <w:tcMar>
              <w:top w:w="70" w:type="dxa"/>
              <w:start w:w="80" w:type="dxa"/>
              <w:bottom w:w="70" w:type="dxa"/>
              <w:end w:w="80" w:type="dxa"/>
            </w:tcMar>
            <w:shd w:fill="F7F9FB"/>
          </w:tcPr>
          <w:p>
            <w:r/>
            <w:r>
              <w:rPr>
                <w:rFonts w:ascii="Aptos" w:hAnsi="Aptos"/>
                <w:b w:val="0"/>
                <w:color w:val="1B2A41"/>
                <w:sz w:val="15"/>
              </w:rPr>
              <w:t>Monthly</w:t>
            </w:r>
          </w:p>
        </w:tc>
      </w:tr>
      <w:tr>
        <w:tc>
          <w:tcPr>
            <w:tcW w:type="dxa" w:w="2088"/>
            <w:vAlign w:val="center"/>
            <w:tcMar>
              <w:top w:w="70" w:type="dxa"/>
              <w:start w:w="80" w:type="dxa"/>
              <w:bottom w:w="70" w:type="dxa"/>
              <w:end w:w="80" w:type="dxa"/>
            </w:tcMar>
          </w:tcPr>
          <w:p>
            <w:r/>
            <w:r>
              <w:rPr>
                <w:rFonts w:ascii="Aptos" w:hAnsi="Aptos"/>
                <w:b w:val="0"/>
                <w:color w:val="1B2A41"/>
                <w:sz w:val="15"/>
              </w:rPr>
              <w:t>Master-data completeness</w:t>
            </w:r>
          </w:p>
        </w:tc>
        <w:tc>
          <w:tcPr>
            <w:tcW w:type="dxa" w:w="3528"/>
            <w:vAlign w:val="center"/>
            <w:tcMar>
              <w:top w:w="70" w:type="dxa"/>
              <w:start w:w="80" w:type="dxa"/>
              <w:bottom w:w="70" w:type="dxa"/>
              <w:end w:w="80" w:type="dxa"/>
            </w:tcMar>
          </w:tcPr>
          <w:p>
            <w:r/>
            <w:r>
              <w:rPr>
                <w:rFonts w:ascii="Aptos" w:hAnsi="Aptos"/>
                <w:b w:val="0"/>
                <w:color w:val="1B2A41"/>
                <w:sz w:val="15"/>
              </w:rPr>
              <w:t>Checks mandatory fields.</w:t>
            </w:r>
          </w:p>
        </w:tc>
        <w:tc>
          <w:tcPr>
            <w:tcW w:type="dxa" w:w="2664"/>
            <w:vAlign w:val="center"/>
            <w:tcMar>
              <w:top w:w="70" w:type="dxa"/>
              <w:start w:w="80" w:type="dxa"/>
              <w:bottom w:w="70" w:type="dxa"/>
              <w:end w:w="80" w:type="dxa"/>
            </w:tcMar>
          </w:tcPr>
          <w:p>
            <w:r/>
            <w:r>
              <w:rPr>
                <w:rFonts w:ascii="Aptos" w:hAnsi="Aptos"/>
                <w:b w:val="0"/>
                <w:color w:val="1B2A41"/>
                <w:sz w:val="15"/>
              </w:rPr>
              <w:t>≥ 98% overall; 100% critical fields</w:t>
            </w:r>
          </w:p>
        </w:tc>
        <w:tc>
          <w:tcPr>
            <w:tcW w:type="dxa" w:w="1584"/>
            <w:vAlign w:val="center"/>
            <w:tcMar>
              <w:top w:w="70" w:type="dxa"/>
              <w:start w:w="80" w:type="dxa"/>
              <w:bottom w:w="70" w:type="dxa"/>
              <w:end w:w="80" w:type="dxa"/>
            </w:tcMar>
          </w:tcPr>
          <w:p>
            <w:r/>
            <w:r>
              <w:rPr>
                <w:rFonts w:ascii="Aptos" w:hAnsi="Aptos"/>
                <w:b w:val="0"/>
                <w:color w:val="1B2A41"/>
                <w:sz w:val="15"/>
              </w:rPr>
              <w:t>Weekly during rollout</w:t>
            </w:r>
          </w:p>
        </w:tc>
      </w:tr>
      <w:tr>
        <w:tc>
          <w:tcPr>
            <w:tcW w:type="dxa" w:w="2088"/>
            <w:vAlign w:val="center"/>
            <w:tcMar>
              <w:top w:w="70" w:type="dxa"/>
              <w:start w:w="80" w:type="dxa"/>
              <w:bottom w:w="70" w:type="dxa"/>
              <w:end w:w="80" w:type="dxa"/>
            </w:tcMar>
            <w:shd w:fill="F7F9FB"/>
          </w:tcPr>
          <w:p>
            <w:r/>
            <w:r>
              <w:rPr>
                <w:rFonts w:ascii="Aptos" w:hAnsi="Aptos"/>
                <w:b w:val="0"/>
                <w:color w:val="1B2A41"/>
                <w:sz w:val="15"/>
              </w:rPr>
              <w:t>Duplicate rate</w:t>
            </w:r>
          </w:p>
        </w:tc>
        <w:tc>
          <w:tcPr>
            <w:tcW w:type="dxa" w:w="3528"/>
            <w:vAlign w:val="center"/>
            <w:tcMar>
              <w:top w:w="70" w:type="dxa"/>
              <w:start w:w="80" w:type="dxa"/>
              <w:bottom w:w="70" w:type="dxa"/>
              <w:end w:w="80" w:type="dxa"/>
            </w:tcMar>
            <w:shd w:fill="F7F9FB"/>
          </w:tcPr>
          <w:p>
            <w:r/>
            <w:r>
              <w:rPr>
                <w:rFonts w:ascii="Aptos" w:hAnsi="Aptos"/>
                <w:b w:val="0"/>
                <w:color w:val="1B2A41"/>
                <w:sz w:val="15"/>
              </w:rPr>
              <w:t>Detects repeated planning objects.</w:t>
            </w:r>
          </w:p>
        </w:tc>
        <w:tc>
          <w:tcPr>
            <w:tcW w:type="dxa" w:w="2664"/>
            <w:vAlign w:val="center"/>
            <w:tcMar>
              <w:top w:w="70" w:type="dxa"/>
              <w:start w:w="80" w:type="dxa"/>
              <w:bottom w:w="70" w:type="dxa"/>
              <w:end w:w="80" w:type="dxa"/>
            </w:tcMar>
            <w:shd w:fill="F7F9FB"/>
          </w:tcPr>
          <w:p>
            <w:r/>
            <w:r>
              <w:rPr>
                <w:rFonts w:ascii="Aptos" w:hAnsi="Aptos"/>
                <w:b w:val="0"/>
                <w:color w:val="1B2A41"/>
                <w:sz w:val="15"/>
              </w:rPr>
              <w:t>0 critical duplicates</w:t>
            </w:r>
          </w:p>
        </w:tc>
        <w:tc>
          <w:tcPr>
            <w:tcW w:type="dxa" w:w="1584"/>
            <w:vAlign w:val="center"/>
            <w:tcMar>
              <w:top w:w="70" w:type="dxa"/>
              <w:start w:w="80" w:type="dxa"/>
              <w:bottom w:w="70" w:type="dxa"/>
              <w:end w:w="80" w:type="dxa"/>
            </w:tcMar>
            <w:shd w:fill="F7F9FB"/>
          </w:tcPr>
          <w:p>
            <w:r/>
            <w:r>
              <w:rPr>
                <w:rFonts w:ascii="Aptos" w:hAnsi="Aptos"/>
                <w:b w:val="0"/>
                <w:color w:val="1B2A41"/>
                <w:sz w:val="15"/>
              </w:rPr>
              <w:t>Weekly</w:t>
            </w:r>
          </w:p>
        </w:tc>
      </w:tr>
      <w:tr>
        <w:tc>
          <w:tcPr>
            <w:tcW w:type="dxa" w:w="2088"/>
            <w:vAlign w:val="center"/>
            <w:tcMar>
              <w:top w:w="70" w:type="dxa"/>
              <w:start w:w="80" w:type="dxa"/>
              <w:bottom w:w="70" w:type="dxa"/>
              <w:end w:w="80" w:type="dxa"/>
            </w:tcMar>
          </w:tcPr>
          <w:p>
            <w:r/>
            <w:r>
              <w:rPr>
                <w:rFonts w:ascii="Aptos" w:hAnsi="Aptos"/>
                <w:b w:val="0"/>
                <w:color w:val="1B2A41"/>
                <w:sz w:val="15"/>
              </w:rPr>
              <w:t>CIF/integration exceptions</w:t>
            </w:r>
          </w:p>
        </w:tc>
        <w:tc>
          <w:tcPr>
            <w:tcW w:type="dxa" w:w="3528"/>
            <w:vAlign w:val="center"/>
            <w:tcMar>
              <w:top w:w="70" w:type="dxa"/>
              <w:start w:w="80" w:type="dxa"/>
              <w:bottom w:w="70" w:type="dxa"/>
              <w:end w:w="80" w:type="dxa"/>
            </w:tcMar>
          </w:tcPr>
          <w:p>
            <w:r/>
            <w:r>
              <w:rPr>
                <w:rFonts w:ascii="Aptos" w:hAnsi="Aptos"/>
                <w:b w:val="0"/>
                <w:color w:val="1B2A41"/>
                <w:sz w:val="15"/>
              </w:rPr>
              <w:t>Detects transfer failures.</w:t>
            </w:r>
          </w:p>
        </w:tc>
        <w:tc>
          <w:tcPr>
            <w:tcW w:type="dxa" w:w="2664"/>
            <w:vAlign w:val="center"/>
            <w:tcMar>
              <w:top w:w="70" w:type="dxa"/>
              <w:start w:w="80" w:type="dxa"/>
              <w:bottom w:w="70" w:type="dxa"/>
              <w:end w:w="80" w:type="dxa"/>
            </w:tcMar>
          </w:tcPr>
          <w:p>
            <w:r/>
            <w:r>
              <w:rPr>
                <w:rFonts w:ascii="Aptos" w:hAnsi="Aptos"/>
                <w:b w:val="0"/>
                <w:color w:val="1B2A41"/>
                <w:sz w:val="15"/>
              </w:rPr>
              <w:t>No unresolved critical queue errors</w:t>
            </w:r>
          </w:p>
        </w:tc>
        <w:tc>
          <w:tcPr>
            <w:tcW w:type="dxa" w:w="1584"/>
            <w:vAlign w:val="center"/>
            <w:tcMar>
              <w:top w:w="70" w:type="dxa"/>
              <w:start w:w="80" w:type="dxa"/>
              <w:bottom w:w="70" w:type="dxa"/>
              <w:end w:w="80" w:type="dxa"/>
            </w:tcMar>
          </w:tcPr>
          <w:p>
            <w:r/>
            <w:r>
              <w:rPr>
                <w:rFonts w:ascii="Aptos" w:hAnsi="Aptos"/>
                <w:b w:val="0"/>
                <w:color w:val="1B2A41"/>
                <w:sz w:val="15"/>
              </w:rPr>
              <w:t>Daily during migration</w:t>
            </w:r>
          </w:p>
        </w:tc>
      </w:tr>
    </w:tbl>
    <w:p>
      <w:pPr>
        <w:pStyle w:val="Heading2"/>
        <w:spacing w:before="60" w:after="100"/>
      </w:pPr>
      <w:r>
        <w:t>12.1 Review method</w:t>
      </w:r>
    </w:p>
    <w:p>
      <w:pPr>
        <w:pStyle w:val="ListBullet"/>
        <w:spacing w:after="40"/>
        <w:ind w:left="259"/>
      </w:pPr>
      <w:r>
        <w:rPr>
          <w:color w:val="1B2A41"/>
          <w:sz w:val="19"/>
        </w:rPr>
        <w:t>Compare baseline vs post-change values using the same product/location scope.</w:t>
      </w:r>
    </w:p>
    <w:p>
      <w:pPr>
        <w:pStyle w:val="ListBullet"/>
        <w:spacing w:after="40"/>
        <w:ind w:left="259"/>
      </w:pPr>
      <w:r>
        <w:rPr>
          <w:color w:val="1B2A41"/>
          <w:sz w:val="19"/>
        </w:rPr>
        <w:t>Investigate sudden inventory reduction to ensure service has not been damaged.</w:t>
      </w:r>
    </w:p>
    <w:p>
      <w:pPr>
        <w:pStyle w:val="ListBullet"/>
        <w:spacing w:after="40"/>
        <w:ind w:left="259"/>
      </w:pPr>
      <w:r>
        <w:rPr>
          <w:color w:val="1B2A41"/>
          <w:sz w:val="19"/>
        </w:rPr>
        <w:t>Require documented reason and approver for major lead-time, service-level or safety-stock changes.</w:t>
      </w:r>
    </w:p>
    <w:p>
      <w:pPr>
        <w:pStyle w:val="ListBullet"/>
        <w:spacing w:after="40"/>
        <w:ind w:left="259"/>
      </w:pPr>
      <w:r>
        <w:rPr>
          <w:color w:val="1B2A41"/>
          <w:sz w:val="19"/>
        </w:rPr>
        <w:t>Review the top 10 excess and top 10 shortage-risk items first; then expand to the full portfolio.</w:t>
      </w:r>
    </w:p>
    <w:p>
      <w:pPr>
        <w:pStyle w:val="ListBullet"/>
        <w:spacing w:after="40"/>
        <w:ind w:left="259"/>
      </w:pPr>
      <w:r>
        <w:rPr>
          <w:color w:val="1B2A41"/>
          <w:sz w:val="19"/>
        </w:rPr>
        <w:t>Keep a parameter-change log so planners can connect a KPI movement to the configuration change that caused it.</w:t>
      </w:r>
    </w:p>
    <w:p>
      <w:r>
        <w:br w:type="page"/>
      </w:r>
    </w:p>
    <w:p>
      <w:pPr>
        <w:pStyle w:val="Heading1"/>
        <w:spacing w:before="60" w:after="100"/>
      </w:pPr>
      <w:r>
        <w:t>13. Governance, Risks and Controls</w:t>
      </w:r>
    </w:p>
    <w:tbl>
      <w:tblPr>
        <w:tblStyle w:val="TableGrid"/>
        <w:tblW w:type="auto" w:w="0"/>
        <w:jc w:val="center"/>
        <w:tblLook w:firstColumn="1" w:firstRow="1" w:lastColumn="0" w:lastRow="0" w:noHBand="0" w:noVBand="1" w:val="04A0"/>
      </w:tblPr>
      <w:tblGrid>
        <w:gridCol w:w="3456"/>
        <w:gridCol w:w="3456"/>
        <w:gridCol w:w="3456"/>
      </w:tblGrid>
      <w:tr>
        <w:tc>
          <w:tcPr>
            <w:tcW w:type="dxa" w:w="2376"/>
            <w:vAlign w:val="center"/>
            <w:shd w:fill="23395B"/>
            <w:tcMar>
              <w:top w:w="70" w:type="dxa"/>
              <w:start w:w="80" w:type="dxa"/>
              <w:bottom w:w="70" w:type="dxa"/>
              <w:end w:w="80" w:type="dxa"/>
            </w:tcMar>
          </w:tcPr>
          <w:p>
            <w:pPr>
              <w:jc w:val="center"/>
            </w:pPr>
            <w:r/>
            <w:r>
              <w:rPr>
                <w:rFonts w:ascii="Aptos" w:hAnsi="Aptos"/>
                <w:b/>
                <w:color w:val="FFFFFF"/>
                <w:sz w:val="17"/>
              </w:rPr>
              <w:t>Risk</w:t>
            </w:r>
          </w:p>
        </w:tc>
        <w:tc>
          <w:tcPr>
            <w:tcW w:type="dxa" w:w="3600"/>
            <w:vAlign w:val="center"/>
            <w:shd w:fill="23395B"/>
            <w:tcMar>
              <w:top w:w="70" w:type="dxa"/>
              <w:start w:w="80" w:type="dxa"/>
              <w:bottom w:w="70" w:type="dxa"/>
              <w:end w:w="80" w:type="dxa"/>
            </w:tcMar>
          </w:tcPr>
          <w:p>
            <w:pPr>
              <w:jc w:val="center"/>
            </w:pPr>
            <w:r/>
            <w:r>
              <w:rPr>
                <w:rFonts w:ascii="Aptos" w:hAnsi="Aptos"/>
                <w:b/>
                <w:color w:val="FFFFFF"/>
                <w:sz w:val="17"/>
              </w:rPr>
              <w:t>Impact</w:t>
            </w:r>
          </w:p>
        </w:tc>
        <w:tc>
          <w:tcPr>
            <w:tcW w:type="dxa" w:w="4464"/>
            <w:vAlign w:val="center"/>
            <w:shd w:fill="23395B"/>
            <w:tcMar>
              <w:top w:w="70" w:type="dxa"/>
              <w:start w:w="80" w:type="dxa"/>
              <w:bottom w:w="70" w:type="dxa"/>
              <w:end w:w="80" w:type="dxa"/>
            </w:tcMar>
          </w:tcPr>
          <w:p>
            <w:pPr>
              <w:jc w:val="center"/>
            </w:pPr>
            <w:r/>
            <w:r>
              <w:rPr>
                <w:rFonts w:ascii="Aptos" w:hAnsi="Aptos"/>
                <w:b/>
                <w:color w:val="FFFFFF"/>
                <w:sz w:val="17"/>
              </w:rPr>
              <w:t>Control / contingency</w:t>
            </w:r>
          </w:p>
        </w:tc>
      </w:tr>
      <w:tr>
        <w:tc>
          <w:tcPr>
            <w:tcW w:type="dxa" w:w="2376"/>
            <w:vAlign w:val="center"/>
            <w:tcMar>
              <w:top w:w="70" w:type="dxa"/>
              <w:start w:w="80" w:type="dxa"/>
              <w:bottom w:w="70" w:type="dxa"/>
              <w:end w:w="80" w:type="dxa"/>
            </w:tcMar>
          </w:tcPr>
          <w:p>
            <w:r/>
            <w:r>
              <w:rPr>
                <w:rFonts w:ascii="Aptos" w:hAnsi="Aptos"/>
                <w:b w:val="0"/>
                <w:color w:val="1B2A41"/>
                <w:sz w:val="15"/>
              </w:rPr>
              <w:t>Incorrect UoM conversion</w:t>
            </w:r>
          </w:p>
        </w:tc>
        <w:tc>
          <w:tcPr>
            <w:tcW w:type="dxa" w:w="3600"/>
            <w:vAlign w:val="center"/>
            <w:tcMar>
              <w:top w:w="70" w:type="dxa"/>
              <w:start w:w="80" w:type="dxa"/>
              <w:bottom w:w="70" w:type="dxa"/>
              <w:end w:w="80" w:type="dxa"/>
            </w:tcMar>
          </w:tcPr>
          <w:p>
            <w:r/>
            <w:r>
              <w:rPr>
                <w:rFonts w:ascii="Aptos" w:hAnsi="Aptos"/>
                <w:b w:val="0"/>
                <w:color w:val="1B2A41"/>
                <w:sz w:val="15"/>
              </w:rPr>
              <w:t>Severe over/under planning</w:t>
            </w:r>
          </w:p>
        </w:tc>
        <w:tc>
          <w:tcPr>
            <w:tcW w:type="dxa" w:w="4464"/>
            <w:vAlign w:val="center"/>
            <w:tcMar>
              <w:top w:w="70" w:type="dxa"/>
              <w:start w:w="80" w:type="dxa"/>
              <w:bottom w:w="70" w:type="dxa"/>
              <w:end w:w="80" w:type="dxa"/>
            </w:tcMar>
          </w:tcPr>
          <w:p>
            <w:r/>
            <w:r>
              <w:rPr>
                <w:rFonts w:ascii="Aptos" w:hAnsi="Aptos"/>
                <w:b w:val="0"/>
                <w:color w:val="1B2A41"/>
                <w:sz w:val="15"/>
              </w:rPr>
              <w:t>Block transfer; dual validation for conversion factors.</w:t>
            </w:r>
          </w:p>
        </w:tc>
      </w:tr>
      <w:tr>
        <w:tc>
          <w:tcPr>
            <w:tcW w:type="dxa" w:w="2376"/>
            <w:vAlign w:val="center"/>
            <w:tcMar>
              <w:top w:w="70" w:type="dxa"/>
              <w:start w:w="80" w:type="dxa"/>
              <w:bottom w:w="70" w:type="dxa"/>
              <w:end w:w="80" w:type="dxa"/>
            </w:tcMar>
            <w:shd w:fill="F7F9FB"/>
          </w:tcPr>
          <w:p>
            <w:r/>
            <w:r>
              <w:rPr>
                <w:rFonts w:ascii="Aptos" w:hAnsi="Aptos"/>
                <w:b w:val="0"/>
                <w:color w:val="1B2A41"/>
                <w:sz w:val="15"/>
              </w:rPr>
              <w:t>Outdated lead time</w:t>
            </w:r>
          </w:p>
        </w:tc>
        <w:tc>
          <w:tcPr>
            <w:tcW w:type="dxa" w:w="3600"/>
            <w:vAlign w:val="center"/>
            <w:tcMar>
              <w:top w:w="70" w:type="dxa"/>
              <w:start w:w="80" w:type="dxa"/>
              <w:bottom w:w="70" w:type="dxa"/>
              <w:end w:w="80" w:type="dxa"/>
            </w:tcMar>
            <w:shd w:fill="F7F9FB"/>
          </w:tcPr>
          <w:p>
            <w:r/>
            <w:r>
              <w:rPr>
                <w:rFonts w:ascii="Aptos" w:hAnsi="Aptos"/>
                <w:b w:val="0"/>
                <w:color w:val="1B2A41"/>
                <w:sz w:val="15"/>
              </w:rPr>
              <w:t>Repeated stock-outs or excess buffer</w:t>
            </w:r>
          </w:p>
        </w:tc>
        <w:tc>
          <w:tcPr>
            <w:tcW w:type="dxa" w:w="4464"/>
            <w:vAlign w:val="center"/>
            <w:tcMar>
              <w:top w:w="70" w:type="dxa"/>
              <w:start w:w="80" w:type="dxa"/>
              <w:bottom w:w="70" w:type="dxa"/>
              <w:end w:w="80" w:type="dxa"/>
            </w:tcMar>
            <w:shd w:fill="F7F9FB"/>
          </w:tcPr>
          <w:p>
            <w:r/>
            <w:r>
              <w:rPr>
                <w:rFonts w:ascii="Aptos" w:hAnsi="Aptos"/>
                <w:b w:val="0"/>
                <w:color w:val="1B2A41"/>
                <w:sz w:val="15"/>
              </w:rPr>
              <w:t>Monthly actual-vs-master lead-time review.</w:t>
            </w:r>
          </w:p>
        </w:tc>
      </w:tr>
      <w:tr>
        <w:tc>
          <w:tcPr>
            <w:tcW w:type="dxa" w:w="2376"/>
            <w:vAlign w:val="center"/>
            <w:tcMar>
              <w:top w:w="70" w:type="dxa"/>
              <w:start w:w="80" w:type="dxa"/>
              <w:bottom w:w="70" w:type="dxa"/>
              <w:end w:w="80" w:type="dxa"/>
            </w:tcMar>
          </w:tcPr>
          <w:p>
            <w:r/>
            <w:r>
              <w:rPr>
                <w:rFonts w:ascii="Aptos" w:hAnsi="Aptos"/>
                <w:b w:val="0"/>
                <w:color w:val="1B2A41"/>
                <w:sz w:val="15"/>
              </w:rPr>
              <w:t>Duplicate location-product</w:t>
            </w:r>
          </w:p>
        </w:tc>
        <w:tc>
          <w:tcPr>
            <w:tcW w:type="dxa" w:w="3600"/>
            <w:vAlign w:val="center"/>
            <w:tcMar>
              <w:top w:w="70" w:type="dxa"/>
              <w:start w:w="80" w:type="dxa"/>
              <w:bottom w:w="70" w:type="dxa"/>
              <w:end w:w="80" w:type="dxa"/>
            </w:tcMar>
          </w:tcPr>
          <w:p>
            <w:r/>
            <w:r>
              <w:rPr>
                <w:rFonts w:ascii="Aptos" w:hAnsi="Aptos"/>
                <w:b w:val="0"/>
                <w:color w:val="1B2A41"/>
                <w:sz w:val="15"/>
              </w:rPr>
              <w:t>Double requirements / distorted plan</w:t>
            </w:r>
          </w:p>
        </w:tc>
        <w:tc>
          <w:tcPr>
            <w:tcW w:type="dxa" w:w="4464"/>
            <w:vAlign w:val="center"/>
            <w:tcMar>
              <w:top w:w="70" w:type="dxa"/>
              <w:start w:w="80" w:type="dxa"/>
              <w:bottom w:w="70" w:type="dxa"/>
              <w:end w:w="80" w:type="dxa"/>
            </w:tcMar>
          </w:tcPr>
          <w:p>
            <w:r/>
            <w:r>
              <w:rPr>
                <w:rFonts w:ascii="Aptos" w:hAnsi="Aptos"/>
                <w:b w:val="0"/>
                <w:color w:val="1B2A41"/>
                <w:sz w:val="15"/>
              </w:rPr>
              <w:t>Uniqueness check before migration.</w:t>
            </w:r>
          </w:p>
        </w:tc>
      </w:tr>
      <w:tr>
        <w:tc>
          <w:tcPr>
            <w:tcW w:type="dxa" w:w="2376"/>
            <w:vAlign w:val="center"/>
            <w:tcMar>
              <w:top w:w="70" w:type="dxa"/>
              <w:start w:w="80" w:type="dxa"/>
              <w:bottom w:w="70" w:type="dxa"/>
              <w:end w:w="80" w:type="dxa"/>
            </w:tcMar>
            <w:shd w:fill="F7F9FB"/>
          </w:tcPr>
          <w:p>
            <w:r/>
            <w:r>
              <w:rPr>
                <w:rFonts w:ascii="Aptos" w:hAnsi="Aptos"/>
                <w:b w:val="0"/>
                <w:color w:val="1B2A41"/>
                <w:sz w:val="15"/>
              </w:rPr>
              <w:t>Unauthorized parameter change</w:t>
            </w:r>
          </w:p>
        </w:tc>
        <w:tc>
          <w:tcPr>
            <w:tcW w:type="dxa" w:w="3600"/>
            <w:vAlign w:val="center"/>
            <w:tcMar>
              <w:top w:w="70" w:type="dxa"/>
              <w:start w:w="80" w:type="dxa"/>
              <w:bottom w:w="70" w:type="dxa"/>
              <w:end w:w="80" w:type="dxa"/>
            </w:tcMar>
            <w:shd w:fill="F7F9FB"/>
          </w:tcPr>
          <w:p>
            <w:r/>
            <w:r>
              <w:rPr>
                <w:rFonts w:ascii="Aptos" w:hAnsi="Aptos"/>
                <w:b w:val="0"/>
                <w:color w:val="1B2A41"/>
                <w:sz w:val="15"/>
              </w:rPr>
              <w:t>Inventory policy drift</w:t>
            </w:r>
          </w:p>
        </w:tc>
        <w:tc>
          <w:tcPr>
            <w:tcW w:type="dxa" w:w="4464"/>
            <w:vAlign w:val="center"/>
            <w:tcMar>
              <w:top w:w="70" w:type="dxa"/>
              <w:start w:w="80" w:type="dxa"/>
              <w:bottom w:w="70" w:type="dxa"/>
              <w:end w:w="80" w:type="dxa"/>
            </w:tcMar>
            <w:shd w:fill="F7F9FB"/>
          </w:tcPr>
          <w:p>
            <w:r/>
            <w:r>
              <w:rPr>
                <w:rFonts w:ascii="Aptos" w:hAnsi="Aptos"/>
                <w:b w:val="0"/>
                <w:color w:val="1B2A41"/>
                <w:sz w:val="15"/>
              </w:rPr>
              <w:t>Role-based access and change log.</w:t>
            </w:r>
          </w:p>
        </w:tc>
      </w:tr>
      <w:tr>
        <w:tc>
          <w:tcPr>
            <w:tcW w:type="dxa" w:w="2376"/>
            <w:vAlign w:val="center"/>
            <w:tcMar>
              <w:top w:w="70" w:type="dxa"/>
              <w:start w:w="80" w:type="dxa"/>
              <w:bottom w:w="70" w:type="dxa"/>
              <w:end w:w="80" w:type="dxa"/>
            </w:tcMar>
          </w:tcPr>
          <w:p>
            <w:r/>
            <w:r>
              <w:rPr>
                <w:rFonts w:ascii="Aptos" w:hAnsi="Aptos"/>
                <w:b w:val="0"/>
                <w:color w:val="1B2A41"/>
                <w:sz w:val="15"/>
              </w:rPr>
              <w:t>CIF queue/integration failure</w:t>
            </w:r>
          </w:p>
        </w:tc>
        <w:tc>
          <w:tcPr>
            <w:tcW w:type="dxa" w:w="3600"/>
            <w:vAlign w:val="center"/>
            <w:tcMar>
              <w:top w:w="70" w:type="dxa"/>
              <w:start w:w="80" w:type="dxa"/>
              <w:bottom w:w="70" w:type="dxa"/>
              <w:end w:w="80" w:type="dxa"/>
            </w:tcMar>
          </w:tcPr>
          <w:p>
            <w:r/>
            <w:r>
              <w:rPr>
                <w:rFonts w:ascii="Aptos" w:hAnsi="Aptos"/>
                <w:b w:val="0"/>
                <w:color w:val="1B2A41"/>
                <w:sz w:val="15"/>
              </w:rPr>
              <w:t>Missing or stale planning data</w:t>
            </w:r>
          </w:p>
        </w:tc>
        <w:tc>
          <w:tcPr>
            <w:tcW w:type="dxa" w:w="4464"/>
            <w:vAlign w:val="center"/>
            <w:tcMar>
              <w:top w:w="70" w:type="dxa"/>
              <w:start w:w="80" w:type="dxa"/>
              <w:bottom w:w="70" w:type="dxa"/>
              <w:end w:w="80" w:type="dxa"/>
            </w:tcMar>
          </w:tcPr>
          <w:p>
            <w:r/>
            <w:r>
              <w:rPr>
                <w:rFonts w:ascii="Aptos" w:hAnsi="Aptos"/>
                <w:b w:val="0"/>
                <w:color w:val="1B2A41"/>
                <w:sz w:val="15"/>
              </w:rPr>
              <w:t>Queue monitoring, reconciliation and restart procedure.</w:t>
            </w:r>
          </w:p>
        </w:tc>
      </w:tr>
      <w:tr>
        <w:tc>
          <w:tcPr>
            <w:tcW w:type="dxa" w:w="2376"/>
            <w:vAlign w:val="center"/>
            <w:tcMar>
              <w:top w:w="70" w:type="dxa"/>
              <w:start w:w="80" w:type="dxa"/>
              <w:bottom w:w="70" w:type="dxa"/>
              <w:end w:w="80" w:type="dxa"/>
            </w:tcMar>
            <w:shd w:fill="F7F9FB"/>
          </w:tcPr>
          <w:p>
            <w:r/>
            <w:r>
              <w:rPr>
                <w:rFonts w:ascii="Aptos" w:hAnsi="Aptos"/>
                <w:b w:val="0"/>
                <w:color w:val="1B2A41"/>
                <w:sz w:val="15"/>
              </w:rPr>
              <w:t>Forecast shock</w:t>
            </w:r>
          </w:p>
        </w:tc>
        <w:tc>
          <w:tcPr>
            <w:tcW w:type="dxa" w:w="3600"/>
            <w:vAlign w:val="center"/>
            <w:tcMar>
              <w:top w:w="70" w:type="dxa"/>
              <w:start w:w="80" w:type="dxa"/>
              <w:bottom w:w="70" w:type="dxa"/>
              <w:end w:w="80" w:type="dxa"/>
            </w:tcMar>
            <w:shd w:fill="F7F9FB"/>
          </w:tcPr>
          <w:p>
            <w:r/>
            <w:r>
              <w:rPr>
                <w:rFonts w:ascii="Aptos" w:hAnsi="Aptos"/>
                <w:b w:val="0"/>
                <w:color w:val="1B2A41"/>
                <w:sz w:val="15"/>
              </w:rPr>
              <w:t>Shortage despite clean master data</w:t>
            </w:r>
          </w:p>
        </w:tc>
        <w:tc>
          <w:tcPr>
            <w:tcW w:type="dxa" w:w="4464"/>
            <w:vAlign w:val="center"/>
            <w:tcMar>
              <w:top w:w="70" w:type="dxa"/>
              <w:start w:w="80" w:type="dxa"/>
              <w:bottom w:w="70" w:type="dxa"/>
              <w:end w:w="80" w:type="dxa"/>
            </w:tcMar>
            <w:shd w:fill="F7F9FB"/>
          </w:tcPr>
          <w:p>
            <w:r/>
            <w:r>
              <w:rPr>
                <w:rFonts w:ascii="Aptos" w:hAnsi="Aptos"/>
                <w:b w:val="0"/>
                <w:color w:val="1B2A41"/>
                <w:sz w:val="15"/>
              </w:rPr>
              <w:t>Exception alerts, backup source, redeployment.</w:t>
            </w:r>
          </w:p>
        </w:tc>
      </w:tr>
      <w:tr>
        <w:tc>
          <w:tcPr>
            <w:tcW w:type="dxa" w:w="2376"/>
            <w:vAlign w:val="center"/>
            <w:tcMar>
              <w:top w:w="70" w:type="dxa"/>
              <w:start w:w="80" w:type="dxa"/>
              <w:bottom w:w="70" w:type="dxa"/>
              <w:end w:w="80" w:type="dxa"/>
            </w:tcMar>
          </w:tcPr>
          <w:p>
            <w:r/>
            <w:r>
              <w:rPr>
                <w:rFonts w:ascii="Aptos" w:hAnsi="Aptos"/>
                <w:b w:val="0"/>
                <w:color w:val="1B2A41"/>
                <w:sz w:val="15"/>
              </w:rPr>
              <w:t>MOQ too large</w:t>
            </w:r>
          </w:p>
        </w:tc>
        <w:tc>
          <w:tcPr>
            <w:tcW w:type="dxa" w:w="3600"/>
            <w:vAlign w:val="center"/>
            <w:tcMar>
              <w:top w:w="70" w:type="dxa"/>
              <w:start w:w="80" w:type="dxa"/>
              <w:bottom w:w="70" w:type="dxa"/>
              <w:end w:w="80" w:type="dxa"/>
            </w:tcMar>
          </w:tcPr>
          <w:p>
            <w:r/>
            <w:r>
              <w:rPr>
                <w:rFonts w:ascii="Aptos" w:hAnsi="Aptos"/>
                <w:b w:val="0"/>
                <w:color w:val="1B2A41"/>
                <w:sz w:val="15"/>
              </w:rPr>
              <w:t>Excess inventory / aging</w:t>
            </w:r>
          </w:p>
        </w:tc>
        <w:tc>
          <w:tcPr>
            <w:tcW w:type="dxa" w:w="4464"/>
            <w:vAlign w:val="center"/>
            <w:tcMar>
              <w:top w:w="70" w:type="dxa"/>
              <w:start w:w="80" w:type="dxa"/>
              <w:bottom w:w="70" w:type="dxa"/>
              <w:end w:w="80" w:type="dxa"/>
            </w:tcMar>
          </w:tcPr>
          <w:p>
            <w:r/>
            <w:r>
              <w:rPr>
                <w:rFonts w:ascii="Aptos" w:hAnsi="Aptos"/>
                <w:b w:val="0"/>
                <w:color w:val="1B2A41"/>
                <w:sz w:val="15"/>
              </w:rPr>
              <w:t>Supplier negotiation and lot-size review.</w:t>
            </w:r>
          </w:p>
        </w:tc>
      </w:tr>
      <w:tr>
        <w:tc>
          <w:tcPr>
            <w:tcW w:type="dxa" w:w="2376"/>
            <w:vAlign w:val="center"/>
            <w:tcMar>
              <w:top w:w="70" w:type="dxa"/>
              <w:start w:w="80" w:type="dxa"/>
              <w:bottom w:w="70" w:type="dxa"/>
              <w:end w:w="80" w:type="dxa"/>
            </w:tcMar>
            <w:shd w:fill="F7F9FB"/>
          </w:tcPr>
          <w:p>
            <w:r/>
            <w:r>
              <w:rPr>
                <w:rFonts w:ascii="Aptos" w:hAnsi="Aptos"/>
                <w:b w:val="0"/>
                <w:color w:val="1B2A41"/>
                <w:sz w:val="15"/>
              </w:rPr>
              <w:t>Over-aggressive stock reduction</w:t>
            </w:r>
          </w:p>
        </w:tc>
        <w:tc>
          <w:tcPr>
            <w:tcW w:type="dxa" w:w="3600"/>
            <w:vAlign w:val="center"/>
            <w:tcMar>
              <w:top w:w="70" w:type="dxa"/>
              <w:start w:w="80" w:type="dxa"/>
              <w:bottom w:w="70" w:type="dxa"/>
              <w:end w:w="80" w:type="dxa"/>
            </w:tcMar>
            <w:shd w:fill="F7F9FB"/>
          </w:tcPr>
          <w:p>
            <w:r/>
            <w:r>
              <w:rPr>
                <w:rFonts w:ascii="Aptos" w:hAnsi="Aptos"/>
                <w:b w:val="0"/>
                <w:color w:val="1B2A41"/>
                <w:sz w:val="15"/>
              </w:rPr>
              <w:t>Service deterioration</w:t>
            </w:r>
          </w:p>
        </w:tc>
        <w:tc>
          <w:tcPr>
            <w:tcW w:type="dxa" w:w="4464"/>
            <w:vAlign w:val="center"/>
            <w:tcMar>
              <w:top w:w="70" w:type="dxa"/>
              <w:start w:w="80" w:type="dxa"/>
              <w:bottom w:w="70" w:type="dxa"/>
              <w:end w:w="80" w:type="dxa"/>
            </w:tcMar>
            <w:shd w:fill="F7F9FB"/>
          </w:tcPr>
          <w:p>
            <w:r/>
            <w:r>
              <w:rPr>
                <w:rFonts w:ascii="Aptos" w:hAnsi="Aptos"/>
                <w:b w:val="0"/>
                <w:color w:val="1B2A41"/>
                <w:sz w:val="15"/>
              </w:rPr>
              <w:t>Pilot by segment and monitor fill rate.</w:t>
            </w:r>
          </w:p>
        </w:tc>
      </w:tr>
      <w:tr>
        <w:tc>
          <w:tcPr>
            <w:tcW w:type="dxa" w:w="2376"/>
            <w:vAlign w:val="center"/>
            <w:tcMar>
              <w:top w:w="70" w:type="dxa"/>
              <w:start w:w="80" w:type="dxa"/>
              <w:bottom w:w="70" w:type="dxa"/>
              <w:end w:w="80" w:type="dxa"/>
            </w:tcMar>
          </w:tcPr>
          <w:p>
            <w:r/>
            <w:r>
              <w:rPr>
                <w:rFonts w:ascii="Aptos" w:hAnsi="Aptos"/>
                <w:b w:val="0"/>
                <w:color w:val="1B2A41"/>
                <w:sz w:val="15"/>
              </w:rPr>
              <w:t>No data owner</w:t>
            </w:r>
          </w:p>
        </w:tc>
        <w:tc>
          <w:tcPr>
            <w:tcW w:type="dxa" w:w="3600"/>
            <w:vAlign w:val="center"/>
            <w:tcMar>
              <w:top w:w="70" w:type="dxa"/>
              <w:start w:w="80" w:type="dxa"/>
              <w:bottom w:w="70" w:type="dxa"/>
              <w:end w:w="80" w:type="dxa"/>
            </w:tcMar>
          </w:tcPr>
          <w:p>
            <w:r/>
            <w:r>
              <w:rPr>
                <w:rFonts w:ascii="Aptos" w:hAnsi="Aptos"/>
                <w:b w:val="0"/>
                <w:color w:val="1B2A41"/>
                <w:sz w:val="15"/>
              </w:rPr>
              <w:t>Issues remain unresolved</w:t>
            </w:r>
          </w:p>
        </w:tc>
        <w:tc>
          <w:tcPr>
            <w:tcW w:type="dxa" w:w="4464"/>
            <w:vAlign w:val="center"/>
            <w:tcMar>
              <w:top w:w="70" w:type="dxa"/>
              <w:start w:w="80" w:type="dxa"/>
              <w:bottom w:w="70" w:type="dxa"/>
              <w:end w:w="80" w:type="dxa"/>
            </w:tcMar>
          </w:tcPr>
          <w:p>
            <w:r/>
            <w:r>
              <w:rPr>
                <w:rFonts w:ascii="Aptos" w:hAnsi="Aptos"/>
                <w:b w:val="0"/>
                <w:color w:val="1B2A41"/>
                <w:sz w:val="15"/>
              </w:rPr>
              <w:t>Assign owner for each data domain and SLA for fixes.</w:t>
            </w:r>
          </w:p>
        </w:tc>
      </w:tr>
    </w:tbl>
    <w:p>
      <w:pPr>
        <w:pStyle w:val="Heading2"/>
        <w:spacing w:before="60" w:after="100"/>
      </w:pPr>
      <w:r>
        <w:t>13.1 Change-control rule</w:t>
      </w:r>
    </w:p>
    <w:p>
      <w:pPr>
        <w:spacing w:after="100" w:line="259" w:lineRule="auto"/>
      </w:pPr>
      <w:r>
        <w:rPr>
          <w:color w:val="1B2A41"/>
          <w:sz w:val="20"/>
        </w:rPr>
        <w:t>For critical planning fields, I would use a simple four-step control: request → impact review → business approval → implementation and reconciliation. This is especially important for lead time, base UoM, safety stock, service level, lot size and source priority because these fields can change inventory immediately.</w:t>
      </w:r>
    </w:p>
    <w:tbl>
      <w:tblPr>
        <w:tblW w:type="auto" w:w="0"/>
        <w:jc w:val="center"/>
        <w:tblLayout w:type="autofit"/>
        <w:tblLook w:firstColumn="1" w:firstRow="1" w:lastColumn="0" w:lastRow="0" w:noHBand="0" w:noVBand="1" w:val="04A0"/>
      </w:tblPr>
      <w:tblGrid>
        <w:gridCol w:w="10368"/>
      </w:tblGrid>
      <w:tr>
        <w:tc>
          <w:tcPr>
            <w:tcW w:type="dxa" w:w="10368"/>
            <w:shd w:fill="EEF3F8"/>
            <w:tcMar>
              <w:top w:w="110" w:type="dxa"/>
              <w:start w:w="140" w:type="dxa"/>
              <w:bottom w:w="110" w:type="dxa"/>
              <w:end w:w="140" w:type="dxa"/>
            </w:tcMar>
          </w:tcPr>
          <w:p>
            <w:r>
              <w:rPr>
                <w:b/>
                <w:color w:val="23395B"/>
                <w:sz w:val="19"/>
              </w:rPr>
              <w:t xml:space="preserve">Governance principle:  </w:t>
            </w:r>
            <w:r>
              <w:rPr>
                <w:color w:val="1B2A41"/>
                <w:sz w:val="18"/>
              </w:rPr>
              <w:t>A master-data project is complete only when ownership and monitoring are defined. Cleaning the data once without a control process simply postpones the next inventory problem.</w:t>
            </w:r>
          </w:p>
        </w:tc>
      </w:tr>
    </w:tbl>
    <w:p>
      <w:r>
        <w:br w:type="page"/>
      </w:r>
    </w:p>
    <w:p>
      <w:pPr>
        <w:pStyle w:val="Heading1"/>
        <w:spacing w:before="60" w:after="100"/>
      </w:pPr>
      <w:r>
        <w:t>14. Validation Plan and Estimated Effort</w:t>
      </w:r>
    </w:p>
    <w:p>
      <w:pPr>
        <w:pStyle w:val="Heading2"/>
        <w:spacing w:before="60" w:after="100"/>
      </w:pPr>
      <w:r>
        <w:t>14.1 Proposed validation tests</w:t>
      </w:r>
    </w:p>
    <w:tbl>
      <w:tblPr>
        <w:tblStyle w:val="TableGrid"/>
        <w:tblW w:type="auto" w:w="0"/>
        <w:jc w:val="center"/>
        <w:tblLook w:firstColumn="1" w:firstRow="1" w:lastColumn="0" w:lastRow="0" w:noHBand="0" w:noVBand="1" w:val="04A0"/>
      </w:tblPr>
      <w:tblGrid>
        <w:gridCol w:w="3456"/>
        <w:gridCol w:w="3456"/>
        <w:gridCol w:w="3456"/>
      </w:tblGrid>
      <w:tr>
        <w:tc>
          <w:tcPr>
            <w:tcW w:type="dxa" w:w="2232"/>
            <w:vAlign w:val="center"/>
            <w:shd w:fill="23395B"/>
            <w:tcMar>
              <w:top w:w="70" w:type="dxa"/>
              <w:start w:w="80" w:type="dxa"/>
              <w:bottom w:w="70" w:type="dxa"/>
              <w:end w:w="80" w:type="dxa"/>
            </w:tcMar>
          </w:tcPr>
          <w:p>
            <w:pPr>
              <w:jc w:val="center"/>
            </w:pPr>
            <w:r/>
            <w:r>
              <w:rPr>
                <w:rFonts w:ascii="Aptos" w:hAnsi="Aptos"/>
                <w:b/>
                <w:color w:val="FFFFFF"/>
                <w:sz w:val="17"/>
              </w:rPr>
              <w:t>Test</w:t>
            </w:r>
          </w:p>
        </w:tc>
        <w:tc>
          <w:tcPr>
            <w:tcW w:type="dxa" w:w="5112"/>
            <w:vAlign w:val="center"/>
            <w:shd w:fill="23395B"/>
            <w:tcMar>
              <w:top w:w="70" w:type="dxa"/>
              <w:start w:w="80" w:type="dxa"/>
              <w:bottom w:w="70" w:type="dxa"/>
              <w:end w:w="80" w:type="dxa"/>
            </w:tcMar>
          </w:tcPr>
          <w:p>
            <w:pPr>
              <w:jc w:val="center"/>
            </w:pPr>
            <w:r/>
            <w:r>
              <w:rPr>
                <w:rFonts w:ascii="Aptos" w:hAnsi="Aptos"/>
                <w:b/>
                <w:color w:val="FFFFFF"/>
                <w:sz w:val="17"/>
              </w:rPr>
              <w:t>Procedure</w:t>
            </w:r>
          </w:p>
        </w:tc>
        <w:tc>
          <w:tcPr>
            <w:tcW w:type="dxa" w:w="3096"/>
            <w:vAlign w:val="center"/>
            <w:shd w:fill="23395B"/>
            <w:tcMar>
              <w:top w:w="70" w:type="dxa"/>
              <w:start w:w="80" w:type="dxa"/>
              <w:bottom w:w="70" w:type="dxa"/>
              <w:end w:w="80" w:type="dxa"/>
            </w:tcMar>
          </w:tcPr>
          <w:p>
            <w:pPr>
              <w:jc w:val="center"/>
            </w:pPr>
            <w:r/>
            <w:r>
              <w:rPr>
                <w:rFonts w:ascii="Aptos" w:hAnsi="Aptos"/>
                <w:b/>
                <w:color w:val="FFFFFF"/>
                <w:sz w:val="17"/>
              </w:rPr>
              <w:t>Expected result</w:t>
            </w:r>
          </w:p>
        </w:tc>
      </w:tr>
      <w:tr>
        <w:tc>
          <w:tcPr>
            <w:tcW w:type="dxa" w:w="2232"/>
            <w:vAlign w:val="center"/>
            <w:tcMar>
              <w:top w:w="70" w:type="dxa"/>
              <w:start w:w="80" w:type="dxa"/>
              <w:bottom w:w="70" w:type="dxa"/>
              <w:end w:w="80" w:type="dxa"/>
            </w:tcMar>
          </w:tcPr>
          <w:p>
            <w:r/>
            <w:r>
              <w:rPr>
                <w:rFonts w:ascii="Aptos" w:hAnsi="Aptos"/>
                <w:b w:val="0"/>
                <w:color w:val="1B2A41"/>
                <w:sz w:val="15"/>
              </w:rPr>
              <w:t>Product-location completeness</w:t>
            </w:r>
          </w:p>
        </w:tc>
        <w:tc>
          <w:tcPr>
            <w:tcW w:type="dxa" w:w="5112"/>
            <w:vAlign w:val="center"/>
            <w:tcMar>
              <w:top w:w="70" w:type="dxa"/>
              <w:start w:w="80" w:type="dxa"/>
              <w:bottom w:w="70" w:type="dxa"/>
              <w:end w:w="80" w:type="dxa"/>
            </w:tcMar>
          </w:tcPr>
          <w:p>
            <w:r/>
            <w:r>
              <w:rPr>
                <w:rFonts w:ascii="Aptos" w:hAnsi="Aptos"/>
                <w:b w:val="0"/>
                <w:color w:val="1B2A41"/>
                <w:sz w:val="15"/>
              </w:rPr>
              <w:t>Compare scope list with APO location-product records.</w:t>
            </w:r>
          </w:p>
        </w:tc>
        <w:tc>
          <w:tcPr>
            <w:tcW w:type="dxa" w:w="3096"/>
            <w:vAlign w:val="center"/>
            <w:tcMar>
              <w:top w:w="70" w:type="dxa"/>
              <w:start w:w="80" w:type="dxa"/>
              <w:bottom w:w="70" w:type="dxa"/>
              <w:end w:w="80" w:type="dxa"/>
            </w:tcMar>
          </w:tcPr>
          <w:p>
            <w:r/>
            <w:r>
              <w:rPr>
                <w:rFonts w:ascii="Aptos" w:hAnsi="Aptos"/>
                <w:b w:val="0"/>
                <w:color w:val="1B2A41"/>
                <w:sz w:val="15"/>
              </w:rPr>
              <w:t>Every in-scope product/DC combination exists once.</w:t>
            </w:r>
          </w:p>
        </w:tc>
      </w:tr>
      <w:tr>
        <w:tc>
          <w:tcPr>
            <w:tcW w:type="dxa" w:w="2232"/>
            <w:vAlign w:val="center"/>
            <w:tcMar>
              <w:top w:w="70" w:type="dxa"/>
              <w:start w:w="80" w:type="dxa"/>
              <w:bottom w:w="70" w:type="dxa"/>
              <w:end w:w="80" w:type="dxa"/>
            </w:tcMar>
            <w:shd w:fill="F7F9FB"/>
          </w:tcPr>
          <w:p>
            <w:r/>
            <w:r>
              <w:rPr>
                <w:rFonts w:ascii="Aptos" w:hAnsi="Aptos"/>
                <w:b w:val="0"/>
                <w:color w:val="1B2A41"/>
                <w:sz w:val="15"/>
              </w:rPr>
              <w:t>UoM consistency</w:t>
            </w:r>
          </w:p>
        </w:tc>
        <w:tc>
          <w:tcPr>
            <w:tcW w:type="dxa" w:w="5112"/>
            <w:vAlign w:val="center"/>
            <w:tcMar>
              <w:top w:w="70" w:type="dxa"/>
              <w:start w:w="80" w:type="dxa"/>
              <w:bottom w:w="70" w:type="dxa"/>
              <w:end w:w="80" w:type="dxa"/>
            </w:tcMar>
            <w:shd w:fill="F7F9FB"/>
          </w:tcPr>
          <w:p>
            <w:r/>
            <w:r>
              <w:rPr>
                <w:rFonts w:ascii="Aptos" w:hAnsi="Aptos"/>
                <w:b w:val="0"/>
                <w:color w:val="1B2A41"/>
                <w:sz w:val="15"/>
              </w:rPr>
              <w:t>Sample source base UoM and APO product UoM.</w:t>
            </w:r>
          </w:p>
        </w:tc>
        <w:tc>
          <w:tcPr>
            <w:tcW w:type="dxa" w:w="3096"/>
            <w:vAlign w:val="center"/>
            <w:tcMar>
              <w:top w:w="70" w:type="dxa"/>
              <w:start w:w="80" w:type="dxa"/>
              <w:bottom w:w="70" w:type="dxa"/>
              <w:end w:w="80" w:type="dxa"/>
            </w:tcMar>
            <w:shd w:fill="F7F9FB"/>
          </w:tcPr>
          <w:p>
            <w:r/>
            <w:r>
              <w:rPr>
                <w:rFonts w:ascii="Aptos" w:hAnsi="Aptos"/>
                <w:b w:val="0"/>
                <w:color w:val="1B2A41"/>
                <w:sz w:val="15"/>
              </w:rPr>
              <w:t>No unexplained conversion mismatch.</w:t>
            </w:r>
          </w:p>
        </w:tc>
      </w:tr>
      <w:tr>
        <w:tc>
          <w:tcPr>
            <w:tcW w:type="dxa" w:w="2232"/>
            <w:vAlign w:val="center"/>
            <w:tcMar>
              <w:top w:w="70" w:type="dxa"/>
              <w:start w:w="80" w:type="dxa"/>
              <w:bottom w:w="70" w:type="dxa"/>
              <w:end w:w="80" w:type="dxa"/>
            </w:tcMar>
          </w:tcPr>
          <w:p>
            <w:r/>
            <w:r>
              <w:rPr>
                <w:rFonts w:ascii="Aptos" w:hAnsi="Aptos"/>
                <w:b w:val="0"/>
                <w:color w:val="1B2A41"/>
                <w:sz w:val="15"/>
              </w:rPr>
              <w:t>Lead-time reasonableness</w:t>
            </w:r>
          </w:p>
        </w:tc>
        <w:tc>
          <w:tcPr>
            <w:tcW w:type="dxa" w:w="5112"/>
            <w:vAlign w:val="center"/>
            <w:tcMar>
              <w:top w:w="70" w:type="dxa"/>
              <w:start w:w="80" w:type="dxa"/>
              <w:bottom w:w="70" w:type="dxa"/>
              <w:end w:w="80" w:type="dxa"/>
            </w:tcMar>
          </w:tcPr>
          <w:p>
            <w:r/>
            <w:r>
              <w:rPr>
                <w:rFonts w:ascii="Aptos" w:hAnsi="Aptos"/>
                <w:b w:val="0"/>
                <w:color w:val="1B2A41"/>
                <w:sz w:val="15"/>
              </w:rPr>
              <w:t>Compare planned lane lead time with recent actuals.</w:t>
            </w:r>
          </w:p>
        </w:tc>
        <w:tc>
          <w:tcPr>
            <w:tcW w:type="dxa" w:w="3096"/>
            <w:vAlign w:val="center"/>
            <w:tcMar>
              <w:top w:w="70" w:type="dxa"/>
              <w:start w:w="80" w:type="dxa"/>
              <w:bottom w:w="70" w:type="dxa"/>
              <w:end w:w="80" w:type="dxa"/>
            </w:tcMar>
          </w:tcPr>
          <w:p>
            <w:r/>
            <w:r>
              <w:rPr>
                <w:rFonts w:ascii="Aptos" w:hAnsi="Aptos"/>
                <w:b w:val="0"/>
                <w:color w:val="1B2A41"/>
                <w:sz w:val="15"/>
              </w:rPr>
              <w:t>Within agreed tolerance or exception documented.</w:t>
            </w:r>
          </w:p>
        </w:tc>
      </w:tr>
      <w:tr>
        <w:tc>
          <w:tcPr>
            <w:tcW w:type="dxa" w:w="2232"/>
            <w:vAlign w:val="center"/>
            <w:tcMar>
              <w:top w:w="70" w:type="dxa"/>
              <w:start w:w="80" w:type="dxa"/>
              <w:bottom w:w="70" w:type="dxa"/>
              <w:end w:w="80" w:type="dxa"/>
            </w:tcMar>
            <w:shd w:fill="F7F9FB"/>
          </w:tcPr>
          <w:p>
            <w:r/>
            <w:r>
              <w:rPr>
                <w:rFonts w:ascii="Aptos" w:hAnsi="Aptos"/>
                <w:b w:val="0"/>
                <w:color w:val="1B2A41"/>
                <w:sz w:val="15"/>
              </w:rPr>
              <w:t>Safety-stock behavior</w:t>
            </w:r>
          </w:p>
        </w:tc>
        <w:tc>
          <w:tcPr>
            <w:tcW w:type="dxa" w:w="5112"/>
            <w:vAlign w:val="center"/>
            <w:tcMar>
              <w:top w:w="70" w:type="dxa"/>
              <w:start w:w="80" w:type="dxa"/>
              <w:bottom w:w="70" w:type="dxa"/>
              <w:end w:w="80" w:type="dxa"/>
            </w:tcMar>
            <w:shd w:fill="F7F9FB"/>
          </w:tcPr>
          <w:p>
            <w:r/>
            <w:r>
              <w:rPr>
                <w:rFonts w:ascii="Aptos" w:hAnsi="Aptos"/>
                <w:b w:val="0"/>
                <w:color w:val="1B2A41"/>
                <w:sz w:val="15"/>
              </w:rPr>
              <w:t>Increase/decrease variability in simulation.</w:t>
            </w:r>
          </w:p>
        </w:tc>
        <w:tc>
          <w:tcPr>
            <w:tcW w:type="dxa" w:w="3096"/>
            <w:vAlign w:val="center"/>
            <w:tcMar>
              <w:top w:w="70" w:type="dxa"/>
              <w:start w:w="80" w:type="dxa"/>
              <w:bottom w:w="70" w:type="dxa"/>
              <w:end w:w="80" w:type="dxa"/>
            </w:tcMar>
            <w:shd w:fill="F7F9FB"/>
          </w:tcPr>
          <w:p>
            <w:r/>
            <w:r>
              <w:rPr>
                <w:rFonts w:ascii="Aptos" w:hAnsi="Aptos"/>
                <w:b w:val="0"/>
                <w:color w:val="1B2A41"/>
                <w:sz w:val="15"/>
              </w:rPr>
              <w:t>Buffer changes in the expected direction.</w:t>
            </w:r>
          </w:p>
        </w:tc>
      </w:tr>
      <w:tr>
        <w:tc>
          <w:tcPr>
            <w:tcW w:type="dxa" w:w="2232"/>
            <w:vAlign w:val="center"/>
            <w:tcMar>
              <w:top w:w="70" w:type="dxa"/>
              <w:start w:w="80" w:type="dxa"/>
              <w:bottom w:w="70" w:type="dxa"/>
              <w:end w:w="80" w:type="dxa"/>
            </w:tcMar>
          </w:tcPr>
          <w:p>
            <w:r/>
            <w:r>
              <w:rPr>
                <w:rFonts w:ascii="Aptos" w:hAnsi="Aptos"/>
                <w:b w:val="0"/>
                <w:color w:val="1B2A41"/>
                <w:sz w:val="15"/>
              </w:rPr>
              <w:t>Stock-out scenario</w:t>
            </w:r>
          </w:p>
        </w:tc>
        <w:tc>
          <w:tcPr>
            <w:tcW w:type="dxa" w:w="5112"/>
            <w:vAlign w:val="center"/>
            <w:tcMar>
              <w:top w:w="70" w:type="dxa"/>
              <w:start w:w="80" w:type="dxa"/>
              <w:bottom w:w="70" w:type="dxa"/>
              <w:end w:w="80" w:type="dxa"/>
            </w:tcMar>
          </w:tcPr>
          <w:p>
            <w:r/>
            <w:r>
              <w:rPr>
                <w:rFonts w:ascii="Aptos" w:hAnsi="Aptos"/>
                <w:b w:val="0"/>
                <w:color w:val="1B2A41"/>
                <w:sz w:val="15"/>
              </w:rPr>
              <w:t>Delay an inbound receipt in the scenario dataset.</w:t>
            </w:r>
          </w:p>
        </w:tc>
        <w:tc>
          <w:tcPr>
            <w:tcW w:type="dxa" w:w="3096"/>
            <w:vAlign w:val="center"/>
            <w:tcMar>
              <w:top w:w="70" w:type="dxa"/>
              <w:start w:w="80" w:type="dxa"/>
              <w:bottom w:w="70" w:type="dxa"/>
              <w:end w:w="80" w:type="dxa"/>
            </w:tcMar>
          </w:tcPr>
          <w:p>
            <w:r/>
            <w:r>
              <w:rPr>
                <w:rFonts w:ascii="Aptos" w:hAnsi="Aptos"/>
                <w:b w:val="0"/>
                <w:color w:val="1B2A41"/>
                <w:sz w:val="15"/>
              </w:rPr>
              <w:t>Planner detects shortage and evaluates redeployment/expedite.</w:t>
            </w:r>
          </w:p>
        </w:tc>
      </w:tr>
      <w:tr>
        <w:tc>
          <w:tcPr>
            <w:tcW w:type="dxa" w:w="2232"/>
            <w:vAlign w:val="center"/>
            <w:tcMar>
              <w:top w:w="70" w:type="dxa"/>
              <w:start w:w="80" w:type="dxa"/>
              <w:bottom w:w="70" w:type="dxa"/>
              <w:end w:w="80" w:type="dxa"/>
            </w:tcMar>
            <w:shd w:fill="F7F9FB"/>
          </w:tcPr>
          <w:p>
            <w:r/>
            <w:r>
              <w:rPr>
                <w:rFonts w:ascii="Aptos" w:hAnsi="Aptos"/>
                <w:b w:val="0"/>
                <w:color w:val="1B2A41"/>
                <w:sz w:val="15"/>
              </w:rPr>
              <w:t>Excess scenario</w:t>
            </w:r>
          </w:p>
        </w:tc>
        <w:tc>
          <w:tcPr>
            <w:tcW w:type="dxa" w:w="5112"/>
            <w:vAlign w:val="center"/>
            <w:tcMar>
              <w:top w:w="70" w:type="dxa"/>
              <w:start w:w="80" w:type="dxa"/>
              <w:bottom w:w="70" w:type="dxa"/>
              <w:end w:w="80" w:type="dxa"/>
            </w:tcMar>
            <w:shd w:fill="F7F9FB"/>
          </w:tcPr>
          <w:p>
            <w:r/>
            <w:r>
              <w:rPr>
                <w:rFonts w:ascii="Aptos" w:hAnsi="Aptos"/>
                <w:b w:val="0"/>
                <w:color w:val="1B2A41"/>
                <w:sz w:val="15"/>
              </w:rPr>
              <w:t>Reduce forecast after large receipt.</w:t>
            </w:r>
          </w:p>
        </w:tc>
        <w:tc>
          <w:tcPr>
            <w:tcW w:type="dxa" w:w="3096"/>
            <w:vAlign w:val="center"/>
            <w:tcMar>
              <w:top w:w="70" w:type="dxa"/>
              <w:start w:w="80" w:type="dxa"/>
              <w:bottom w:w="70" w:type="dxa"/>
              <w:end w:w="80" w:type="dxa"/>
            </w:tcMar>
            <w:shd w:fill="F7F9FB"/>
          </w:tcPr>
          <w:p>
            <w:r/>
            <w:r>
              <w:rPr>
                <w:rFonts w:ascii="Aptos" w:hAnsi="Aptos"/>
                <w:b w:val="0"/>
                <w:color w:val="1B2A41"/>
                <w:sz w:val="15"/>
              </w:rPr>
              <w:t>Planner suppresses/reduces future receipts and flags excess.</w:t>
            </w:r>
          </w:p>
        </w:tc>
      </w:tr>
      <w:tr>
        <w:tc>
          <w:tcPr>
            <w:tcW w:type="dxa" w:w="2232"/>
            <w:vAlign w:val="center"/>
            <w:tcMar>
              <w:top w:w="70" w:type="dxa"/>
              <w:start w:w="80" w:type="dxa"/>
              <w:bottom w:w="70" w:type="dxa"/>
              <w:end w:w="80" w:type="dxa"/>
            </w:tcMar>
          </w:tcPr>
          <w:p>
            <w:r/>
            <w:r>
              <w:rPr>
                <w:rFonts w:ascii="Aptos" w:hAnsi="Aptos"/>
                <w:b w:val="0"/>
                <w:color w:val="1B2A41"/>
                <w:sz w:val="15"/>
              </w:rPr>
              <w:t>Integration reconciliation</w:t>
            </w:r>
          </w:p>
        </w:tc>
        <w:tc>
          <w:tcPr>
            <w:tcW w:type="dxa" w:w="5112"/>
            <w:vAlign w:val="center"/>
            <w:tcMar>
              <w:top w:w="70" w:type="dxa"/>
              <w:start w:w="80" w:type="dxa"/>
              <w:bottom w:w="70" w:type="dxa"/>
              <w:end w:w="80" w:type="dxa"/>
            </w:tcMar>
          </w:tcPr>
          <w:p>
            <w:r/>
            <w:r>
              <w:rPr>
                <w:rFonts w:ascii="Aptos" w:hAnsi="Aptos"/>
                <w:b w:val="0"/>
                <w:color w:val="1B2A41"/>
                <w:sz w:val="15"/>
              </w:rPr>
              <w:t>Compare source object counts and target APO objects.</w:t>
            </w:r>
          </w:p>
        </w:tc>
        <w:tc>
          <w:tcPr>
            <w:tcW w:type="dxa" w:w="3096"/>
            <w:vAlign w:val="center"/>
            <w:tcMar>
              <w:top w:w="70" w:type="dxa"/>
              <w:start w:w="80" w:type="dxa"/>
              <w:bottom w:w="70" w:type="dxa"/>
              <w:end w:w="80" w:type="dxa"/>
            </w:tcMar>
          </w:tcPr>
          <w:p>
            <w:r/>
            <w:r>
              <w:rPr>
                <w:rFonts w:ascii="Aptos" w:hAnsi="Aptos"/>
                <w:b w:val="0"/>
                <w:color w:val="1B2A41"/>
                <w:sz w:val="15"/>
              </w:rPr>
              <w:t>No unexplained missing/duplicate objects.</w:t>
            </w:r>
          </w:p>
        </w:tc>
      </w:tr>
      <w:tr>
        <w:tc>
          <w:tcPr>
            <w:tcW w:type="dxa" w:w="2232"/>
            <w:vAlign w:val="center"/>
            <w:tcMar>
              <w:top w:w="70" w:type="dxa"/>
              <w:start w:w="80" w:type="dxa"/>
              <w:bottom w:w="70" w:type="dxa"/>
              <w:end w:w="80" w:type="dxa"/>
            </w:tcMar>
            <w:shd w:fill="F7F9FB"/>
          </w:tcPr>
          <w:p>
            <w:r/>
            <w:r>
              <w:rPr>
                <w:rFonts w:ascii="Aptos" w:hAnsi="Aptos"/>
                <w:b w:val="0"/>
                <w:color w:val="1B2A41"/>
                <w:sz w:val="15"/>
              </w:rPr>
              <w:t>Planning-source validity</w:t>
            </w:r>
          </w:p>
        </w:tc>
        <w:tc>
          <w:tcPr>
            <w:tcW w:type="dxa" w:w="5112"/>
            <w:vAlign w:val="center"/>
            <w:tcMar>
              <w:top w:w="70" w:type="dxa"/>
              <w:start w:w="80" w:type="dxa"/>
              <w:bottom w:w="70" w:type="dxa"/>
              <w:end w:w="80" w:type="dxa"/>
            </w:tcMar>
            <w:shd w:fill="F7F9FB"/>
          </w:tcPr>
          <w:p>
            <w:r/>
            <w:r>
              <w:rPr>
                <w:rFonts w:ascii="Aptos" w:hAnsi="Aptos"/>
                <w:b w:val="0"/>
                <w:color w:val="1B2A41"/>
                <w:sz w:val="15"/>
              </w:rPr>
              <w:t>Check every planned product has a valid supply source.</w:t>
            </w:r>
          </w:p>
        </w:tc>
        <w:tc>
          <w:tcPr>
            <w:tcW w:type="dxa" w:w="3096"/>
            <w:vAlign w:val="center"/>
            <w:tcMar>
              <w:top w:w="70" w:type="dxa"/>
              <w:start w:w="80" w:type="dxa"/>
              <w:bottom w:w="70" w:type="dxa"/>
              <w:end w:w="80" w:type="dxa"/>
            </w:tcMar>
            <w:shd w:fill="F7F9FB"/>
          </w:tcPr>
          <w:p>
            <w:r/>
            <w:r>
              <w:rPr>
                <w:rFonts w:ascii="Aptos" w:hAnsi="Aptos"/>
                <w:b w:val="0"/>
                <w:color w:val="1B2A41"/>
                <w:sz w:val="15"/>
              </w:rPr>
              <w:t>No source-missing exception for approved scope.</w:t>
            </w:r>
          </w:p>
        </w:tc>
      </w:tr>
    </w:tbl>
    <w:p>
      <w:pPr>
        <w:pStyle w:val="Heading2"/>
        <w:spacing w:before="60" w:after="100"/>
      </w:pPr>
      <w:r>
        <w:t>14.2 Estimated 30–35 hour work plan</w:t>
      </w:r>
    </w:p>
    <w:tbl>
      <w:tblPr>
        <w:tblStyle w:val="TableGrid"/>
        <w:tblW w:type="auto" w:w="0"/>
        <w:jc w:val="center"/>
        <w:tblLook w:firstColumn="1" w:firstRow="1" w:lastColumn="0" w:lastRow="0" w:noHBand="0" w:noVBand="1" w:val="04A0"/>
      </w:tblPr>
      <w:tblGrid>
        <w:gridCol w:w="5184"/>
        <w:gridCol w:w="5184"/>
      </w:tblGrid>
      <w:tr>
        <w:tc>
          <w:tcPr>
            <w:tcW w:type="dxa" w:w="7920"/>
            <w:vAlign w:val="center"/>
            <w:shd w:fill="23395B"/>
            <w:tcMar>
              <w:top w:w="70" w:type="dxa"/>
              <w:start w:w="80" w:type="dxa"/>
              <w:bottom w:w="70" w:type="dxa"/>
              <w:end w:w="80" w:type="dxa"/>
            </w:tcMar>
          </w:tcPr>
          <w:p>
            <w:pPr>
              <w:jc w:val="center"/>
            </w:pPr>
            <w:r/>
            <w:r>
              <w:rPr>
                <w:rFonts w:ascii="Aptos" w:hAnsi="Aptos"/>
                <w:b/>
                <w:color w:val="FFFFFF"/>
                <w:sz w:val="17"/>
              </w:rPr>
              <w:t>Activity</w:t>
            </w:r>
          </w:p>
        </w:tc>
        <w:tc>
          <w:tcPr>
            <w:tcW w:type="dxa" w:w="1440"/>
            <w:vAlign w:val="center"/>
            <w:shd w:fill="23395B"/>
            <w:tcMar>
              <w:top w:w="70" w:type="dxa"/>
              <w:start w:w="80" w:type="dxa"/>
              <w:bottom w:w="70" w:type="dxa"/>
              <w:end w:w="80" w:type="dxa"/>
            </w:tcMar>
          </w:tcPr>
          <w:p>
            <w:pPr>
              <w:jc w:val="center"/>
            </w:pPr>
            <w:r/>
            <w:r>
              <w:rPr>
                <w:rFonts w:ascii="Aptos" w:hAnsi="Aptos"/>
                <w:b/>
                <w:color w:val="FFFFFF"/>
                <w:sz w:val="17"/>
              </w:rPr>
              <w:t>Hours</w:t>
            </w:r>
          </w:p>
        </w:tc>
      </w:tr>
      <w:tr>
        <w:tc>
          <w:tcPr>
            <w:tcW w:type="dxa" w:w="7920"/>
            <w:vAlign w:val="center"/>
            <w:tcMar>
              <w:top w:w="70" w:type="dxa"/>
              <w:start w:w="80" w:type="dxa"/>
              <w:bottom w:w="70" w:type="dxa"/>
              <w:end w:w="80" w:type="dxa"/>
            </w:tcMar>
          </w:tcPr>
          <w:p>
            <w:r/>
            <w:r>
              <w:rPr>
                <w:rFonts w:ascii="Aptos" w:hAnsi="Aptos"/>
                <w:b w:val="0"/>
                <w:color w:val="1B2A41"/>
                <w:sz w:val="16"/>
              </w:rPr>
              <w:t>Research SAP APO master data, CIF and inventory concepts</w:t>
            </w:r>
          </w:p>
        </w:tc>
        <w:tc>
          <w:tcPr>
            <w:tcW w:type="dxa" w:w="1440"/>
            <w:vAlign w:val="center"/>
            <w:tcMar>
              <w:top w:w="70" w:type="dxa"/>
              <w:start w:w="80" w:type="dxa"/>
              <w:bottom w:w="70" w:type="dxa"/>
              <w:end w:w="80" w:type="dxa"/>
            </w:tcMar>
          </w:tcPr>
          <w:p>
            <w:r/>
            <w:r>
              <w:rPr>
                <w:rFonts w:ascii="Aptos" w:hAnsi="Aptos"/>
                <w:b w:val="0"/>
                <w:color w:val="1B2A41"/>
                <w:sz w:val="16"/>
              </w:rPr>
              <w:t>4</w:t>
            </w:r>
          </w:p>
        </w:tc>
      </w:tr>
      <w:tr>
        <w:tc>
          <w:tcPr>
            <w:tcW w:type="dxa" w:w="7920"/>
            <w:vAlign w:val="center"/>
            <w:tcMar>
              <w:top w:w="70" w:type="dxa"/>
              <w:start w:w="80" w:type="dxa"/>
              <w:bottom w:w="70" w:type="dxa"/>
              <w:end w:w="80" w:type="dxa"/>
            </w:tcMar>
            <w:shd w:fill="F7F9FB"/>
          </w:tcPr>
          <w:p>
            <w:r/>
            <w:r>
              <w:rPr>
                <w:rFonts w:ascii="Aptos" w:hAnsi="Aptos"/>
                <w:b w:val="0"/>
                <w:color w:val="1B2A41"/>
                <w:sz w:val="16"/>
              </w:rPr>
              <w:t>Scenario baseline and data-field inventory</w:t>
            </w:r>
          </w:p>
        </w:tc>
        <w:tc>
          <w:tcPr>
            <w:tcW w:type="dxa" w:w="1440"/>
            <w:vAlign w:val="center"/>
            <w:tcMar>
              <w:top w:w="70" w:type="dxa"/>
              <w:start w:w="80" w:type="dxa"/>
              <w:bottom w:w="70" w:type="dxa"/>
              <w:end w:w="80" w:type="dxa"/>
            </w:tcMar>
            <w:shd w:fill="F7F9FB"/>
          </w:tcPr>
          <w:p>
            <w:r/>
            <w:r>
              <w:rPr>
                <w:rFonts w:ascii="Aptos" w:hAnsi="Aptos"/>
                <w:b w:val="0"/>
                <w:color w:val="1B2A41"/>
                <w:sz w:val="16"/>
              </w:rPr>
              <w:t>3</w:t>
            </w:r>
          </w:p>
        </w:tc>
      </w:tr>
      <w:tr>
        <w:tc>
          <w:tcPr>
            <w:tcW w:type="dxa" w:w="7920"/>
            <w:vAlign w:val="center"/>
            <w:tcMar>
              <w:top w:w="70" w:type="dxa"/>
              <w:start w:w="80" w:type="dxa"/>
              <w:bottom w:w="70" w:type="dxa"/>
              <w:end w:w="80" w:type="dxa"/>
            </w:tcMar>
          </w:tcPr>
          <w:p>
            <w:r/>
            <w:r>
              <w:rPr>
                <w:rFonts w:ascii="Aptos" w:hAnsi="Aptos"/>
                <w:b w:val="0"/>
                <w:color w:val="1B2A41"/>
                <w:sz w:val="16"/>
              </w:rPr>
              <w:t>Data profiling and cleansing-rule design</w:t>
            </w:r>
          </w:p>
        </w:tc>
        <w:tc>
          <w:tcPr>
            <w:tcW w:type="dxa" w:w="1440"/>
            <w:vAlign w:val="center"/>
            <w:tcMar>
              <w:top w:w="70" w:type="dxa"/>
              <w:start w:w="80" w:type="dxa"/>
              <w:bottom w:w="70" w:type="dxa"/>
              <w:end w:w="80" w:type="dxa"/>
            </w:tcMar>
          </w:tcPr>
          <w:p>
            <w:r/>
            <w:r>
              <w:rPr>
                <w:rFonts w:ascii="Aptos" w:hAnsi="Aptos"/>
                <w:b w:val="0"/>
                <w:color w:val="1B2A41"/>
                <w:sz w:val="16"/>
              </w:rPr>
              <w:t>5</w:t>
            </w:r>
          </w:p>
        </w:tc>
      </w:tr>
      <w:tr>
        <w:tc>
          <w:tcPr>
            <w:tcW w:type="dxa" w:w="7920"/>
            <w:vAlign w:val="center"/>
            <w:tcMar>
              <w:top w:w="70" w:type="dxa"/>
              <w:start w:w="80" w:type="dxa"/>
              <w:bottom w:w="70" w:type="dxa"/>
              <w:end w:w="80" w:type="dxa"/>
            </w:tcMar>
            <w:shd w:fill="F7F9FB"/>
          </w:tcPr>
          <w:p>
            <w:r/>
            <w:r>
              <w:rPr>
                <w:rFonts w:ascii="Aptos" w:hAnsi="Aptos"/>
                <w:b w:val="0"/>
                <w:color w:val="1B2A41"/>
                <w:sz w:val="16"/>
              </w:rPr>
              <w:t>Mapping strategy and migration plan</w:t>
            </w:r>
          </w:p>
        </w:tc>
        <w:tc>
          <w:tcPr>
            <w:tcW w:type="dxa" w:w="1440"/>
            <w:vAlign w:val="center"/>
            <w:tcMar>
              <w:top w:w="70" w:type="dxa"/>
              <w:start w:w="80" w:type="dxa"/>
              <w:bottom w:w="70" w:type="dxa"/>
              <w:end w:w="80" w:type="dxa"/>
            </w:tcMar>
            <w:shd w:fill="F7F9FB"/>
          </w:tcPr>
          <w:p>
            <w:r/>
            <w:r>
              <w:rPr>
                <w:rFonts w:ascii="Aptos" w:hAnsi="Aptos"/>
                <w:b w:val="0"/>
                <w:color w:val="1B2A41"/>
                <w:sz w:val="16"/>
              </w:rPr>
              <w:t>4</w:t>
            </w:r>
          </w:p>
        </w:tc>
      </w:tr>
      <w:tr>
        <w:tc>
          <w:tcPr>
            <w:tcW w:type="dxa" w:w="7920"/>
            <w:vAlign w:val="center"/>
            <w:tcMar>
              <w:top w:w="70" w:type="dxa"/>
              <w:start w:w="80" w:type="dxa"/>
              <w:bottom w:w="70" w:type="dxa"/>
              <w:end w:w="80" w:type="dxa"/>
            </w:tcMar>
          </w:tcPr>
          <w:p>
            <w:r/>
            <w:r>
              <w:rPr>
                <w:rFonts w:ascii="Aptos" w:hAnsi="Aptos"/>
                <w:b w:val="0"/>
                <w:color w:val="1B2A41"/>
                <w:sz w:val="16"/>
              </w:rPr>
              <w:t>SAP SCM configuration guideline documentation</w:t>
            </w:r>
          </w:p>
        </w:tc>
        <w:tc>
          <w:tcPr>
            <w:tcW w:type="dxa" w:w="1440"/>
            <w:vAlign w:val="center"/>
            <w:tcMar>
              <w:top w:w="70" w:type="dxa"/>
              <w:start w:w="80" w:type="dxa"/>
              <w:bottom w:w="70" w:type="dxa"/>
              <w:end w:w="80" w:type="dxa"/>
            </w:tcMar>
          </w:tcPr>
          <w:p>
            <w:r/>
            <w:r>
              <w:rPr>
                <w:rFonts w:ascii="Aptos" w:hAnsi="Aptos"/>
                <w:b w:val="0"/>
                <w:color w:val="1B2A41"/>
                <w:sz w:val="16"/>
              </w:rPr>
              <w:t>5</w:t>
            </w:r>
          </w:p>
        </w:tc>
      </w:tr>
      <w:tr>
        <w:tc>
          <w:tcPr>
            <w:tcW w:type="dxa" w:w="7920"/>
            <w:vAlign w:val="center"/>
            <w:tcMar>
              <w:top w:w="70" w:type="dxa"/>
              <w:start w:w="80" w:type="dxa"/>
              <w:bottom w:w="70" w:type="dxa"/>
              <w:end w:w="80" w:type="dxa"/>
            </w:tcMar>
            <w:shd w:fill="F7F9FB"/>
          </w:tcPr>
          <w:p>
            <w:r/>
            <w:r>
              <w:rPr>
                <w:rFonts w:ascii="Aptos" w:hAnsi="Aptos"/>
                <w:b w:val="0"/>
                <w:color w:val="1B2A41"/>
                <w:sz w:val="16"/>
              </w:rPr>
              <w:t>Inventory optimization calculations and segmentation</w:t>
            </w:r>
          </w:p>
        </w:tc>
        <w:tc>
          <w:tcPr>
            <w:tcW w:type="dxa" w:w="1440"/>
            <w:vAlign w:val="center"/>
            <w:tcMar>
              <w:top w:w="70" w:type="dxa"/>
              <w:start w:w="80" w:type="dxa"/>
              <w:bottom w:w="70" w:type="dxa"/>
              <w:end w:w="80" w:type="dxa"/>
            </w:tcMar>
            <w:shd w:fill="F7F9FB"/>
          </w:tcPr>
          <w:p>
            <w:r/>
            <w:r>
              <w:rPr>
                <w:rFonts w:ascii="Aptos" w:hAnsi="Aptos"/>
                <w:b w:val="0"/>
                <w:color w:val="1B2A41"/>
                <w:sz w:val="16"/>
              </w:rPr>
              <w:t>4</w:t>
            </w:r>
          </w:p>
        </w:tc>
      </w:tr>
      <w:tr>
        <w:tc>
          <w:tcPr>
            <w:tcW w:type="dxa" w:w="7920"/>
            <w:vAlign w:val="center"/>
            <w:tcMar>
              <w:top w:w="70" w:type="dxa"/>
              <w:start w:w="80" w:type="dxa"/>
              <w:bottom w:w="70" w:type="dxa"/>
              <w:end w:w="80" w:type="dxa"/>
            </w:tcMar>
          </w:tcPr>
          <w:p>
            <w:r/>
            <w:r>
              <w:rPr>
                <w:rFonts w:ascii="Aptos" w:hAnsi="Aptos"/>
                <w:b w:val="0"/>
                <w:color w:val="1B2A41"/>
                <w:sz w:val="16"/>
              </w:rPr>
              <w:t>Stock-out and excess-stock simulations</w:t>
            </w:r>
          </w:p>
        </w:tc>
        <w:tc>
          <w:tcPr>
            <w:tcW w:type="dxa" w:w="1440"/>
            <w:vAlign w:val="center"/>
            <w:tcMar>
              <w:top w:w="70" w:type="dxa"/>
              <w:start w:w="80" w:type="dxa"/>
              <w:bottom w:w="70" w:type="dxa"/>
              <w:end w:w="80" w:type="dxa"/>
            </w:tcMar>
          </w:tcPr>
          <w:p>
            <w:r/>
            <w:r>
              <w:rPr>
                <w:rFonts w:ascii="Aptos" w:hAnsi="Aptos"/>
                <w:b w:val="0"/>
                <w:color w:val="1B2A41"/>
                <w:sz w:val="16"/>
              </w:rPr>
              <w:t>3</w:t>
            </w:r>
          </w:p>
        </w:tc>
      </w:tr>
      <w:tr>
        <w:tc>
          <w:tcPr>
            <w:tcW w:type="dxa" w:w="7920"/>
            <w:vAlign w:val="center"/>
            <w:tcMar>
              <w:top w:w="70" w:type="dxa"/>
              <w:start w:w="80" w:type="dxa"/>
              <w:bottom w:w="70" w:type="dxa"/>
              <w:end w:w="80" w:type="dxa"/>
            </w:tcMar>
            <w:shd w:fill="F7F9FB"/>
          </w:tcPr>
          <w:p>
            <w:r/>
            <w:r>
              <w:rPr>
                <w:rFonts w:ascii="Aptos" w:hAnsi="Aptos"/>
                <w:b w:val="0"/>
                <w:color w:val="1B2A41"/>
                <w:sz w:val="16"/>
              </w:rPr>
              <w:t>KPI, risk, governance and validation sections</w:t>
            </w:r>
          </w:p>
        </w:tc>
        <w:tc>
          <w:tcPr>
            <w:tcW w:type="dxa" w:w="1440"/>
            <w:vAlign w:val="center"/>
            <w:tcMar>
              <w:top w:w="70" w:type="dxa"/>
              <w:start w:w="80" w:type="dxa"/>
              <w:bottom w:w="70" w:type="dxa"/>
              <w:end w:w="80" w:type="dxa"/>
            </w:tcMar>
            <w:shd w:fill="F7F9FB"/>
          </w:tcPr>
          <w:p>
            <w:r/>
            <w:r>
              <w:rPr>
                <w:rFonts w:ascii="Aptos" w:hAnsi="Aptos"/>
                <w:b w:val="0"/>
                <w:color w:val="1B2A41"/>
                <w:sz w:val="16"/>
              </w:rPr>
              <w:t>3</w:t>
            </w:r>
          </w:p>
        </w:tc>
      </w:tr>
      <w:tr>
        <w:tc>
          <w:tcPr>
            <w:tcW w:type="dxa" w:w="7920"/>
            <w:vAlign w:val="center"/>
            <w:tcMar>
              <w:top w:w="70" w:type="dxa"/>
              <w:start w:w="80" w:type="dxa"/>
              <w:bottom w:w="70" w:type="dxa"/>
              <w:end w:w="80" w:type="dxa"/>
            </w:tcMar>
          </w:tcPr>
          <w:p>
            <w:r/>
            <w:r>
              <w:rPr>
                <w:rFonts w:ascii="Aptos" w:hAnsi="Aptos"/>
                <w:b w:val="0"/>
                <w:color w:val="1B2A41"/>
                <w:sz w:val="16"/>
              </w:rPr>
              <w:t>Report formatting, diagrams and final review</w:t>
            </w:r>
          </w:p>
        </w:tc>
        <w:tc>
          <w:tcPr>
            <w:tcW w:type="dxa" w:w="1440"/>
            <w:vAlign w:val="center"/>
            <w:tcMar>
              <w:top w:w="70" w:type="dxa"/>
              <w:start w:w="80" w:type="dxa"/>
              <w:bottom w:w="70" w:type="dxa"/>
              <w:end w:w="80" w:type="dxa"/>
            </w:tcMar>
          </w:tcPr>
          <w:p>
            <w:r/>
            <w:r>
              <w:rPr>
                <w:rFonts w:ascii="Aptos" w:hAnsi="Aptos"/>
                <w:b w:val="0"/>
                <w:color w:val="1B2A41"/>
                <w:sz w:val="16"/>
              </w:rPr>
              <w:t>2</w:t>
            </w:r>
          </w:p>
        </w:tc>
      </w:tr>
      <w:tr>
        <w:tc>
          <w:tcPr>
            <w:tcW w:type="dxa" w:w="7920"/>
            <w:vAlign w:val="center"/>
            <w:tcMar>
              <w:top w:w="70" w:type="dxa"/>
              <w:start w:w="80" w:type="dxa"/>
              <w:bottom w:w="70" w:type="dxa"/>
              <w:end w:w="80" w:type="dxa"/>
            </w:tcMar>
            <w:shd w:fill="F7F9FB"/>
          </w:tcPr>
          <w:p>
            <w:r/>
            <w:r>
              <w:rPr>
                <w:rFonts w:ascii="Aptos" w:hAnsi="Aptos"/>
                <w:b w:val="0"/>
                <w:color w:val="1B2A41"/>
                <w:sz w:val="16"/>
              </w:rPr>
              <w:t>Total estimated effort</w:t>
            </w:r>
          </w:p>
        </w:tc>
        <w:tc>
          <w:tcPr>
            <w:tcW w:type="dxa" w:w="1440"/>
            <w:vAlign w:val="center"/>
            <w:tcMar>
              <w:top w:w="70" w:type="dxa"/>
              <w:start w:w="80" w:type="dxa"/>
              <w:bottom w:w="70" w:type="dxa"/>
              <w:end w:w="80" w:type="dxa"/>
            </w:tcMar>
            <w:shd w:fill="F7F9FB"/>
          </w:tcPr>
          <w:p>
            <w:r/>
            <w:r>
              <w:rPr>
                <w:rFonts w:ascii="Aptos" w:hAnsi="Aptos"/>
                <w:b w:val="0"/>
                <w:color w:val="1B2A41"/>
                <w:sz w:val="16"/>
              </w:rPr>
              <w:t>33</w:t>
            </w:r>
          </w:p>
        </w:tc>
      </w:tr>
    </w:tbl>
    <w:p>
      <w:pPr>
        <w:spacing w:after="100" w:line="259" w:lineRule="auto"/>
      </w:pPr>
      <w:r>
        <w:rPr>
          <w:color w:val="1B2A41"/>
          <w:sz w:val="20"/>
        </w:rPr>
        <w:t>This is an estimated effort plan for the assignment. It is included to show how I would allocate the 30–35 hours indicated in the task brief, not as a claim of system execution time.</w:t>
      </w:r>
    </w:p>
    <w:p>
      <w:r>
        <w:br w:type="page"/>
      </w:r>
    </w:p>
    <w:p>
      <w:pPr>
        <w:pStyle w:val="Heading1"/>
        <w:spacing w:before="60" w:after="100"/>
      </w:pPr>
      <w:r>
        <w:t>15. Conclusion and References</w:t>
      </w:r>
    </w:p>
    <w:p>
      <w:pPr>
        <w:spacing w:after="100" w:line="259" w:lineRule="auto"/>
      </w:pPr>
      <w:r>
        <w:rPr>
          <w:color w:val="1B2A41"/>
          <w:sz w:val="20"/>
        </w:rPr>
        <w:t>This Week 2 exercise showed me that inventory optimization is strongly dependent on master-data quality. A planner can choose a sophisticated safety-stock or replenishment method, but the result will still be poor if product/location relationships, units of measure, lead times, calendars, sources or stock data are inconsistent.</w:t>
      </w:r>
    </w:p>
    <w:p>
      <w:pPr>
        <w:spacing w:after="100" w:line="259" w:lineRule="auto"/>
      </w:pPr>
      <w:r>
        <w:rPr>
          <w:color w:val="1B2A41"/>
          <w:sz w:val="20"/>
        </w:rPr>
        <w:t>For the Deccan Harvest Foods scenario, I would first establish data ownership and reconciliation, then validate the SAP APO master-data objects, and only after that tune safety stock, safety days, lot sizes and sourcing parameters. The two simulations also show why a network response is important: a shortage at one DC and excess at another should be assessed together before increasing total inventory.</w:t>
      </w:r>
    </w:p>
    <w:p>
      <w:pPr>
        <w:spacing w:after="100" w:line="259" w:lineRule="auto"/>
      </w:pPr>
      <w:r>
        <w:rPr>
          <w:color w:val="1B2A41"/>
          <w:sz w:val="20"/>
        </w:rPr>
        <w:t>My main learning from the task is that master data management and inventory optimization should operate as one feedback loop. Data quality determines whether the plan is trustworthy, while KPI results reveal which master data or planning parameters need to be corrected next.</w:t>
      </w:r>
    </w:p>
    <w:p>
      <w:pPr>
        <w:pStyle w:val="Heading2"/>
        <w:spacing w:before="60" w:after="100"/>
      </w:pPr>
      <w:r>
        <w:t>References used</w:t>
      </w:r>
    </w:p>
    <w:p>
      <w:pPr>
        <w:spacing w:after="60"/>
      </w:pPr>
      <w:r>
        <w:rPr>
          <w:b/>
          <w:color w:val="1B2A41"/>
          <w:sz w:val="17"/>
        </w:rPr>
        <w:t xml:space="preserve">SAP Help Portal – Supply Network Planning Process – </w:t>
      </w:r>
      <w:hyperlink r:id="rId13">
        <w:r>
          <w:rPr>
            <w:color w:val="0563C1"/>
            <w:u w:val="single"/>
          </w:rPr>
          <w:t>SAP Help</w:t>
        </w:r>
      </w:hyperlink>
      <w:r>
        <w:rPr>
          <w:color w:val="5B6573"/>
          <w:sz w:val="16"/>
        </w:rPr>
        <w:t xml:space="preserve"> (accessed 06 September 2026)</w:t>
      </w:r>
    </w:p>
    <w:p>
      <w:pPr>
        <w:spacing w:after="60"/>
      </w:pPr>
      <w:r>
        <w:rPr>
          <w:b/>
          <w:color w:val="1B2A41"/>
          <w:sz w:val="17"/>
        </w:rPr>
        <w:t xml:space="preserve">SAP Help Portal – Integration via Core Interface (CIF) – </w:t>
      </w:r>
      <w:hyperlink r:id="rId14">
        <w:r>
          <w:rPr>
            <w:color w:val="0563C1"/>
            <w:u w:val="single"/>
          </w:rPr>
          <w:t>SAP Help</w:t>
        </w:r>
      </w:hyperlink>
      <w:r>
        <w:rPr>
          <w:color w:val="5B6573"/>
          <w:sz w:val="16"/>
        </w:rPr>
        <w:t xml:space="preserve"> (accessed 06 September 2026)</w:t>
      </w:r>
    </w:p>
    <w:p>
      <w:pPr>
        <w:spacing w:after="60"/>
      </w:pPr>
      <w:r>
        <w:rPr>
          <w:b/>
          <w:color w:val="1B2A41"/>
          <w:sz w:val="17"/>
        </w:rPr>
        <w:t xml:space="preserve">SAP Help Portal – Integration of Master Data – </w:t>
      </w:r>
      <w:hyperlink r:id="rId15">
        <w:r>
          <w:rPr>
            <w:color w:val="0563C1"/>
            <w:u w:val="single"/>
          </w:rPr>
          <w:t>SAP Help</w:t>
        </w:r>
      </w:hyperlink>
      <w:r>
        <w:rPr>
          <w:color w:val="5B6573"/>
          <w:sz w:val="16"/>
        </w:rPr>
        <w:t xml:space="preserve"> (accessed 06 September 2026)</w:t>
      </w:r>
    </w:p>
    <w:p>
      <w:pPr>
        <w:spacing w:after="60"/>
      </w:pPr>
      <w:r>
        <w:rPr>
          <w:b/>
          <w:color w:val="1B2A41"/>
          <w:sz w:val="17"/>
        </w:rPr>
        <w:t xml:space="preserve">SAP Help Portal – Safety Stock Planning – </w:t>
      </w:r>
      <w:hyperlink r:id="rId16">
        <w:r>
          <w:rPr>
            <w:color w:val="0563C1"/>
            <w:u w:val="single"/>
          </w:rPr>
          <w:t>SAP Help</w:t>
        </w:r>
      </w:hyperlink>
      <w:r>
        <w:rPr>
          <w:color w:val="5B6573"/>
          <w:sz w:val="16"/>
        </w:rPr>
        <w:t xml:space="preserve"> (accessed 06 September 2026)</w:t>
      </w:r>
    </w:p>
    <w:p>
      <w:pPr>
        <w:spacing w:after="60"/>
      </w:pPr>
      <w:r>
        <w:rPr>
          <w:b/>
          <w:color w:val="1B2A41"/>
          <w:sz w:val="17"/>
        </w:rPr>
        <w:t xml:space="preserve">SAP Help Portal – Core Interface Integration Model – </w:t>
      </w:r>
      <w:hyperlink r:id="rId17">
        <w:r>
          <w:rPr>
            <w:color w:val="0563C1"/>
            <w:u w:val="single"/>
          </w:rPr>
          <w:t>SAP Help</w:t>
        </w:r>
      </w:hyperlink>
      <w:r>
        <w:rPr>
          <w:color w:val="5B6573"/>
          <w:sz w:val="16"/>
        </w:rPr>
        <w:t xml:space="preserve"> (accessed 06 September 2026)</w:t>
      </w:r>
    </w:p>
    <w:p>
      <w:pPr>
        <w:spacing w:after="60"/>
      </w:pPr>
      <w:r>
        <w:rPr>
          <w:b/>
          <w:color w:val="1B2A41"/>
          <w:sz w:val="17"/>
        </w:rPr>
        <w:t xml:space="preserve">SAP Help Portal – List of Master Data Related Transactions – </w:t>
      </w:r>
      <w:hyperlink r:id="rId18">
        <w:r>
          <w:rPr>
            <w:color w:val="0563C1"/>
            <w:u w:val="single"/>
          </w:rPr>
          <w:t>SAP Help</w:t>
        </w:r>
      </w:hyperlink>
      <w:r>
        <w:rPr>
          <w:color w:val="5B6573"/>
          <w:sz w:val="16"/>
        </w:rPr>
        <w:t xml:space="preserve"> (accessed 06 September 2026)</w:t>
      </w:r>
    </w:p>
    <w:p>
      <w:r>
        <w:br w:type="page"/>
      </w:r>
    </w:p>
    <w:p>
      <w:pPr>
        <w:pStyle w:val="Heading1"/>
        <w:spacing w:before="60" w:after="100"/>
      </w:pPr>
      <w:r>
        <w:t>Appendix A. Field Dictionary and Calculation Examples</w:t>
      </w:r>
    </w:p>
    <w:p>
      <w:pPr>
        <w:pStyle w:val="Heading2"/>
        <w:spacing w:before="60" w:after="100"/>
      </w:pPr>
      <w:r>
        <w:t>A.1 Example field dictionary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376"/>
            <w:vAlign w:val="center"/>
            <w:shd w:fill="23395B"/>
            <w:tcMar>
              <w:top w:w="70" w:type="dxa"/>
              <w:start w:w="80" w:type="dxa"/>
              <w:bottom w:w="70" w:type="dxa"/>
              <w:end w:w="80" w:type="dxa"/>
            </w:tcMar>
          </w:tcPr>
          <w:p>
            <w:pPr>
              <w:jc w:val="center"/>
            </w:pPr>
            <w:r/>
            <w:r>
              <w:rPr>
                <w:rFonts w:ascii="Aptos" w:hAnsi="Aptos"/>
                <w:b/>
                <w:color w:val="FFFFFF"/>
                <w:sz w:val="17"/>
              </w:rPr>
              <w:t>Field</w:t>
            </w:r>
          </w:p>
        </w:tc>
        <w:tc>
          <w:tcPr>
            <w:tcW w:type="dxa" w:w="2304"/>
            <w:vAlign w:val="center"/>
            <w:shd w:fill="23395B"/>
            <w:tcMar>
              <w:top w:w="70" w:type="dxa"/>
              <w:start w:w="80" w:type="dxa"/>
              <w:bottom w:w="70" w:type="dxa"/>
              <w:end w:w="80" w:type="dxa"/>
            </w:tcMar>
          </w:tcPr>
          <w:p>
            <w:pPr>
              <w:jc w:val="center"/>
            </w:pPr>
            <w:r/>
            <w:r>
              <w:rPr>
                <w:rFonts w:ascii="Aptos" w:hAnsi="Aptos"/>
                <w:b/>
                <w:color w:val="FFFFFF"/>
                <w:sz w:val="17"/>
              </w:rPr>
              <w:t>Owner</w:t>
            </w:r>
          </w:p>
        </w:tc>
        <w:tc>
          <w:tcPr>
            <w:tcW w:type="dxa" w:w="1440"/>
            <w:vAlign w:val="center"/>
            <w:shd w:fill="23395B"/>
            <w:tcMar>
              <w:top w:w="70" w:type="dxa"/>
              <w:start w:w="80" w:type="dxa"/>
              <w:bottom w:w="70" w:type="dxa"/>
              <w:end w:w="80" w:type="dxa"/>
            </w:tcMar>
          </w:tcPr>
          <w:p>
            <w:pPr>
              <w:jc w:val="center"/>
            </w:pPr>
            <w:r/>
            <w:r>
              <w:rPr>
                <w:rFonts w:ascii="Aptos" w:hAnsi="Aptos"/>
                <w:b/>
                <w:color w:val="FFFFFF"/>
                <w:sz w:val="17"/>
              </w:rPr>
              <w:t>Mandatory</w:t>
            </w:r>
          </w:p>
        </w:tc>
        <w:tc>
          <w:tcPr>
            <w:tcW w:type="dxa" w:w="4680"/>
            <w:vAlign w:val="center"/>
            <w:shd w:fill="23395B"/>
            <w:tcMar>
              <w:top w:w="70" w:type="dxa"/>
              <w:start w:w="80" w:type="dxa"/>
              <w:bottom w:w="70" w:type="dxa"/>
              <w:end w:w="80" w:type="dxa"/>
            </w:tcMar>
          </w:tcPr>
          <w:p>
            <w:pPr>
              <w:jc w:val="center"/>
            </w:pPr>
            <w:r/>
            <w:r>
              <w:rPr>
                <w:rFonts w:ascii="Aptos" w:hAnsi="Aptos"/>
                <w:b/>
                <w:color w:val="FFFFFF"/>
                <w:sz w:val="17"/>
              </w:rPr>
              <w:t>Validation example</w:t>
            </w:r>
          </w:p>
        </w:tc>
      </w:tr>
      <w:tr>
        <w:tc>
          <w:tcPr>
            <w:tcW w:type="dxa" w:w="2376"/>
            <w:vAlign w:val="center"/>
            <w:tcMar>
              <w:top w:w="70" w:type="dxa"/>
              <w:start w:w="80" w:type="dxa"/>
              <w:bottom w:w="70" w:type="dxa"/>
              <w:end w:w="80" w:type="dxa"/>
            </w:tcMar>
          </w:tcPr>
          <w:p>
            <w:r/>
            <w:r>
              <w:rPr>
                <w:rFonts w:ascii="Aptos" w:hAnsi="Aptos"/>
                <w:b w:val="0"/>
                <w:color w:val="1B2A41"/>
                <w:sz w:val="15"/>
              </w:rPr>
              <w:t>Product ID</w:t>
            </w:r>
          </w:p>
        </w:tc>
        <w:tc>
          <w:tcPr>
            <w:tcW w:type="dxa" w:w="2304"/>
            <w:vAlign w:val="center"/>
            <w:tcMar>
              <w:top w:w="70" w:type="dxa"/>
              <w:start w:w="80" w:type="dxa"/>
              <w:bottom w:w="70" w:type="dxa"/>
              <w:end w:w="80" w:type="dxa"/>
            </w:tcMar>
          </w:tcPr>
          <w:p>
            <w:r/>
            <w:r>
              <w:rPr>
                <w:rFonts w:ascii="Aptos" w:hAnsi="Aptos"/>
                <w:b w:val="0"/>
                <w:color w:val="1B2A41"/>
                <w:sz w:val="15"/>
              </w:rPr>
              <w:t>Master Data</w:t>
            </w:r>
          </w:p>
        </w:tc>
        <w:tc>
          <w:tcPr>
            <w:tcW w:type="dxa" w:w="1440"/>
            <w:vAlign w:val="center"/>
            <w:tcMar>
              <w:top w:w="70" w:type="dxa"/>
              <w:start w:w="80" w:type="dxa"/>
              <w:bottom w:w="70" w:type="dxa"/>
              <w:end w:w="80" w:type="dxa"/>
            </w:tcMar>
          </w:tcPr>
          <w:p>
            <w:r/>
            <w:r>
              <w:rPr>
                <w:rFonts w:ascii="Aptos" w:hAnsi="Aptos"/>
                <w:b w:val="0"/>
                <w:color w:val="1B2A41"/>
                <w:sz w:val="15"/>
              </w:rPr>
              <w:t>Yes</w:t>
            </w:r>
          </w:p>
        </w:tc>
        <w:tc>
          <w:tcPr>
            <w:tcW w:type="dxa" w:w="4680"/>
            <w:vAlign w:val="center"/>
            <w:tcMar>
              <w:top w:w="70" w:type="dxa"/>
              <w:start w:w="80" w:type="dxa"/>
              <w:bottom w:w="70" w:type="dxa"/>
              <w:end w:w="80" w:type="dxa"/>
            </w:tcMar>
          </w:tcPr>
          <w:p>
            <w:r/>
            <w:r>
              <w:rPr>
                <w:rFonts w:ascii="Aptos" w:hAnsi="Aptos"/>
                <w:b w:val="0"/>
                <w:color w:val="1B2A41"/>
                <w:sz w:val="15"/>
              </w:rPr>
              <w:t>Unique and active in planning scope.</w:t>
            </w:r>
          </w:p>
        </w:tc>
      </w:tr>
      <w:tr>
        <w:tc>
          <w:tcPr>
            <w:tcW w:type="dxa" w:w="2376"/>
            <w:vAlign w:val="center"/>
            <w:tcMar>
              <w:top w:w="70" w:type="dxa"/>
              <w:start w:w="80" w:type="dxa"/>
              <w:bottom w:w="70" w:type="dxa"/>
              <w:end w:w="80" w:type="dxa"/>
            </w:tcMar>
            <w:shd w:fill="F7F9FB"/>
          </w:tcPr>
          <w:p>
            <w:r/>
            <w:r>
              <w:rPr>
                <w:rFonts w:ascii="Aptos" w:hAnsi="Aptos"/>
                <w:b w:val="0"/>
                <w:color w:val="1B2A41"/>
                <w:sz w:val="15"/>
              </w:rPr>
              <w:t>Base UoM</w:t>
            </w:r>
          </w:p>
        </w:tc>
        <w:tc>
          <w:tcPr>
            <w:tcW w:type="dxa" w:w="2304"/>
            <w:vAlign w:val="center"/>
            <w:tcMar>
              <w:top w:w="70" w:type="dxa"/>
              <w:start w:w="80" w:type="dxa"/>
              <w:bottom w:w="70" w:type="dxa"/>
              <w:end w:w="80" w:type="dxa"/>
            </w:tcMar>
            <w:shd w:fill="F7F9FB"/>
          </w:tcPr>
          <w:p>
            <w:r/>
            <w:r>
              <w:rPr>
                <w:rFonts w:ascii="Aptos" w:hAnsi="Aptos"/>
                <w:b w:val="0"/>
                <w:color w:val="1B2A41"/>
                <w:sz w:val="15"/>
              </w:rPr>
              <w:t>Master Data / Finance</w:t>
            </w:r>
          </w:p>
        </w:tc>
        <w:tc>
          <w:tcPr>
            <w:tcW w:type="dxa" w:w="1440"/>
            <w:vAlign w:val="center"/>
            <w:tcMar>
              <w:top w:w="70" w:type="dxa"/>
              <w:start w:w="80" w:type="dxa"/>
              <w:bottom w:w="70" w:type="dxa"/>
              <w:end w:w="80" w:type="dxa"/>
            </w:tcMar>
            <w:shd w:fill="F7F9FB"/>
          </w:tcPr>
          <w:p>
            <w:r/>
            <w:r>
              <w:rPr>
                <w:rFonts w:ascii="Aptos" w:hAnsi="Aptos"/>
                <w:b w:val="0"/>
                <w:color w:val="1B2A41"/>
                <w:sz w:val="15"/>
              </w:rPr>
              <w:t>Yes</w:t>
            </w:r>
          </w:p>
        </w:tc>
        <w:tc>
          <w:tcPr>
            <w:tcW w:type="dxa" w:w="4680"/>
            <w:vAlign w:val="center"/>
            <w:tcMar>
              <w:top w:w="70" w:type="dxa"/>
              <w:start w:w="80" w:type="dxa"/>
              <w:bottom w:w="70" w:type="dxa"/>
              <w:end w:w="80" w:type="dxa"/>
            </w:tcMar>
            <w:shd w:fill="F7F9FB"/>
          </w:tcPr>
          <w:p>
            <w:r/>
            <w:r>
              <w:rPr>
                <w:rFonts w:ascii="Aptos" w:hAnsi="Aptos"/>
                <w:b w:val="0"/>
                <w:color w:val="1B2A41"/>
                <w:sz w:val="15"/>
              </w:rPr>
              <w:t>Valid unit and approved conversion.</w:t>
            </w:r>
          </w:p>
        </w:tc>
      </w:tr>
      <w:tr>
        <w:tc>
          <w:tcPr>
            <w:tcW w:type="dxa" w:w="2376"/>
            <w:vAlign w:val="center"/>
            <w:tcMar>
              <w:top w:w="70" w:type="dxa"/>
              <w:start w:w="80" w:type="dxa"/>
              <w:bottom w:w="70" w:type="dxa"/>
              <w:end w:w="80" w:type="dxa"/>
            </w:tcMar>
          </w:tcPr>
          <w:p>
            <w:r/>
            <w:r>
              <w:rPr>
                <w:rFonts w:ascii="Aptos" w:hAnsi="Aptos"/>
                <w:b w:val="0"/>
                <w:color w:val="1B2A41"/>
                <w:sz w:val="15"/>
              </w:rPr>
              <w:t>Location ID / type</w:t>
            </w:r>
          </w:p>
        </w:tc>
        <w:tc>
          <w:tcPr>
            <w:tcW w:type="dxa" w:w="2304"/>
            <w:vAlign w:val="center"/>
            <w:tcMar>
              <w:top w:w="70" w:type="dxa"/>
              <w:start w:w="80" w:type="dxa"/>
              <w:bottom w:w="70" w:type="dxa"/>
              <w:end w:w="80" w:type="dxa"/>
            </w:tcMar>
          </w:tcPr>
          <w:p>
            <w:r/>
            <w:r>
              <w:rPr>
                <w:rFonts w:ascii="Aptos" w:hAnsi="Aptos"/>
                <w:b w:val="0"/>
                <w:color w:val="1B2A41"/>
                <w:sz w:val="15"/>
              </w:rPr>
              <w:t>Logistics</w:t>
            </w:r>
          </w:p>
        </w:tc>
        <w:tc>
          <w:tcPr>
            <w:tcW w:type="dxa" w:w="1440"/>
            <w:vAlign w:val="center"/>
            <w:tcMar>
              <w:top w:w="70" w:type="dxa"/>
              <w:start w:w="80" w:type="dxa"/>
              <w:bottom w:w="70" w:type="dxa"/>
              <w:end w:w="80" w:type="dxa"/>
            </w:tcMar>
          </w:tcPr>
          <w:p>
            <w:r/>
            <w:r>
              <w:rPr>
                <w:rFonts w:ascii="Aptos" w:hAnsi="Aptos"/>
                <w:b w:val="0"/>
                <w:color w:val="1B2A41"/>
                <w:sz w:val="15"/>
              </w:rPr>
              <w:t>Yes</w:t>
            </w:r>
          </w:p>
        </w:tc>
        <w:tc>
          <w:tcPr>
            <w:tcW w:type="dxa" w:w="4680"/>
            <w:vAlign w:val="center"/>
            <w:tcMar>
              <w:top w:w="70" w:type="dxa"/>
              <w:start w:w="80" w:type="dxa"/>
              <w:bottom w:w="70" w:type="dxa"/>
              <w:end w:w="80" w:type="dxa"/>
            </w:tcMar>
          </w:tcPr>
          <w:p>
            <w:r/>
            <w:r>
              <w:rPr>
                <w:rFonts w:ascii="Aptos" w:hAnsi="Aptos"/>
                <w:b w:val="0"/>
                <w:color w:val="1B2A41"/>
                <w:sz w:val="15"/>
              </w:rPr>
              <w:t>Correct plant/DC/vendor/customer type.</w:t>
            </w:r>
          </w:p>
        </w:tc>
      </w:tr>
      <w:tr>
        <w:tc>
          <w:tcPr>
            <w:tcW w:type="dxa" w:w="2376"/>
            <w:vAlign w:val="center"/>
            <w:tcMar>
              <w:top w:w="70" w:type="dxa"/>
              <w:start w:w="80" w:type="dxa"/>
              <w:bottom w:w="70" w:type="dxa"/>
              <w:end w:w="80" w:type="dxa"/>
            </w:tcMar>
            <w:shd w:fill="F7F9FB"/>
          </w:tcPr>
          <w:p>
            <w:r/>
            <w:r>
              <w:rPr>
                <w:rFonts w:ascii="Aptos" w:hAnsi="Aptos"/>
                <w:b w:val="0"/>
                <w:color w:val="1B2A41"/>
                <w:sz w:val="15"/>
              </w:rPr>
              <w:t>Procurement lead time</w:t>
            </w:r>
          </w:p>
        </w:tc>
        <w:tc>
          <w:tcPr>
            <w:tcW w:type="dxa" w:w="2304"/>
            <w:vAlign w:val="center"/>
            <w:tcMar>
              <w:top w:w="70" w:type="dxa"/>
              <w:start w:w="80" w:type="dxa"/>
              <w:bottom w:w="70" w:type="dxa"/>
              <w:end w:w="80" w:type="dxa"/>
            </w:tcMar>
            <w:shd w:fill="F7F9FB"/>
          </w:tcPr>
          <w:p>
            <w:r/>
            <w:r>
              <w:rPr>
                <w:rFonts w:ascii="Aptos" w:hAnsi="Aptos"/>
                <w:b w:val="0"/>
                <w:color w:val="1B2A41"/>
                <w:sz w:val="15"/>
              </w:rPr>
              <w:t>Procurement</w:t>
            </w:r>
          </w:p>
        </w:tc>
        <w:tc>
          <w:tcPr>
            <w:tcW w:type="dxa" w:w="1440"/>
            <w:vAlign w:val="center"/>
            <w:tcMar>
              <w:top w:w="70" w:type="dxa"/>
              <w:start w:w="80" w:type="dxa"/>
              <w:bottom w:w="70" w:type="dxa"/>
              <w:end w:w="80" w:type="dxa"/>
            </w:tcMar>
            <w:shd w:fill="F7F9FB"/>
          </w:tcPr>
          <w:p>
            <w:r/>
            <w:r>
              <w:rPr>
                <w:rFonts w:ascii="Aptos" w:hAnsi="Aptos"/>
                <w:b w:val="0"/>
                <w:color w:val="1B2A41"/>
                <w:sz w:val="15"/>
              </w:rPr>
              <w:t>Yes</w:t>
            </w:r>
          </w:p>
        </w:tc>
        <w:tc>
          <w:tcPr>
            <w:tcW w:type="dxa" w:w="4680"/>
            <w:vAlign w:val="center"/>
            <w:tcMar>
              <w:top w:w="70" w:type="dxa"/>
              <w:start w:w="80" w:type="dxa"/>
              <w:bottom w:w="70" w:type="dxa"/>
              <w:end w:w="80" w:type="dxa"/>
            </w:tcMar>
            <w:shd w:fill="F7F9FB"/>
          </w:tcPr>
          <w:p>
            <w:r/>
            <w:r>
              <w:rPr>
                <w:rFonts w:ascii="Aptos" w:hAnsi="Aptos"/>
                <w:b w:val="0"/>
                <w:color w:val="1B2A41"/>
                <w:sz w:val="15"/>
              </w:rPr>
              <w:t>&gt; 0 and within historical tolerance.</w:t>
            </w:r>
          </w:p>
        </w:tc>
      </w:tr>
      <w:tr>
        <w:tc>
          <w:tcPr>
            <w:tcW w:type="dxa" w:w="2376"/>
            <w:vAlign w:val="center"/>
            <w:tcMar>
              <w:top w:w="70" w:type="dxa"/>
              <w:start w:w="80" w:type="dxa"/>
              <w:bottom w:w="70" w:type="dxa"/>
              <w:end w:w="80" w:type="dxa"/>
            </w:tcMar>
          </w:tcPr>
          <w:p>
            <w:r/>
            <w:r>
              <w:rPr>
                <w:rFonts w:ascii="Aptos" w:hAnsi="Aptos"/>
                <w:b w:val="0"/>
                <w:color w:val="1B2A41"/>
                <w:sz w:val="15"/>
              </w:rPr>
              <w:t>Transport lead time</w:t>
            </w:r>
          </w:p>
        </w:tc>
        <w:tc>
          <w:tcPr>
            <w:tcW w:type="dxa" w:w="2304"/>
            <w:vAlign w:val="center"/>
            <w:tcMar>
              <w:top w:w="70" w:type="dxa"/>
              <w:start w:w="80" w:type="dxa"/>
              <w:bottom w:w="70" w:type="dxa"/>
              <w:end w:w="80" w:type="dxa"/>
            </w:tcMar>
          </w:tcPr>
          <w:p>
            <w:r/>
            <w:r>
              <w:rPr>
                <w:rFonts w:ascii="Aptos" w:hAnsi="Aptos"/>
                <w:b w:val="0"/>
                <w:color w:val="1B2A41"/>
                <w:sz w:val="15"/>
              </w:rPr>
              <w:t>Logistics</w:t>
            </w:r>
          </w:p>
        </w:tc>
        <w:tc>
          <w:tcPr>
            <w:tcW w:type="dxa" w:w="1440"/>
            <w:vAlign w:val="center"/>
            <w:tcMar>
              <w:top w:w="70" w:type="dxa"/>
              <w:start w:w="80" w:type="dxa"/>
              <w:bottom w:w="70" w:type="dxa"/>
              <w:end w:w="80" w:type="dxa"/>
            </w:tcMar>
          </w:tcPr>
          <w:p>
            <w:r/>
            <w:r>
              <w:rPr>
                <w:rFonts w:ascii="Aptos" w:hAnsi="Aptos"/>
                <w:b w:val="0"/>
                <w:color w:val="1B2A41"/>
                <w:sz w:val="15"/>
              </w:rPr>
              <w:t>Yes</w:t>
            </w:r>
          </w:p>
        </w:tc>
        <w:tc>
          <w:tcPr>
            <w:tcW w:type="dxa" w:w="4680"/>
            <w:vAlign w:val="center"/>
            <w:tcMar>
              <w:top w:w="70" w:type="dxa"/>
              <w:start w:w="80" w:type="dxa"/>
              <w:bottom w:w="70" w:type="dxa"/>
              <w:end w:w="80" w:type="dxa"/>
            </w:tcMar>
          </w:tcPr>
          <w:p>
            <w:r/>
            <w:r>
              <w:rPr>
                <w:rFonts w:ascii="Aptos" w:hAnsi="Aptos"/>
                <w:b w:val="0"/>
                <w:color w:val="1B2A41"/>
                <w:sz w:val="15"/>
              </w:rPr>
              <w:t>Matches carrier performance baseline.</w:t>
            </w:r>
          </w:p>
        </w:tc>
      </w:tr>
      <w:tr>
        <w:tc>
          <w:tcPr>
            <w:tcW w:type="dxa" w:w="2376"/>
            <w:vAlign w:val="center"/>
            <w:tcMar>
              <w:top w:w="70" w:type="dxa"/>
              <w:start w:w="80" w:type="dxa"/>
              <w:bottom w:w="70" w:type="dxa"/>
              <w:end w:w="80" w:type="dxa"/>
            </w:tcMar>
            <w:shd w:fill="F7F9FB"/>
          </w:tcPr>
          <w:p>
            <w:r/>
            <w:r>
              <w:rPr>
                <w:rFonts w:ascii="Aptos" w:hAnsi="Aptos"/>
                <w:b w:val="0"/>
                <w:color w:val="1B2A41"/>
                <w:sz w:val="15"/>
              </w:rPr>
              <w:t>Safety stock method</w:t>
            </w:r>
          </w:p>
        </w:tc>
        <w:tc>
          <w:tcPr>
            <w:tcW w:type="dxa" w:w="2304"/>
            <w:vAlign w:val="center"/>
            <w:tcMar>
              <w:top w:w="70" w:type="dxa"/>
              <w:start w:w="80" w:type="dxa"/>
              <w:bottom w:w="70" w:type="dxa"/>
              <w:end w:w="80" w:type="dxa"/>
            </w:tcMar>
            <w:shd w:fill="F7F9FB"/>
          </w:tcPr>
          <w:p>
            <w:r/>
            <w:r>
              <w:rPr>
                <w:rFonts w:ascii="Aptos" w:hAnsi="Aptos"/>
                <w:b w:val="0"/>
                <w:color w:val="1B2A41"/>
                <w:sz w:val="15"/>
              </w:rPr>
              <w:t>Supply Planning</w:t>
            </w:r>
          </w:p>
        </w:tc>
        <w:tc>
          <w:tcPr>
            <w:tcW w:type="dxa" w:w="1440"/>
            <w:vAlign w:val="center"/>
            <w:tcMar>
              <w:top w:w="70" w:type="dxa"/>
              <w:start w:w="80" w:type="dxa"/>
              <w:bottom w:w="70" w:type="dxa"/>
              <w:end w:w="80" w:type="dxa"/>
            </w:tcMar>
            <w:shd w:fill="F7F9FB"/>
          </w:tcPr>
          <w:p>
            <w:r/>
            <w:r>
              <w:rPr>
                <w:rFonts w:ascii="Aptos" w:hAnsi="Aptos"/>
                <w:b w:val="0"/>
                <w:color w:val="1B2A41"/>
                <w:sz w:val="15"/>
              </w:rPr>
              <w:t>Yes for stocked items</w:t>
            </w:r>
          </w:p>
        </w:tc>
        <w:tc>
          <w:tcPr>
            <w:tcW w:type="dxa" w:w="4680"/>
            <w:vAlign w:val="center"/>
            <w:tcMar>
              <w:top w:w="70" w:type="dxa"/>
              <w:start w:w="80" w:type="dxa"/>
              <w:bottom w:w="70" w:type="dxa"/>
              <w:end w:w="80" w:type="dxa"/>
            </w:tcMar>
            <w:shd w:fill="F7F9FB"/>
          </w:tcPr>
          <w:p>
            <w:r/>
            <w:r>
              <w:rPr>
                <w:rFonts w:ascii="Aptos" w:hAnsi="Aptos"/>
                <w:b w:val="0"/>
                <w:color w:val="1B2A41"/>
                <w:sz w:val="15"/>
              </w:rPr>
              <w:t>Approved method by product segment.</w:t>
            </w:r>
          </w:p>
        </w:tc>
      </w:tr>
      <w:tr>
        <w:tc>
          <w:tcPr>
            <w:tcW w:type="dxa" w:w="2376"/>
            <w:vAlign w:val="center"/>
            <w:tcMar>
              <w:top w:w="70" w:type="dxa"/>
              <w:start w:w="80" w:type="dxa"/>
              <w:bottom w:w="70" w:type="dxa"/>
              <w:end w:w="80" w:type="dxa"/>
            </w:tcMar>
          </w:tcPr>
          <w:p>
            <w:r/>
            <w:r>
              <w:rPr>
                <w:rFonts w:ascii="Aptos" w:hAnsi="Aptos"/>
                <w:b w:val="0"/>
                <w:color w:val="1B2A41"/>
                <w:sz w:val="15"/>
              </w:rPr>
              <w:t>Safety stock / days</w:t>
            </w:r>
          </w:p>
        </w:tc>
        <w:tc>
          <w:tcPr>
            <w:tcW w:type="dxa" w:w="2304"/>
            <w:vAlign w:val="center"/>
            <w:tcMar>
              <w:top w:w="70" w:type="dxa"/>
              <w:start w:w="80" w:type="dxa"/>
              <w:bottom w:w="70" w:type="dxa"/>
              <w:end w:w="80" w:type="dxa"/>
            </w:tcMar>
          </w:tcPr>
          <w:p>
            <w:r/>
            <w:r>
              <w:rPr>
                <w:rFonts w:ascii="Aptos" w:hAnsi="Aptos"/>
                <w:b w:val="0"/>
                <w:color w:val="1B2A41"/>
                <w:sz w:val="15"/>
              </w:rPr>
              <w:t>Supply Planning</w:t>
            </w:r>
          </w:p>
        </w:tc>
        <w:tc>
          <w:tcPr>
            <w:tcW w:type="dxa" w:w="1440"/>
            <w:vAlign w:val="center"/>
            <w:tcMar>
              <w:top w:w="70" w:type="dxa"/>
              <w:start w:w="80" w:type="dxa"/>
              <w:bottom w:w="70" w:type="dxa"/>
              <w:end w:w="80" w:type="dxa"/>
            </w:tcMar>
          </w:tcPr>
          <w:p>
            <w:r/>
            <w:r>
              <w:rPr>
                <w:rFonts w:ascii="Aptos" w:hAnsi="Aptos"/>
                <w:b w:val="0"/>
                <w:color w:val="1B2A41"/>
                <w:sz w:val="15"/>
              </w:rPr>
              <w:t>Conditional</w:t>
            </w:r>
          </w:p>
        </w:tc>
        <w:tc>
          <w:tcPr>
            <w:tcW w:type="dxa" w:w="4680"/>
            <w:vAlign w:val="center"/>
            <w:tcMar>
              <w:top w:w="70" w:type="dxa"/>
              <w:start w:w="80" w:type="dxa"/>
              <w:bottom w:w="70" w:type="dxa"/>
              <w:end w:w="80" w:type="dxa"/>
            </w:tcMar>
          </w:tcPr>
          <w:p>
            <w:r/>
            <w:r>
              <w:rPr>
                <w:rFonts w:ascii="Aptos" w:hAnsi="Aptos"/>
                <w:b w:val="0"/>
                <w:color w:val="1B2A41"/>
                <w:sz w:val="15"/>
              </w:rPr>
              <w:t>Within policy band; exception reason captured.</w:t>
            </w:r>
          </w:p>
        </w:tc>
      </w:tr>
      <w:tr>
        <w:tc>
          <w:tcPr>
            <w:tcW w:type="dxa" w:w="2376"/>
            <w:vAlign w:val="center"/>
            <w:tcMar>
              <w:top w:w="70" w:type="dxa"/>
              <w:start w:w="80" w:type="dxa"/>
              <w:bottom w:w="70" w:type="dxa"/>
              <w:end w:w="80" w:type="dxa"/>
            </w:tcMar>
            <w:shd w:fill="F7F9FB"/>
          </w:tcPr>
          <w:p>
            <w:r/>
            <w:r>
              <w:rPr>
                <w:rFonts w:ascii="Aptos" w:hAnsi="Aptos"/>
                <w:b w:val="0"/>
                <w:color w:val="1B2A41"/>
                <w:sz w:val="15"/>
              </w:rPr>
              <w:t>Lot size / MOQ</w:t>
            </w:r>
          </w:p>
        </w:tc>
        <w:tc>
          <w:tcPr>
            <w:tcW w:type="dxa" w:w="2304"/>
            <w:vAlign w:val="center"/>
            <w:tcMar>
              <w:top w:w="70" w:type="dxa"/>
              <w:start w:w="80" w:type="dxa"/>
              <w:bottom w:w="70" w:type="dxa"/>
              <w:end w:w="80" w:type="dxa"/>
            </w:tcMar>
            <w:shd w:fill="F7F9FB"/>
          </w:tcPr>
          <w:p>
            <w:r/>
            <w:r>
              <w:rPr>
                <w:rFonts w:ascii="Aptos" w:hAnsi="Aptos"/>
                <w:b w:val="0"/>
                <w:color w:val="1B2A41"/>
                <w:sz w:val="15"/>
              </w:rPr>
              <w:t>Procurement / Production</w:t>
            </w:r>
          </w:p>
        </w:tc>
        <w:tc>
          <w:tcPr>
            <w:tcW w:type="dxa" w:w="1440"/>
            <w:vAlign w:val="center"/>
            <w:tcMar>
              <w:top w:w="70" w:type="dxa"/>
              <w:start w:w="80" w:type="dxa"/>
              <w:bottom w:w="70" w:type="dxa"/>
              <w:end w:w="80" w:type="dxa"/>
            </w:tcMar>
            <w:shd w:fill="F7F9FB"/>
          </w:tcPr>
          <w:p>
            <w:r/>
            <w:r>
              <w:rPr>
                <w:rFonts w:ascii="Aptos" w:hAnsi="Aptos"/>
                <w:b w:val="0"/>
                <w:color w:val="1B2A41"/>
                <w:sz w:val="15"/>
              </w:rPr>
              <w:t>Conditional</w:t>
            </w:r>
          </w:p>
        </w:tc>
        <w:tc>
          <w:tcPr>
            <w:tcW w:type="dxa" w:w="4680"/>
            <w:vAlign w:val="center"/>
            <w:tcMar>
              <w:top w:w="70" w:type="dxa"/>
              <w:start w:w="80" w:type="dxa"/>
              <w:bottom w:w="70" w:type="dxa"/>
              <w:end w:w="80" w:type="dxa"/>
            </w:tcMar>
            <w:shd w:fill="F7F9FB"/>
          </w:tcPr>
          <w:p>
            <w:r/>
            <w:r>
              <w:rPr>
                <w:rFonts w:ascii="Aptos" w:hAnsi="Aptos"/>
                <w:b w:val="0"/>
                <w:color w:val="1B2A41"/>
                <w:sz w:val="15"/>
              </w:rPr>
              <w:t>Does not create unacceptable excess coverage.</w:t>
            </w:r>
          </w:p>
        </w:tc>
      </w:tr>
      <w:tr>
        <w:tc>
          <w:tcPr>
            <w:tcW w:type="dxa" w:w="2376"/>
            <w:vAlign w:val="center"/>
            <w:tcMar>
              <w:top w:w="70" w:type="dxa"/>
              <w:start w:w="80" w:type="dxa"/>
              <w:bottom w:w="70" w:type="dxa"/>
              <w:end w:w="80" w:type="dxa"/>
            </w:tcMar>
          </w:tcPr>
          <w:p>
            <w:r/>
            <w:r>
              <w:rPr>
                <w:rFonts w:ascii="Aptos" w:hAnsi="Aptos"/>
                <w:b w:val="0"/>
                <w:color w:val="1B2A41"/>
                <w:sz w:val="15"/>
              </w:rPr>
              <w:t>Service level</w:t>
            </w:r>
          </w:p>
        </w:tc>
        <w:tc>
          <w:tcPr>
            <w:tcW w:type="dxa" w:w="2304"/>
            <w:vAlign w:val="center"/>
            <w:tcMar>
              <w:top w:w="70" w:type="dxa"/>
              <w:start w:w="80" w:type="dxa"/>
              <w:bottom w:w="70" w:type="dxa"/>
              <w:end w:w="80" w:type="dxa"/>
            </w:tcMar>
          </w:tcPr>
          <w:p>
            <w:r/>
            <w:r>
              <w:rPr>
                <w:rFonts w:ascii="Aptos" w:hAnsi="Aptos"/>
                <w:b w:val="0"/>
                <w:color w:val="1B2A41"/>
                <w:sz w:val="15"/>
              </w:rPr>
              <w:t>Business / Supply Planning</w:t>
            </w:r>
          </w:p>
        </w:tc>
        <w:tc>
          <w:tcPr>
            <w:tcW w:type="dxa" w:w="1440"/>
            <w:vAlign w:val="center"/>
            <w:tcMar>
              <w:top w:w="70" w:type="dxa"/>
              <w:start w:w="80" w:type="dxa"/>
              <w:bottom w:w="70" w:type="dxa"/>
              <w:end w:w="80" w:type="dxa"/>
            </w:tcMar>
          </w:tcPr>
          <w:p>
            <w:r/>
            <w:r>
              <w:rPr>
                <w:rFonts w:ascii="Aptos" w:hAnsi="Aptos"/>
                <w:b w:val="0"/>
                <w:color w:val="1B2A41"/>
                <w:sz w:val="15"/>
              </w:rPr>
              <w:t>Yes for segmented policy</w:t>
            </w:r>
          </w:p>
        </w:tc>
        <w:tc>
          <w:tcPr>
            <w:tcW w:type="dxa" w:w="4680"/>
            <w:vAlign w:val="center"/>
            <w:tcMar>
              <w:top w:w="70" w:type="dxa"/>
              <w:start w:w="80" w:type="dxa"/>
              <w:bottom w:w="70" w:type="dxa"/>
              <w:end w:w="80" w:type="dxa"/>
            </w:tcMar>
          </w:tcPr>
          <w:p>
            <w:r/>
            <w:r>
              <w:rPr>
                <w:rFonts w:ascii="Aptos" w:hAnsi="Aptos"/>
                <w:b w:val="0"/>
                <w:color w:val="1B2A41"/>
                <w:sz w:val="15"/>
              </w:rPr>
              <w:t>Mapped to ABC-XYZ class.</w:t>
            </w:r>
          </w:p>
        </w:tc>
      </w:tr>
      <w:tr>
        <w:tc>
          <w:tcPr>
            <w:tcW w:type="dxa" w:w="2376"/>
            <w:vAlign w:val="center"/>
            <w:tcMar>
              <w:top w:w="70" w:type="dxa"/>
              <w:start w:w="80" w:type="dxa"/>
              <w:bottom w:w="70" w:type="dxa"/>
              <w:end w:w="80" w:type="dxa"/>
            </w:tcMar>
            <w:shd w:fill="F7F9FB"/>
          </w:tcPr>
          <w:p>
            <w:r/>
            <w:r>
              <w:rPr>
                <w:rFonts w:ascii="Aptos" w:hAnsi="Aptos"/>
                <w:b w:val="0"/>
                <w:color w:val="1B2A41"/>
                <w:sz w:val="15"/>
              </w:rPr>
              <w:t>Planner code</w:t>
            </w:r>
          </w:p>
        </w:tc>
        <w:tc>
          <w:tcPr>
            <w:tcW w:type="dxa" w:w="2304"/>
            <w:vAlign w:val="center"/>
            <w:tcMar>
              <w:top w:w="70" w:type="dxa"/>
              <w:start w:w="80" w:type="dxa"/>
              <w:bottom w:w="70" w:type="dxa"/>
              <w:end w:w="80" w:type="dxa"/>
            </w:tcMar>
            <w:shd w:fill="F7F9FB"/>
          </w:tcPr>
          <w:p>
            <w:r/>
            <w:r>
              <w:rPr>
                <w:rFonts w:ascii="Aptos" w:hAnsi="Aptos"/>
                <w:b w:val="0"/>
                <w:color w:val="1B2A41"/>
                <w:sz w:val="15"/>
              </w:rPr>
              <w:t>Supply Planning</w:t>
            </w:r>
          </w:p>
        </w:tc>
        <w:tc>
          <w:tcPr>
            <w:tcW w:type="dxa" w:w="1440"/>
            <w:vAlign w:val="center"/>
            <w:tcMar>
              <w:top w:w="70" w:type="dxa"/>
              <w:start w:w="80" w:type="dxa"/>
              <w:bottom w:w="70" w:type="dxa"/>
              <w:end w:w="80" w:type="dxa"/>
            </w:tcMar>
            <w:shd w:fill="F7F9FB"/>
          </w:tcPr>
          <w:p>
            <w:r/>
            <w:r>
              <w:rPr>
                <w:rFonts w:ascii="Aptos" w:hAnsi="Aptos"/>
                <w:b w:val="0"/>
                <w:color w:val="1B2A41"/>
                <w:sz w:val="15"/>
              </w:rPr>
              <w:t>Yes</w:t>
            </w:r>
          </w:p>
        </w:tc>
        <w:tc>
          <w:tcPr>
            <w:tcW w:type="dxa" w:w="4680"/>
            <w:vAlign w:val="center"/>
            <w:tcMar>
              <w:top w:w="70" w:type="dxa"/>
              <w:start w:w="80" w:type="dxa"/>
              <w:bottom w:w="70" w:type="dxa"/>
              <w:end w:w="80" w:type="dxa"/>
            </w:tcMar>
            <w:shd w:fill="F7F9FB"/>
          </w:tcPr>
          <w:p>
            <w:r/>
            <w:r>
              <w:rPr>
                <w:rFonts w:ascii="Aptos" w:hAnsi="Aptos"/>
                <w:b w:val="0"/>
                <w:color w:val="1B2A41"/>
                <w:sz w:val="15"/>
              </w:rPr>
              <w:t>Active owner assigned.</w:t>
            </w:r>
          </w:p>
        </w:tc>
      </w:tr>
    </w:tbl>
    <w:p>
      <w:pPr>
        <w:pStyle w:val="Heading2"/>
        <w:spacing w:before="60" w:after="100"/>
      </w:pPr>
      <w:r>
        <w:t>A.2 Illustrative calculations</w:t>
      </w:r>
    </w:p>
    <w:p>
      <w:pPr>
        <w:spacing w:after="100" w:line="259" w:lineRule="auto"/>
      </w:pPr>
      <w:r>
        <w:rPr>
          <w:color w:val="1B2A41"/>
          <w:sz w:val="20"/>
        </w:rPr>
        <w:t>EOQ analytical check: EOQ = √(2DS/H), where D is annual demand, S is ordering/setup cost per order and H is annual holding cost per unit. In this internship report I use EOQ only as a reasonableness check for lot-size decisions; the actual SAP planning design can use system-specific lot-sizing and safety-stock methods.</w:t>
      </w:r>
    </w:p>
    <w:p>
      <w:pPr>
        <w:spacing w:after="100" w:line="259" w:lineRule="auto"/>
      </w:pPr>
      <w:r>
        <w:rPr>
          <w:color w:val="1B2A41"/>
          <w:sz w:val="20"/>
        </w:rPr>
        <w:t>Reorder point analytical check: ROP ≈ average demand during replenishment lead time + safety stock. This is useful for explaining the relationship between lead time and shortage risk even when the operational planning process is executed through SAP APO.</w:t>
      </w:r>
    </w:p>
    <w:p>
      <w:pPr>
        <w:spacing w:after="100" w:line="259" w:lineRule="auto"/>
      </w:pPr>
      <w:r>
        <w:rPr>
          <w:color w:val="1B2A41"/>
          <w:sz w:val="20"/>
        </w:rPr>
        <w:t>Coverage: inventory coverage = available stock ÷ average demand per period. In the excess-stock example, 32 tonnes ÷ 7 tonnes/week ≈ 4.6 weeks of coverage. This makes the excess visible in a way that is easy to compare across locations.</w:t>
      </w:r>
    </w:p>
    <w:tbl>
      <w:tblPr>
        <w:tblW w:type="auto" w:w="0"/>
        <w:jc w:val="center"/>
        <w:tblLayout w:type="autofit"/>
        <w:tblLook w:firstColumn="1" w:firstRow="1" w:lastColumn="0" w:lastRow="0" w:noHBand="0" w:noVBand="1" w:val="04A0"/>
      </w:tblPr>
      <w:tblGrid>
        <w:gridCol w:w="10368"/>
      </w:tblGrid>
      <w:tr>
        <w:tc>
          <w:tcPr>
            <w:tcW w:type="dxa" w:w="10368"/>
            <w:shd w:fill="EEF3F8"/>
            <w:tcMar>
              <w:top w:w="110" w:type="dxa"/>
              <w:start w:w="140" w:type="dxa"/>
              <w:bottom w:w="110" w:type="dxa"/>
              <w:end w:w="140" w:type="dxa"/>
            </w:tcMar>
          </w:tcPr>
          <w:p>
            <w:r>
              <w:rPr>
                <w:b/>
                <w:color w:val="23395B"/>
                <w:sz w:val="19"/>
              </w:rPr>
              <w:t xml:space="preserve">Final note:  </w:t>
            </w:r>
            <w:r>
              <w:rPr>
                <w:color w:val="1B2A41"/>
                <w:sz w:val="18"/>
              </w:rPr>
              <w:t>All field names, formulas, values and scenario results in this appendix are used for learning and documentation. A production implementation would validate each rule against the organization’s SAP release, customizing, data model and business policy.</w:t>
            </w:r>
          </w:p>
        </w:tc>
      </w:tr>
    </w:tbl>
    <w:sectPr w:rsidR="00FC693F" w:rsidRPr="0006063C" w:rsidSect="00034616">
      <w:headerReference w:type="default" r:id="rId9"/>
      <w:footerReference w:type="default" r:id="rId10"/>
      <w:pgSz w:w="12240" w:h="15840"/>
      <w:pgMar w:top="835" w:right="936" w:bottom="835" w:left="93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SAP SCM | Week 2 Internship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B2A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3395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15A7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339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339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help.sap.com/docs/PRODUCT_ID/0bad972d62de4005822fdcbce98f8748/793fc95360267614e10000000a174cb4.html" TargetMode="External"/><Relationship Id="rId14" Type="http://schemas.openxmlformats.org/officeDocument/2006/relationships/hyperlink" Target="https://help.sap.com/docs/PRODUCT_ID/5632d7cbffa04b21be22106e9a212038/4b45c95360267614e10000000a174cb4.html" TargetMode="External"/><Relationship Id="rId15" Type="http://schemas.openxmlformats.org/officeDocument/2006/relationships/hyperlink" Target="https://help.sap.com/docs/SAP_ADVANCED_PLANNING_AND_OPTIMIZATION%2C_ON_SAP_ERP/881e9c98c2e64900bc5ec58ce4b97939/ed7821b5-f2c0-4579-83ca-6db13f5a6ecb.html" TargetMode="External"/><Relationship Id="rId16" Type="http://schemas.openxmlformats.org/officeDocument/2006/relationships/hyperlink" Target="https://help.sap.com/docs/SAP_SUPPLY_CHAIN_MANAGEMENT/cd9e0c364e1e41e19ea633db7862222e/9e40c95360267614e10000000a174cb4.html" TargetMode="External"/><Relationship Id="rId17" Type="http://schemas.openxmlformats.org/officeDocument/2006/relationships/hyperlink" Target="https://help.sap.com/docs/SUPPORT_CONTENT/sapo/3530275561.html" TargetMode="External"/><Relationship Id="rId18" Type="http://schemas.openxmlformats.org/officeDocument/2006/relationships/hyperlink" Target="https://help.sap.com/docs/SUPPORT_CONTENT/sapo/335462296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