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365F91"/>
          <w:sz w:val="26"/>
        </w:rPr>
        <w:t>WEEK 1 TASK</w:t>
      </w:r>
    </w:p>
    <w:p>
      <w:pPr>
        <w:spacing w:after="280"/>
        <w:jc w:val="center"/>
      </w:pPr>
      <w:r>
        <w:rPr>
          <w:rFonts w:ascii="Aptos Display" w:hAnsi="Aptos Display"/>
          <w:b/>
          <w:color w:val="1F2937"/>
          <w:sz w:val="52"/>
        </w:rPr>
        <w:t>Supply Chain Network Planning</w:t>
        <w:br/>
        <w:t>using SAP SCM</w:t>
      </w:r>
    </w:p>
    <w:p>
      <w:pPr>
        <w:spacing w:after="600"/>
        <w:jc w:val="center"/>
      </w:pPr>
      <w:r>
        <w:rPr>
          <w:rFonts w:ascii="Aptos" w:hAnsi="Aptos"/>
          <w:i/>
          <w:color w:val="666666"/>
          <w:sz w:val="23"/>
        </w:rPr>
        <w:t>A practical SAP APO Supply Network Planning (SNP) design for a fictional Indian food manufacturing network</w:t>
      </w:r>
    </w:p>
    <w:tbl>
      <w:tblPr>
        <w:tblW w:type="auto" w:w="0"/>
        <w:jc w:val="center"/>
        <w:tblLayout w:type="fixed"/>
        <w:tblLook w:firstColumn="1" w:firstRow="1" w:lastColumn="0" w:lastRow="0" w:noHBand="0" w:noVBand="1" w:val="04A0"/>
      </w:tblPr>
      <w:tblGrid>
        <w:gridCol w:w="2592"/>
        <w:gridCol w:w="6048"/>
      </w:tblGrid>
      <w:tr>
        <w:trPr>
          <w:cantSplit/>
        </w:trPr>
        <w:tc>
          <w:tcPr>
            <w:tcW w:type="dxa" w:w="4997"/>
            <w:tcMar>
              <w:top w:w="120" w:type="dxa"/>
              <w:start w:w="140" w:type="dxa"/>
              <w:bottom w:w="120" w:type="dxa"/>
              <w:end w:w="140" w:type="dxa"/>
            </w:tcMar>
            <w:shd w:fill="DCE6F1"/>
          </w:tcPr>
          <w:p>
            <w:r>
              <w:rPr>
                <w:rFonts w:ascii="Aptos" w:hAnsi="Aptos"/>
                <w:b/>
                <w:color w:val="1F2937"/>
                <w:sz w:val="21"/>
              </w:rPr>
              <w:t>Prepared by</w:t>
            </w:r>
          </w:p>
        </w:tc>
        <w:tc>
          <w:tcPr>
            <w:tcW w:type="dxa" w:w="4997"/>
            <w:tcMar>
              <w:top w:w="120" w:type="dxa"/>
              <w:start w:w="140" w:type="dxa"/>
              <w:bottom w:w="120" w:type="dxa"/>
              <w:end w:w="140" w:type="dxa"/>
            </w:tcMar>
          </w:tcPr>
          <w:p>
            <w:r>
              <w:rPr>
                <w:rFonts w:ascii="Aptos" w:hAnsi="Aptos"/>
                <w:b w:val="0"/>
                <w:color w:val="1F2937"/>
                <w:sz w:val="21"/>
              </w:rPr>
              <w:t>Hrudhai Prem Kumar Patwari</w:t>
            </w:r>
          </w:p>
        </w:tc>
      </w:tr>
      <w:tr>
        <w:trPr>
          <w:cantSplit/>
        </w:trPr>
        <w:tc>
          <w:tcPr>
            <w:tcW w:type="dxa" w:w="4997"/>
            <w:tcMar>
              <w:top w:w="120" w:type="dxa"/>
              <w:start w:w="140" w:type="dxa"/>
              <w:bottom w:w="120" w:type="dxa"/>
              <w:end w:w="140" w:type="dxa"/>
            </w:tcMar>
            <w:shd w:fill="DCE6F1"/>
          </w:tcPr>
          <w:p>
            <w:r>
              <w:rPr>
                <w:rFonts w:ascii="Aptos" w:hAnsi="Aptos"/>
                <w:b/>
                <w:color w:val="1F2937"/>
                <w:sz w:val="21"/>
              </w:rPr>
              <w:t>Scenario</w:t>
            </w:r>
          </w:p>
        </w:tc>
        <w:tc>
          <w:tcPr>
            <w:tcW w:type="dxa" w:w="4997"/>
            <w:tcMar>
              <w:top w:w="120" w:type="dxa"/>
              <w:start w:w="140" w:type="dxa"/>
              <w:bottom w:w="120" w:type="dxa"/>
              <w:end w:w="140" w:type="dxa"/>
            </w:tcMar>
          </w:tcPr>
          <w:p>
            <w:r>
              <w:rPr>
                <w:rFonts w:ascii="Aptos" w:hAnsi="Aptos"/>
                <w:b w:val="0"/>
                <w:color w:val="1F2937"/>
                <w:sz w:val="21"/>
              </w:rPr>
              <w:t>Deccan Harvest Foods Pvt. Ltd. (fictional)</w:t>
            </w:r>
          </w:p>
        </w:tc>
      </w:tr>
      <w:tr>
        <w:trPr>
          <w:cantSplit/>
        </w:trPr>
        <w:tc>
          <w:tcPr>
            <w:tcW w:type="dxa" w:w="4997"/>
            <w:tcMar>
              <w:top w:w="120" w:type="dxa"/>
              <w:start w:w="140" w:type="dxa"/>
              <w:bottom w:w="120" w:type="dxa"/>
              <w:end w:w="140" w:type="dxa"/>
            </w:tcMar>
            <w:shd w:fill="DCE6F1"/>
          </w:tcPr>
          <w:p>
            <w:r>
              <w:rPr>
                <w:rFonts w:ascii="Aptos" w:hAnsi="Aptos"/>
                <w:b/>
                <w:color w:val="1F2937"/>
                <w:sz w:val="21"/>
              </w:rPr>
              <w:t>Submission</w:t>
            </w:r>
          </w:p>
        </w:tc>
        <w:tc>
          <w:tcPr>
            <w:tcW w:type="dxa" w:w="4997"/>
            <w:tcMar>
              <w:top w:w="120" w:type="dxa"/>
              <w:start w:w="140" w:type="dxa"/>
              <w:bottom w:w="120" w:type="dxa"/>
              <w:end w:w="140" w:type="dxa"/>
            </w:tcMar>
          </w:tcPr>
          <w:p>
            <w:r>
              <w:rPr>
                <w:rFonts w:ascii="Aptos" w:hAnsi="Aptos"/>
                <w:b w:val="0"/>
                <w:color w:val="1F2937"/>
                <w:sz w:val="21"/>
              </w:rPr>
              <w:t>6 September 2026</w:t>
            </w:r>
          </w:p>
        </w:tc>
      </w:tr>
      <w:tr>
        <w:trPr>
          <w:cantSplit/>
        </w:trPr>
        <w:tc>
          <w:tcPr>
            <w:tcW w:type="dxa" w:w="4997"/>
            <w:tcMar>
              <w:top w:w="120" w:type="dxa"/>
              <w:start w:w="140" w:type="dxa"/>
              <w:bottom w:w="120" w:type="dxa"/>
              <w:end w:w="140" w:type="dxa"/>
            </w:tcMar>
            <w:shd w:fill="DCE6F1"/>
          </w:tcPr>
          <w:p>
            <w:r>
              <w:rPr>
                <w:rFonts w:ascii="Aptos" w:hAnsi="Aptos"/>
                <w:b/>
                <w:color w:val="1F2937"/>
                <w:sz w:val="21"/>
              </w:rPr>
              <w:t>Document type</w:t>
            </w:r>
          </w:p>
        </w:tc>
        <w:tc>
          <w:tcPr>
            <w:tcW w:type="dxa" w:w="4997"/>
            <w:tcMar>
              <w:top w:w="120" w:type="dxa"/>
              <w:start w:w="140" w:type="dxa"/>
              <w:bottom w:w="120" w:type="dxa"/>
              <w:end w:w="140" w:type="dxa"/>
            </w:tcMar>
          </w:tcPr>
          <w:p>
            <w:r>
              <w:rPr>
                <w:rFonts w:ascii="Aptos" w:hAnsi="Aptos"/>
                <w:b w:val="0"/>
                <w:color w:val="1F2937"/>
                <w:sz w:val="21"/>
              </w:rPr>
              <w:t>Internship Week 1 Report</w:t>
            </w:r>
          </w:p>
        </w:tc>
      </w:tr>
    </w:tbl>
    <w:p>
      <w:pPr>
        <w:spacing w:before="700"/>
        <w:jc w:val="center"/>
      </w:pPr>
      <w:r>
        <w:rPr>
          <w:rFonts w:ascii="Aptos" w:hAnsi="Aptos"/>
          <w:i/>
          <w:color w:val="666666"/>
          <w:sz w:val="18"/>
        </w:rPr>
        <w:t>Week 1 planning simulation. Company names and planning values are fictional assumptions used to explain SAP SCM concepts. The report describes a proposed configuration approach and does not claim changes to a live production system.</w:t>
      </w:r>
    </w:p>
    <w:p>
      <w:r>
        <w:br w:type="page"/>
      </w:r>
    </w:p>
    <w:p>
      <w:pPr>
        <w:spacing w:after="320"/>
        <w:jc w:val="center"/>
      </w:pPr>
      <w:r>
        <w:rPr>
          <w:rFonts w:ascii="Aptos Display" w:hAnsi="Aptos Display"/>
          <w:b/>
          <w:color w:val="1F2937"/>
          <w:sz w:val="40"/>
        </w:rPr>
        <w:t>Table of Contents</w:t>
      </w:r>
    </w:p>
    <w:p>
      <w:pPr>
        <w:tabs>
          <w:tab w:pos="8928" w:val="right" w:leader="dot"/>
        </w:tabs>
        <w:spacing w:after="60"/>
      </w:pPr>
      <w:r>
        <w:rPr>
          <w:rFonts w:ascii="Aptos" w:hAnsi="Aptos"/>
          <w:b/>
          <w:color w:val="1F2937"/>
          <w:sz w:val="20"/>
        </w:rPr>
        <w:t>Executive Summary</w:t>
        <w:tab/>
        <w:t>3</w:t>
      </w:r>
      <w:r>
        <w:rPr>
          <w:rFonts w:ascii="Aptos" w:hAnsi="Aptos"/>
          <w:color w:val="1F2937"/>
          <w:sz w:val="20"/>
        </w:rPr>
      </w:r>
    </w:p>
    <w:p>
      <w:pPr>
        <w:tabs>
          <w:tab w:pos="8928" w:val="right" w:leader="dot"/>
        </w:tabs>
        <w:spacing w:after="60"/>
      </w:pPr>
      <w:r>
        <w:rPr>
          <w:rFonts w:ascii="Aptos" w:hAnsi="Aptos"/>
          <w:b w:val="0"/>
          <w:color w:val="1F2937"/>
          <w:sz w:val="20"/>
        </w:rPr>
        <w:t>1. Research Basis and Planning Scope</w:t>
        <w:tab/>
        <w:t>3</w:t>
      </w:r>
      <w:r>
        <w:rPr>
          <w:rFonts w:ascii="Aptos" w:hAnsi="Aptos"/>
          <w:color w:val="1F2937"/>
          <w:sz w:val="20"/>
        </w:rPr>
      </w:r>
    </w:p>
    <w:p>
      <w:pPr>
        <w:tabs>
          <w:tab w:pos="8928" w:val="right" w:leader="dot"/>
        </w:tabs>
        <w:spacing w:after="60"/>
      </w:pPr>
      <w:r>
        <w:rPr>
          <w:rFonts w:ascii="Aptos" w:hAnsi="Aptos"/>
          <w:b w:val="0"/>
          <w:color w:val="1F2937"/>
          <w:sz w:val="20"/>
        </w:rPr>
        <w:t>2. Business Scenario and Assumptions</w:t>
        <w:tab/>
        <w:t>4</w:t>
      </w:r>
      <w:r>
        <w:rPr>
          <w:rFonts w:ascii="Aptos" w:hAnsi="Aptos"/>
          <w:color w:val="1F2937"/>
          <w:sz w:val="20"/>
        </w:rPr>
      </w:r>
    </w:p>
    <w:p>
      <w:pPr>
        <w:tabs>
          <w:tab w:pos="8928" w:val="right" w:leader="dot"/>
        </w:tabs>
        <w:spacing w:after="60"/>
      </w:pPr>
      <w:r>
        <w:rPr>
          <w:rFonts w:ascii="Aptos" w:hAnsi="Aptos"/>
          <w:b w:val="0"/>
          <w:color w:val="1F2937"/>
          <w:sz w:val="20"/>
        </w:rPr>
        <w:t>3. Supply Chain Network Design</w:t>
        <w:tab/>
        <w:t>6</w:t>
      </w:r>
      <w:r>
        <w:rPr>
          <w:rFonts w:ascii="Aptos" w:hAnsi="Aptos"/>
          <w:color w:val="1F2937"/>
          <w:sz w:val="20"/>
        </w:rPr>
      </w:r>
    </w:p>
    <w:p>
      <w:pPr>
        <w:tabs>
          <w:tab w:pos="8928" w:val="right" w:leader="dot"/>
        </w:tabs>
        <w:spacing w:after="60"/>
      </w:pPr>
      <w:r>
        <w:rPr>
          <w:rFonts w:ascii="Aptos" w:hAnsi="Aptos"/>
          <w:b w:val="0"/>
          <w:color w:val="1F2937"/>
          <w:sz w:val="20"/>
        </w:rPr>
        <w:t>4. SAP SCM Design and Configuration</w:t>
        <w:tab/>
        <w:t>8</w:t>
      </w:r>
      <w:r>
        <w:rPr>
          <w:rFonts w:ascii="Aptos" w:hAnsi="Aptos"/>
          <w:color w:val="1F2937"/>
          <w:sz w:val="20"/>
        </w:rPr>
      </w:r>
    </w:p>
    <w:p>
      <w:pPr>
        <w:tabs>
          <w:tab w:pos="8928" w:val="right" w:leader="dot"/>
        </w:tabs>
        <w:spacing w:after="60"/>
      </w:pPr>
      <w:r>
        <w:rPr>
          <w:rFonts w:ascii="Aptos" w:hAnsi="Aptos"/>
          <w:b w:val="0"/>
          <w:color w:val="1F2937"/>
          <w:sz w:val="20"/>
        </w:rPr>
        <w:t>5. Planning Methodology and Execution</w:t>
        <w:tab/>
        <w:t>10</w:t>
      </w:r>
      <w:r>
        <w:rPr>
          <w:rFonts w:ascii="Aptos" w:hAnsi="Aptos"/>
          <w:color w:val="1F2937"/>
          <w:sz w:val="20"/>
        </w:rPr>
      </w:r>
    </w:p>
    <w:p>
      <w:pPr>
        <w:tabs>
          <w:tab w:pos="8928" w:val="right" w:leader="dot"/>
        </w:tabs>
        <w:spacing w:after="60"/>
      </w:pPr>
      <w:r>
        <w:rPr>
          <w:rFonts w:ascii="Aptos" w:hAnsi="Aptos"/>
          <w:b w:val="0"/>
          <w:color w:val="1F2937"/>
          <w:sz w:val="20"/>
        </w:rPr>
        <w:t>6. KPI Framework and Expected Outcomes</w:t>
        <w:tab/>
        <w:t>12</w:t>
      </w:r>
      <w:r>
        <w:rPr>
          <w:rFonts w:ascii="Aptos" w:hAnsi="Aptos"/>
          <w:color w:val="1F2937"/>
          <w:sz w:val="20"/>
        </w:rPr>
      </w:r>
    </w:p>
    <w:p>
      <w:pPr>
        <w:tabs>
          <w:tab w:pos="8928" w:val="right" w:leader="dot"/>
        </w:tabs>
        <w:spacing w:after="60"/>
      </w:pPr>
      <w:r>
        <w:rPr>
          <w:rFonts w:ascii="Aptos" w:hAnsi="Aptos"/>
          <w:b w:val="0"/>
          <w:color w:val="1F2937"/>
          <w:sz w:val="20"/>
        </w:rPr>
        <w:t>7. Risk Analysis and Contingency Plan</w:t>
        <w:tab/>
        <w:t>13</w:t>
      </w:r>
      <w:r>
        <w:rPr>
          <w:rFonts w:ascii="Aptos" w:hAnsi="Aptos"/>
          <w:color w:val="1F2937"/>
          <w:sz w:val="20"/>
        </w:rPr>
      </w:r>
    </w:p>
    <w:p>
      <w:pPr>
        <w:tabs>
          <w:tab w:pos="8928" w:val="right" w:leader="dot"/>
        </w:tabs>
        <w:spacing w:after="60"/>
      </w:pPr>
      <w:r>
        <w:rPr>
          <w:rFonts w:ascii="Aptos" w:hAnsi="Aptos"/>
          <w:b w:val="0"/>
          <w:color w:val="1F2937"/>
          <w:sz w:val="20"/>
        </w:rPr>
        <w:t>8. Testing, Governance and Implementation Work Plan</w:t>
        <w:tab/>
        <w:t>15</w:t>
      </w:r>
      <w:r>
        <w:rPr>
          <w:rFonts w:ascii="Aptos" w:hAnsi="Aptos"/>
          <w:color w:val="1F2937"/>
          <w:sz w:val="20"/>
        </w:rPr>
      </w:r>
    </w:p>
    <w:p>
      <w:pPr>
        <w:tabs>
          <w:tab w:pos="8928" w:val="right" w:leader="dot"/>
        </w:tabs>
        <w:spacing w:after="60"/>
      </w:pPr>
      <w:r>
        <w:rPr>
          <w:rFonts w:ascii="Aptos" w:hAnsi="Aptos"/>
          <w:b w:val="0"/>
          <w:color w:val="1F2937"/>
          <w:sz w:val="20"/>
        </w:rPr>
        <w:t>9. Conclusion</w:t>
        <w:tab/>
        <w:t>17</w:t>
      </w:r>
      <w:r>
        <w:rPr>
          <w:rFonts w:ascii="Aptos" w:hAnsi="Aptos"/>
          <w:color w:val="1F2937"/>
          <w:sz w:val="20"/>
        </w:rPr>
      </w:r>
    </w:p>
    <w:p>
      <w:pPr>
        <w:tabs>
          <w:tab w:pos="8928" w:val="right" w:leader="dot"/>
        </w:tabs>
        <w:spacing w:after="60"/>
      </w:pPr>
      <w:r>
        <w:rPr>
          <w:rFonts w:ascii="Aptos" w:hAnsi="Aptos"/>
          <w:b/>
          <w:color w:val="1F2937"/>
          <w:sz w:val="20"/>
        </w:rPr>
        <w:t>References</w:t>
        <w:tab/>
        <w:t>17</w:t>
      </w:r>
      <w:r>
        <w:rPr>
          <w:rFonts w:ascii="Aptos" w:hAnsi="Aptos"/>
          <w:color w:val="1F2937"/>
          <w:sz w:val="20"/>
        </w:rPr>
      </w:r>
    </w:p>
    <w:p>
      <w:pPr>
        <w:tabs>
          <w:tab w:pos="8928" w:val="right" w:leader="dot"/>
        </w:tabs>
        <w:spacing w:after="60"/>
      </w:pPr>
      <w:r>
        <w:rPr>
          <w:rFonts w:ascii="Aptos" w:hAnsi="Aptos"/>
          <w:b/>
          <w:color w:val="1F2937"/>
          <w:sz w:val="20"/>
        </w:rPr>
        <w:t>Appendices</w:t>
        <w:tab/>
        <w:t>18</w:t>
      </w:r>
      <w:r>
        <w:rPr>
          <w:rFonts w:ascii="Aptos" w:hAnsi="Aptos"/>
          <w:color w:val="1F2937"/>
          <w:sz w:val="20"/>
        </w:rPr>
      </w:r>
    </w:p>
    <w:p>
      <w:r>
        <w:br w:type="page"/>
      </w:r>
    </w:p>
    <w:p>
      <w:pPr>
        <w:pStyle w:val="Heading1"/>
        <w:keepNext/>
        <w:keepLines/>
      </w:pPr>
      <w:r>
        <w:rPr>
          <w:rFonts w:ascii="Aptos" w:hAnsi="Aptos"/>
          <w:b/>
          <w:color w:val="365F91"/>
          <w:sz w:val="30"/>
        </w:rPr>
        <w:t>Executive Summary</w:t>
      </w:r>
    </w:p>
    <w:p>
      <w:pPr>
        <w:spacing w:after="120" w:line="259" w:lineRule="auto"/>
      </w:pPr>
      <w:r>
        <w:rPr>
          <w:rFonts w:ascii="Aptos" w:hAnsi="Aptos"/>
          <w:color w:val="1F2937"/>
          <w:sz w:val="20"/>
        </w:rPr>
        <w:t>For this Week 1 task, I designed a supply chain network for Deccan Harvest Foods Pvt. Ltd., a fictional Indian manufacturer of packaged millet-based ready-to-cook food. I used SAP Supply Chain Management concepts, mainly SAP APO Supply Network Planning (SNP), to connect supplier sourcing, production capacity, distribution centers, customer demand, transportation lanes, inventory parameters, and deployment decisions in one planning model.</w:t>
      </w:r>
    </w:p>
    <w:p>
      <w:pPr>
        <w:spacing w:after="120" w:line="259" w:lineRule="auto"/>
      </w:pPr>
      <w:r>
        <w:rPr>
          <w:rFonts w:ascii="Aptos" w:hAnsi="Aptos"/>
          <w:color w:val="1F2937"/>
          <w:sz w:val="20"/>
        </w:rPr>
        <w:t>I chose two qualified raw-material suppliers, one packaging supplier, one primary plant in Medchal near Hyderabad, and three regional distribution centers serving Telangana, Andhra Pradesh, and Karnataka. This structure keeps the scenario simple enough to explain clearly while still allowing me to test practical decisions such as dual sourcing, safety stock, plant capacity, transport lead time, and disruption response.</w:t>
      </w:r>
    </w:p>
    <w:p>
      <w:pPr>
        <w:spacing w:after="120" w:line="259" w:lineRule="auto"/>
      </w:pPr>
      <w:r>
        <w:rPr>
          <w:rFonts w:ascii="Aptos" w:hAnsi="Aptos"/>
          <w:color w:val="1F2937"/>
          <w:sz w:val="20"/>
        </w:rPr>
        <w:t>The SAP section is written as a configuration blueprint rather than as evidence of a live implementation. The sequence covers planning master data, model and planning version, transportation lanes, quota arrangements, heuristic planning, optimizer scenarios, deployment, and Transport Load Builder (TLB). I also included consistency checks, KPIs, and disruption scenarios so that the network can be reviewed as a complete planning exercise rather than only as a diagram.</w:t>
      </w:r>
    </w:p>
    <w:p>
      <w:pPr>
        <w:spacing w:after="120" w:line="259" w:lineRule="auto"/>
      </w:pPr>
      <w:r>
        <w:rPr>
          <w:rFonts w:ascii="Aptos" w:hAnsi="Aptos"/>
          <w:color w:val="1F2937"/>
          <w:sz w:val="20"/>
        </w:rPr>
        <w:t>The main design target is a customer service level of at least 97% while keeping supplier dependency, inventory, transport cost, and capacity risk under control. With weekly demand of 145 t against plant capacity of 180 t, the normal-week utilization is about 80.6%, leaving roughly 19.4% headroom for variation. These are scenario targets and feasibility checks, not measured results from a productive SAP system.</w:t>
      </w:r>
    </w:p>
    <w:p>
      <w:pPr>
        <w:pStyle w:val="Heading1"/>
        <w:keepNext/>
        <w:keepLines/>
      </w:pPr>
      <w:r>
        <w:rPr>
          <w:rFonts w:ascii="Aptos" w:hAnsi="Aptos"/>
          <w:b/>
          <w:color w:val="365F91"/>
          <w:sz w:val="30"/>
        </w:rPr>
        <w:t>1. Research Basis and Planning Scope</w:t>
      </w:r>
    </w:p>
    <w:p>
      <w:pPr>
        <w:pStyle w:val="Heading2"/>
        <w:keepNext/>
        <w:keepLines/>
      </w:pPr>
      <w:r>
        <w:rPr>
          <w:rFonts w:ascii="Aptos" w:hAnsi="Aptos"/>
          <w:b/>
          <w:color w:val="365F91"/>
          <w:sz w:val="24"/>
        </w:rPr>
        <w:t>1.1 SAP SCM / APO SNP concept</w:t>
      </w:r>
    </w:p>
    <w:p>
      <w:pPr>
        <w:spacing w:after="120" w:line="259" w:lineRule="auto"/>
      </w:pPr>
      <w:r>
        <w:rPr>
          <w:rFonts w:ascii="Aptos" w:hAnsi="Aptos"/>
          <w:color w:val="1F2937"/>
          <w:sz w:val="20"/>
        </w:rPr>
        <w:t>SAP APO Supply Network Planning integrates purchasing, manufacturing, distribution, and transportation decisions so that a planner can evaluate product flow across a global or regional network. The network is represented by locations and links, while planning considers products, resources, production sources, inventory, transportation, demand, and constraints. SNP supports heuristic-based planning, optimization-based planning, and supply-demand propagation, allowing organizations to select a method appropriate to their planning complexity and data maturity.</w:t>
      </w:r>
    </w:p>
    <w:p>
      <w:pPr>
        <w:spacing w:after="120" w:line="259" w:lineRule="auto"/>
      </w:pPr>
      <w:r>
        <w:rPr>
          <w:rFonts w:ascii="Aptos" w:hAnsi="Aptos"/>
          <w:color w:val="1F2937"/>
          <w:sz w:val="20"/>
        </w:rPr>
        <w:t>The model is not only a diagram. In SAP SCM, master data must be assigned to a model and planning version before it is considered by planning. This is important for scenario management: a planner can compare alternative planning versions before adopting a change. In an integrated ERP/APO landscape, the Core Interface (CIF) can transfer relevant master and transaction data to the active planning version, while simulation versions can be used to test network or parameter changes safely.</w:t>
      </w:r>
    </w:p>
    <w:p>
      <w:pPr>
        <w:pStyle w:val="Heading2"/>
        <w:keepNext/>
        <w:keepLines/>
      </w:pPr>
      <w:r>
        <w:rPr>
          <w:rFonts w:ascii="Aptos" w:hAnsi="Aptos"/>
          <w:b/>
          <w:color w:val="365F91"/>
          <w:sz w:val="24"/>
        </w:rPr>
        <w:t>1.2 Key network-planning decision points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365F91"/>
            <w:vAlign w:val="center"/>
            <w:tcMar>
              <w:top w:w="80" w:type="dxa"/>
              <w:start w:w="90" w:type="dxa"/>
              <w:bottom w:w="80" w:type="dxa"/>
              <w:end w:w="90" w:type="dxa"/>
            </w:tcMar>
          </w:tcPr>
          <w:p>
            <w:pPr>
              <w:jc w:val="center"/>
            </w:pPr>
            <w:r>
              <w:rPr>
                <w:rFonts w:ascii="Aptos" w:hAnsi="Aptos"/>
                <w:b/>
                <w:color w:val="FFFFFF"/>
                <w:sz w:val="17"/>
              </w:rPr>
              <w:t>Decision area</w:t>
            </w:r>
          </w:p>
        </w:tc>
        <w:tc>
          <w:tcPr>
            <w:tcW w:type="dxa" w:w="4320"/>
            <w:shd w:fill="365F91"/>
            <w:vAlign w:val="center"/>
            <w:tcMar>
              <w:top w:w="80" w:type="dxa"/>
              <w:start w:w="90" w:type="dxa"/>
              <w:bottom w:w="80" w:type="dxa"/>
              <w:end w:w="90" w:type="dxa"/>
            </w:tcMar>
          </w:tcPr>
          <w:p>
            <w:pPr>
              <w:jc w:val="center"/>
            </w:pPr>
            <w:r>
              <w:rPr>
                <w:rFonts w:ascii="Aptos" w:hAnsi="Aptos"/>
                <w:b/>
                <w:color w:val="FFFFFF"/>
                <w:sz w:val="17"/>
              </w:rPr>
              <w:t>Questions answered in the plan</w:t>
            </w:r>
          </w:p>
        </w:tc>
        <w:tc>
          <w:tcPr>
            <w:tcW w:type="dxa" w:w="3312"/>
            <w:shd w:fill="365F91"/>
            <w:vAlign w:val="center"/>
            <w:tcMar>
              <w:top w:w="80" w:type="dxa"/>
              <w:start w:w="90" w:type="dxa"/>
              <w:bottom w:w="80" w:type="dxa"/>
              <w:end w:w="90" w:type="dxa"/>
            </w:tcMar>
          </w:tcPr>
          <w:p>
            <w:pPr>
              <w:jc w:val="center"/>
            </w:pPr>
            <w:r>
              <w:rPr>
                <w:rFonts w:ascii="Aptos" w:hAnsi="Aptos"/>
                <w:b/>
                <w:color w:val="FFFFFF"/>
                <w:sz w:val="17"/>
              </w:rPr>
              <w:t>SAP SCM/SNP object or method</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Sourcing</w:t>
            </w:r>
          </w:p>
        </w:tc>
        <w:tc>
          <w:tcPr>
            <w:tcW w:type="dxa" w:w="4320"/>
            <w:vAlign w:val="center"/>
            <w:tcMar>
              <w:top w:w="80" w:type="dxa"/>
              <w:start w:w="90" w:type="dxa"/>
              <w:bottom w:w="80" w:type="dxa"/>
              <w:end w:w="90" w:type="dxa"/>
            </w:tcMar>
          </w:tcPr>
          <w:p>
            <w:pPr>
              <w:spacing w:after="0"/>
            </w:pPr>
            <w:r>
              <w:rPr>
                <w:rFonts w:ascii="Aptos" w:hAnsi="Aptos"/>
                <w:color w:val="1F2937"/>
                <w:sz w:val="17"/>
              </w:rPr>
              <w:t>Which supplier or source should fulfill demand, and in what proportion?</w:t>
            </w:r>
          </w:p>
        </w:tc>
        <w:tc>
          <w:tcPr>
            <w:tcW w:type="dxa" w:w="3312"/>
            <w:vAlign w:val="center"/>
            <w:tcMar>
              <w:top w:w="80" w:type="dxa"/>
              <w:start w:w="90" w:type="dxa"/>
              <w:bottom w:w="80" w:type="dxa"/>
              <w:end w:w="90" w:type="dxa"/>
            </w:tcMar>
          </w:tcPr>
          <w:p>
            <w:pPr>
              <w:spacing w:after="0"/>
            </w:pPr>
            <w:r>
              <w:rPr>
                <w:rFonts w:ascii="Aptos" w:hAnsi="Aptos"/>
                <w:color w:val="1F2937"/>
                <w:sz w:val="17"/>
              </w:rPr>
              <w:t>Transportation lanes, external procurement relationships, quota arrangements, optimizer source determination</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Production</w:t>
            </w:r>
          </w:p>
        </w:tc>
        <w:tc>
          <w:tcPr>
            <w:tcW w:type="dxa" w:w="4320"/>
            <w:vAlign w:val="center"/>
            <w:tcMar>
              <w:top w:w="80" w:type="dxa"/>
              <w:start w:w="90" w:type="dxa"/>
              <w:bottom w:w="80" w:type="dxa"/>
              <w:end w:w="90" w:type="dxa"/>
            </w:tcMar>
          </w:tcPr>
          <w:p>
            <w:pPr>
              <w:spacing w:after="0"/>
            </w:pPr>
            <w:r>
              <w:rPr>
                <w:rFonts w:ascii="Aptos" w:hAnsi="Aptos"/>
                <w:color w:val="1F2937"/>
                <w:sz w:val="17"/>
              </w:rPr>
              <w:t>Where and how much should be produced within available capacity?</w:t>
            </w:r>
          </w:p>
        </w:tc>
        <w:tc>
          <w:tcPr>
            <w:tcW w:type="dxa" w:w="3312"/>
            <w:vAlign w:val="center"/>
            <w:tcMar>
              <w:top w:w="80" w:type="dxa"/>
              <w:start w:w="90" w:type="dxa"/>
              <w:bottom w:w="80" w:type="dxa"/>
              <w:end w:w="90" w:type="dxa"/>
            </w:tcMar>
          </w:tcPr>
          <w:p>
            <w:pPr>
              <w:spacing w:after="0"/>
            </w:pPr>
            <w:r>
              <w:rPr>
                <w:rFonts w:ascii="Aptos" w:hAnsi="Aptos"/>
                <w:color w:val="1F2937"/>
                <w:sz w:val="17"/>
              </w:rPr>
              <w:t>Location-product, resource, PPM/PDS, capacity constraints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Inventory</w:t>
            </w:r>
          </w:p>
        </w:tc>
        <w:tc>
          <w:tcPr>
            <w:tcW w:type="dxa" w:w="4320"/>
            <w:vAlign w:val="center"/>
            <w:tcMar>
              <w:top w:w="80" w:type="dxa"/>
              <w:start w:w="90" w:type="dxa"/>
              <w:bottom w:w="80" w:type="dxa"/>
              <w:end w:w="90" w:type="dxa"/>
            </w:tcMar>
          </w:tcPr>
          <w:p>
            <w:pPr>
              <w:spacing w:after="0"/>
            </w:pPr>
            <w:r>
              <w:rPr>
                <w:rFonts w:ascii="Aptos" w:hAnsi="Aptos"/>
                <w:color w:val="1F2937"/>
                <w:sz w:val="17"/>
              </w:rPr>
              <w:t>How much stock should be positioned at plant and DC level?</w:t>
            </w:r>
          </w:p>
        </w:tc>
        <w:tc>
          <w:tcPr>
            <w:tcW w:type="dxa" w:w="3312"/>
            <w:vAlign w:val="center"/>
            <w:tcMar>
              <w:top w:w="80" w:type="dxa"/>
              <w:start w:w="90" w:type="dxa"/>
              <w:bottom w:w="80" w:type="dxa"/>
              <w:end w:w="90" w:type="dxa"/>
            </w:tcMar>
          </w:tcPr>
          <w:p>
            <w:pPr>
              <w:spacing w:after="0"/>
            </w:pPr>
            <w:r>
              <w:rPr>
                <w:rFonts w:ascii="Aptos" w:hAnsi="Aptos"/>
                <w:color w:val="1F2937"/>
                <w:sz w:val="17"/>
              </w:rPr>
              <w:t>Safety stock, service level, lot-size and stock key figures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Distribution</w:t>
            </w:r>
          </w:p>
        </w:tc>
        <w:tc>
          <w:tcPr>
            <w:tcW w:type="dxa" w:w="4320"/>
            <w:vAlign w:val="center"/>
            <w:tcMar>
              <w:top w:w="80" w:type="dxa"/>
              <w:start w:w="90" w:type="dxa"/>
              <w:bottom w:w="80" w:type="dxa"/>
              <w:end w:w="90" w:type="dxa"/>
            </w:tcMar>
          </w:tcPr>
          <w:p>
            <w:pPr>
              <w:spacing w:after="0"/>
            </w:pPr>
            <w:r>
              <w:rPr>
                <w:rFonts w:ascii="Aptos" w:hAnsi="Aptos"/>
                <w:color w:val="1F2937"/>
                <w:sz w:val="17"/>
              </w:rPr>
              <w:t>Which DC should serve each market and when should stock transfer occur?</w:t>
            </w:r>
          </w:p>
        </w:tc>
        <w:tc>
          <w:tcPr>
            <w:tcW w:type="dxa" w:w="3312"/>
            <w:vAlign w:val="center"/>
            <w:tcMar>
              <w:top w:w="80" w:type="dxa"/>
              <w:start w:w="90" w:type="dxa"/>
              <w:bottom w:w="80" w:type="dxa"/>
              <w:end w:w="90" w:type="dxa"/>
            </w:tcMar>
          </w:tcPr>
          <w:p>
            <w:pPr>
              <w:spacing w:after="0"/>
            </w:pPr>
            <w:r>
              <w:rPr>
                <w:rFonts w:ascii="Aptos" w:hAnsi="Aptos"/>
                <w:color w:val="1F2937"/>
                <w:sz w:val="17"/>
              </w:rPr>
              <w:t>Transportation lanes, SNP planned stock transfers, deployment</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Transportation</w:t>
            </w:r>
          </w:p>
        </w:tc>
        <w:tc>
          <w:tcPr>
            <w:tcW w:type="dxa" w:w="4320"/>
            <w:vAlign w:val="center"/>
            <w:tcMar>
              <w:top w:w="80" w:type="dxa"/>
              <w:start w:w="90" w:type="dxa"/>
              <w:bottom w:w="80" w:type="dxa"/>
              <w:end w:w="90" w:type="dxa"/>
            </w:tcMar>
          </w:tcPr>
          <w:p>
            <w:pPr>
              <w:spacing w:after="0"/>
            </w:pPr>
            <w:r>
              <w:rPr>
                <w:rFonts w:ascii="Aptos" w:hAnsi="Aptos"/>
                <w:color w:val="1F2937"/>
                <w:sz w:val="17"/>
              </w:rPr>
              <w:t>Which mode/lane should be used, with what lead time and cost?</w:t>
            </w:r>
          </w:p>
        </w:tc>
        <w:tc>
          <w:tcPr>
            <w:tcW w:type="dxa" w:w="3312"/>
            <w:vAlign w:val="center"/>
            <w:tcMar>
              <w:top w:w="80" w:type="dxa"/>
              <w:start w:w="90" w:type="dxa"/>
              <w:bottom w:w="80" w:type="dxa"/>
              <w:end w:w="90" w:type="dxa"/>
            </w:tcMar>
          </w:tcPr>
          <w:p>
            <w:pPr>
              <w:spacing w:after="0"/>
            </w:pPr>
            <w:r>
              <w:rPr>
                <w:rFonts w:ascii="Aptos" w:hAnsi="Aptos"/>
                <w:color w:val="1F2937"/>
                <w:sz w:val="17"/>
              </w:rPr>
              <w:t>Means of transport, transportation lanes, TLB</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7"/>
              </w:rPr>
              <w:t>Scenario planning</w:t>
            </w:r>
          </w:p>
        </w:tc>
        <w:tc>
          <w:tcPr>
            <w:tcW w:type="dxa" w:w="4320"/>
            <w:vAlign w:val="center"/>
            <w:tcMar>
              <w:top w:w="80" w:type="dxa"/>
              <w:start w:w="90" w:type="dxa"/>
              <w:bottom w:w="80" w:type="dxa"/>
              <w:end w:w="90" w:type="dxa"/>
            </w:tcMar>
          </w:tcPr>
          <w:p>
            <w:pPr>
              <w:spacing w:after="0"/>
            </w:pPr>
            <w:r>
              <w:rPr>
                <w:rFonts w:ascii="Aptos" w:hAnsi="Aptos"/>
                <w:color w:val="1F2937"/>
                <w:sz w:val="17"/>
              </w:rPr>
              <w:t>How do cost, service, demand, or disruption assumptions change the plan?</w:t>
            </w:r>
          </w:p>
        </w:tc>
        <w:tc>
          <w:tcPr>
            <w:tcW w:type="dxa" w:w="3312"/>
            <w:vAlign w:val="center"/>
            <w:tcMar>
              <w:top w:w="80" w:type="dxa"/>
              <w:start w:w="90" w:type="dxa"/>
              <w:bottom w:w="80" w:type="dxa"/>
              <w:end w:w="90" w:type="dxa"/>
            </w:tcMar>
          </w:tcPr>
          <w:p>
            <w:pPr>
              <w:spacing w:after="0"/>
            </w:pPr>
            <w:r>
              <w:rPr>
                <w:rFonts w:ascii="Aptos" w:hAnsi="Aptos"/>
                <w:color w:val="1F2937"/>
                <w:sz w:val="17"/>
              </w:rPr>
              <w:t>Model/planning versions, optimizer profiles, planning book analysis</w:t>
            </w:r>
          </w:p>
        </w:tc>
      </w:tr>
    </w:tbl>
    <w:p>
      <w:pPr>
        <w:spacing w:after="20"/>
      </w:pPr>
    </w:p>
    <w:p>
      <w:pPr>
        <w:pStyle w:val="Heading2"/>
        <w:keepNext/>
        <w:keepLines/>
      </w:pPr>
      <w:r>
        <w:rPr>
          <w:rFonts w:ascii="Aptos" w:hAnsi="Aptos"/>
          <w:b/>
          <w:color w:val="365F91"/>
          <w:sz w:val="24"/>
        </w:rPr>
        <w:t>1.3 Scope and boundaries</w:t>
      </w:r>
    </w:p>
    <w:p>
      <w:pPr>
        <w:pStyle w:val="ListBullet"/>
        <w:spacing w:after="60"/>
        <w:ind w:left="0"/>
      </w:pPr>
      <w:r>
        <w:rPr>
          <w:rFonts w:ascii="Aptos" w:hAnsi="Aptos"/>
          <w:color w:val="1F2937"/>
          <w:sz w:val="20"/>
        </w:rPr>
        <w:t>Tactical planning horizon: 26 weeks, with greater detail in the near term.</w:t>
      </w:r>
    </w:p>
    <w:p>
      <w:pPr>
        <w:pStyle w:val="ListBullet"/>
        <w:spacing w:after="60"/>
        <w:ind w:left="0"/>
      </w:pPr>
      <w:r>
        <w:rPr>
          <w:rFonts w:ascii="Aptos" w:hAnsi="Aptos"/>
          <w:color w:val="1F2937"/>
          <w:sz w:val="20"/>
        </w:rPr>
        <w:t>One finished product family is modeled in detail: DH-MILLET-MIX-1KG. Raw millet and packaging are simplified into representative components.</w:t>
      </w:r>
    </w:p>
    <w:p>
      <w:pPr>
        <w:pStyle w:val="ListBullet"/>
        <w:spacing w:after="60"/>
        <w:ind w:left="0"/>
      </w:pPr>
      <w:r>
        <w:rPr>
          <w:rFonts w:ascii="Aptos" w:hAnsi="Aptos"/>
          <w:color w:val="1F2937"/>
          <w:sz w:val="20"/>
        </w:rPr>
        <w:t>The report focuses on network planning and logistics design, not detailed shop-floor sequencing or warehouse execution.</w:t>
      </w:r>
    </w:p>
    <w:p>
      <w:pPr>
        <w:pStyle w:val="ListBullet"/>
        <w:spacing w:after="60"/>
        <w:ind w:left="0"/>
      </w:pPr>
      <w:r>
        <w:rPr>
          <w:rFonts w:ascii="Aptos" w:hAnsi="Aptos"/>
          <w:color w:val="1F2937"/>
          <w:sz w:val="20"/>
        </w:rPr>
        <w:t>All costs, capacities, demand quantities, and lead times are planning assumptions for the fictional scenario.</w:t>
      </w:r>
    </w:p>
    <w:p>
      <w:pPr>
        <w:pStyle w:val="ListBullet"/>
        <w:spacing w:after="60"/>
        <w:ind w:left="0"/>
      </w:pPr>
      <w:r>
        <w:rPr>
          <w:rFonts w:ascii="Aptos" w:hAnsi="Aptos"/>
          <w:color w:val="1F2937"/>
          <w:sz w:val="20"/>
        </w:rPr>
        <w:t>The design assumes SAP APO/SNP functionality and standard master-data concepts. Exact screens and available functions can differ by release and customer configuration. Configuration steps in this report are therefore a design-level blueprint; screenshots or system outputs should only be added if they come from an SAP system actually used for the exercise.</w:t>
      </w:r>
    </w:p>
    <w:p>
      <w:pPr>
        <w:pStyle w:val="Heading1"/>
        <w:keepNext/>
        <w:keepLines/>
      </w:pPr>
      <w:r>
        <w:rPr>
          <w:rFonts w:ascii="Aptos" w:hAnsi="Aptos"/>
          <w:b/>
          <w:color w:val="365F91"/>
          <w:sz w:val="30"/>
        </w:rPr>
        <w:t>2. Business Scenario and Assumptions</w:t>
      </w:r>
    </w:p>
    <w:p>
      <w:pPr>
        <w:pStyle w:val="Heading2"/>
        <w:keepNext/>
        <w:keepLines/>
      </w:pPr>
      <w:r>
        <w:rPr>
          <w:rFonts w:ascii="Aptos" w:hAnsi="Aptos"/>
          <w:b/>
          <w:color w:val="365F91"/>
          <w:sz w:val="24"/>
        </w:rPr>
        <w:t>2.1 Fictional company profile</w:t>
      </w:r>
    </w:p>
    <w:p>
      <w:pPr>
        <w:spacing w:after="120" w:line="259" w:lineRule="auto"/>
      </w:pPr>
      <w:r>
        <w:rPr>
          <w:rFonts w:ascii="Aptos" w:hAnsi="Aptos"/>
          <w:color w:val="1F2937"/>
          <w:sz w:val="20"/>
        </w:rPr>
        <w:t>For the scenario, I selected a vegetarian, shelf-stable millet ready-to-cook product because it gives a realistic combination of agricultural sourcing, packaging dependency, production capacity, regional warehousing, and transport planning. I assumed that Deccan Harvest Foods currently relies heavily on spreadsheets and faces three common planning issues: uneven stock across DCs, dependence on one major raw-material supplier, and reactive transport decisions during demand spikes.</w:t>
      </w:r>
    </w:p>
    <w:p>
      <w:pPr>
        <w:pStyle w:val="Heading2"/>
        <w:keepNext/>
        <w:keepLines/>
      </w:pPr>
      <w:r>
        <w:rPr>
          <w:rFonts w:ascii="Aptos" w:hAnsi="Aptos"/>
          <w:b/>
          <w:color w:val="365F91"/>
          <w:sz w:val="24"/>
        </w:rPr>
        <w:t>2.2 Demand and service assumptions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3096"/>
            <w:shd w:fill="365F91"/>
            <w:vAlign w:val="center"/>
            <w:tcMar>
              <w:top w:w="80" w:type="dxa"/>
              <w:start w:w="90" w:type="dxa"/>
              <w:bottom w:w="80" w:type="dxa"/>
              <w:end w:w="90" w:type="dxa"/>
            </w:tcMar>
          </w:tcPr>
          <w:p>
            <w:pPr>
              <w:jc w:val="center"/>
            </w:pPr>
            <w:r>
              <w:rPr>
                <w:rFonts w:ascii="Aptos" w:hAnsi="Aptos"/>
                <w:b/>
                <w:color w:val="FFFFFF"/>
                <w:sz w:val="17"/>
              </w:rPr>
              <w:t>Market / DC</w:t>
            </w:r>
          </w:p>
        </w:tc>
        <w:tc>
          <w:tcPr>
            <w:tcW w:type="dxa" w:w="1800"/>
            <w:shd w:fill="365F91"/>
            <w:vAlign w:val="center"/>
            <w:tcMar>
              <w:top w:w="80" w:type="dxa"/>
              <w:start w:w="90" w:type="dxa"/>
              <w:bottom w:w="80" w:type="dxa"/>
              <w:end w:w="90" w:type="dxa"/>
            </w:tcMar>
          </w:tcPr>
          <w:p>
            <w:pPr>
              <w:jc w:val="center"/>
            </w:pPr>
            <w:r>
              <w:rPr>
                <w:rFonts w:ascii="Aptos" w:hAnsi="Aptos"/>
                <w:b/>
                <w:color w:val="FFFFFF"/>
                <w:sz w:val="17"/>
              </w:rPr>
              <w:t>Average weekly demand</w:t>
            </w:r>
          </w:p>
        </w:tc>
        <w:tc>
          <w:tcPr>
            <w:tcW w:type="dxa" w:w="1080"/>
            <w:shd w:fill="365F91"/>
            <w:vAlign w:val="center"/>
            <w:tcMar>
              <w:top w:w="80" w:type="dxa"/>
              <w:start w:w="90" w:type="dxa"/>
              <w:bottom w:w="80" w:type="dxa"/>
              <w:end w:w="90" w:type="dxa"/>
            </w:tcMar>
          </w:tcPr>
          <w:p>
            <w:pPr>
              <w:jc w:val="center"/>
            </w:pPr>
            <w:r>
              <w:rPr>
                <w:rFonts w:ascii="Aptos" w:hAnsi="Aptos"/>
                <w:b/>
                <w:color w:val="FFFFFF"/>
                <w:sz w:val="17"/>
              </w:rPr>
              <w:t>Share</w:t>
            </w:r>
          </w:p>
        </w:tc>
        <w:tc>
          <w:tcPr>
            <w:tcW w:type="dxa" w:w="1800"/>
            <w:shd w:fill="365F91"/>
            <w:vAlign w:val="center"/>
            <w:tcMar>
              <w:top w:w="80" w:type="dxa"/>
              <w:start w:w="90" w:type="dxa"/>
              <w:bottom w:w="80" w:type="dxa"/>
              <w:end w:w="90" w:type="dxa"/>
            </w:tcMar>
          </w:tcPr>
          <w:p>
            <w:pPr>
              <w:jc w:val="center"/>
            </w:pPr>
            <w:r>
              <w:rPr>
                <w:rFonts w:ascii="Aptos" w:hAnsi="Aptos"/>
                <w:b/>
                <w:color w:val="FFFFFF"/>
                <w:sz w:val="17"/>
              </w:rPr>
              <w:t>Target service level</w:t>
            </w:r>
          </w:p>
        </w:tc>
        <w:tc>
          <w:tcPr>
            <w:tcW w:type="dxa" w:w="2016"/>
            <w:shd w:fill="365F91"/>
            <w:vAlign w:val="center"/>
            <w:tcMar>
              <w:top w:w="80" w:type="dxa"/>
              <w:start w:w="90" w:type="dxa"/>
              <w:bottom w:w="80" w:type="dxa"/>
              <w:end w:w="90" w:type="dxa"/>
            </w:tcMar>
          </w:tcPr>
          <w:p>
            <w:pPr>
              <w:jc w:val="center"/>
            </w:pPr>
            <w:r>
              <w:rPr>
                <w:rFonts w:ascii="Aptos" w:hAnsi="Aptos"/>
                <w:b/>
                <w:color w:val="FFFFFF"/>
                <w:sz w:val="17"/>
              </w:rPr>
              <w:t>Proposed DC safety stock</w:t>
            </w:r>
          </w:p>
        </w:tc>
      </w:tr>
      <w:tr>
        <w:trPr>
          <w:cantSplit/>
        </w:trPr>
        <w:tc>
          <w:tcPr>
            <w:tcW w:type="dxa" w:w="3096"/>
            <w:vAlign w:val="center"/>
            <w:tcMar>
              <w:top w:w="80" w:type="dxa"/>
              <w:start w:w="90" w:type="dxa"/>
              <w:bottom w:w="80" w:type="dxa"/>
              <w:end w:w="90" w:type="dxa"/>
            </w:tcMar>
          </w:tcPr>
          <w:p>
            <w:pPr>
              <w:spacing w:after="0"/>
            </w:pPr>
            <w:r>
              <w:rPr>
                <w:rFonts w:ascii="Aptos" w:hAnsi="Aptos"/>
                <w:color w:val="1F2937"/>
                <w:sz w:val="17"/>
              </w:rPr>
              <w:t>Telangana / Hyderabad DC</w:t>
            </w:r>
          </w:p>
        </w:tc>
        <w:tc>
          <w:tcPr>
            <w:tcW w:type="dxa" w:w="1800"/>
            <w:vAlign w:val="center"/>
            <w:tcMar>
              <w:top w:w="80" w:type="dxa"/>
              <w:start w:w="90" w:type="dxa"/>
              <w:bottom w:w="80" w:type="dxa"/>
              <w:end w:w="90" w:type="dxa"/>
            </w:tcMar>
          </w:tcPr>
          <w:p>
            <w:pPr>
              <w:spacing w:after="0"/>
            </w:pPr>
            <w:r>
              <w:rPr>
                <w:rFonts w:ascii="Aptos" w:hAnsi="Aptos"/>
                <w:color w:val="1F2937"/>
                <w:sz w:val="17"/>
              </w:rPr>
              <w:t>60 t</w:t>
            </w:r>
          </w:p>
        </w:tc>
        <w:tc>
          <w:tcPr>
            <w:tcW w:type="dxa" w:w="1080"/>
            <w:vAlign w:val="center"/>
            <w:tcMar>
              <w:top w:w="80" w:type="dxa"/>
              <w:start w:w="90" w:type="dxa"/>
              <w:bottom w:w="80" w:type="dxa"/>
              <w:end w:w="90" w:type="dxa"/>
            </w:tcMar>
          </w:tcPr>
          <w:p>
            <w:pPr>
              <w:spacing w:after="0"/>
            </w:pPr>
            <w:r>
              <w:rPr>
                <w:rFonts w:ascii="Aptos" w:hAnsi="Aptos"/>
                <w:color w:val="1F2937"/>
                <w:sz w:val="17"/>
              </w:rPr>
              <w:t>41%</w:t>
            </w:r>
          </w:p>
        </w:tc>
        <w:tc>
          <w:tcPr>
            <w:tcW w:type="dxa" w:w="1800"/>
            <w:vAlign w:val="center"/>
            <w:tcMar>
              <w:top w:w="80" w:type="dxa"/>
              <w:start w:w="90" w:type="dxa"/>
              <w:bottom w:w="80" w:type="dxa"/>
              <w:end w:w="90" w:type="dxa"/>
            </w:tcMar>
          </w:tcPr>
          <w:p>
            <w:pPr>
              <w:spacing w:after="0"/>
            </w:pPr>
            <w:r>
              <w:rPr>
                <w:rFonts w:ascii="Aptos" w:hAnsi="Aptos"/>
                <w:color w:val="1F2937"/>
                <w:sz w:val="17"/>
              </w:rPr>
              <w:t>98%</w:t>
            </w:r>
          </w:p>
        </w:tc>
        <w:tc>
          <w:tcPr>
            <w:tcW w:type="dxa" w:w="2016"/>
            <w:vAlign w:val="center"/>
            <w:tcMar>
              <w:top w:w="80" w:type="dxa"/>
              <w:start w:w="90" w:type="dxa"/>
              <w:bottom w:w="80" w:type="dxa"/>
              <w:end w:w="90" w:type="dxa"/>
            </w:tcMar>
          </w:tcPr>
          <w:p>
            <w:pPr>
              <w:spacing w:after="0"/>
            </w:pPr>
            <w:r>
              <w:rPr>
                <w:rFonts w:ascii="Aptos" w:hAnsi="Aptos"/>
                <w:color w:val="1F2937"/>
                <w:sz w:val="17"/>
              </w:rPr>
              <w:t>7 days</w:t>
            </w:r>
          </w:p>
        </w:tc>
      </w:tr>
      <w:tr>
        <w:trPr>
          <w:cantSplit/>
        </w:trPr>
        <w:tc>
          <w:tcPr>
            <w:tcW w:type="dxa" w:w="3096"/>
            <w:vAlign w:val="center"/>
            <w:tcMar>
              <w:top w:w="80" w:type="dxa"/>
              <w:start w:w="90" w:type="dxa"/>
              <w:bottom w:w="80" w:type="dxa"/>
              <w:end w:w="90" w:type="dxa"/>
            </w:tcMar>
          </w:tcPr>
          <w:p>
            <w:pPr>
              <w:spacing w:after="0"/>
            </w:pPr>
            <w:r>
              <w:rPr>
                <w:rFonts w:ascii="Aptos" w:hAnsi="Aptos"/>
                <w:color w:val="1F2937"/>
                <w:sz w:val="17"/>
              </w:rPr>
              <w:t>Andhra Pradesh / Vijayawada DC</w:t>
            </w:r>
          </w:p>
        </w:tc>
        <w:tc>
          <w:tcPr>
            <w:tcW w:type="dxa" w:w="1800"/>
            <w:vAlign w:val="center"/>
            <w:tcMar>
              <w:top w:w="80" w:type="dxa"/>
              <w:start w:w="90" w:type="dxa"/>
              <w:bottom w:w="80" w:type="dxa"/>
              <w:end w:w="90" w:type="dxa"/>
            </w:tcMar>
          </w:tcPr>
          <w:p>
            <w:pPr>
              <w:spacing w:after="0"/>
            </w:pPr>
            <w:r>
              <w:rPr>
                <w:rFonts w:ascii="Aptos" w:hAnsi="Aptos"/>
                <w:color w:val="1F2937"/>
                <w:sz w:val="17"/>
              </w:rPr>
              <w:t>40 t</w:t>
            </w:r>
          </w:p>
        </w:tc>
        <w:tc>
          <w:tcPr>
            <w:tcW w:type="dxa" w:w="1080"/>
            <w:vAlign w:val="center"/>
            <w:tcMar>
              <w:top w:w="80" w:type="dxa"/>
              <w:start w:w="90" w:type="dxa"/>
              <w:bottom w:w="80" w:type="dxa"/>
              <w:end w:w="90" w:type="dxa"/>
            </w:tcMar>
          </w:tcPr>
          <w:p>
            <w:pPr>
              <w:spacing w:after="0"/>
            </w:pPr>
            <w:r>
              <w:rPr>
                <w:rFonts w:ascii="Aptos" w:hAnsi="Aptos"/>
                <w:color w:val="1F2937"/>
                <w:sz w:val="17"/>
              </w:rPr>
              <w:t>28%</w:t>
            </w:r>
          </w:p>
        </w:tc>
        <w:tc>
          <w:tcPr>
            <w:tcW w:type="dxa" w:w="1800"/>
            <w:vAlign w:val="center"/>
            <w:tcMar>
              <w:top w:w="80" w:type="dxa"/>
              <w:start w:w="90" w:type="dxa"/>
              <w:bottom w:w="80" w:type="dxa"/>
              <w:end w:w="90" w:type="dxa"/>
            </w:tcMar>
          </w:tcPr>
          <w:p>
            <w:pPr>
              <w:spacing w:after="0"/>
            </w:pPr>
            <w:r>
              <w:rPr>
                <w:rFonts w:ascii="Aptos" w:hAnsi="Aptos"/>
                <w:color w:val="1F2937"/>
                <w:sz w:val="17"/>
              </w:rPr>
              <w:t>97%</w:t>
            </w:r>
          </w:p>
        </w:tc>
        <w:tc>
          <w:tcPr>
            <w:tcW w:type="dxa" w:w="2016"/>
            <w:vAlign w:val="center"/>
            <w:tcMar>
              <w:top w:w="80" w:type="dxa"/>
              <w:start w:w="90" w:type="dxa"/>
              <w:bottom w:w="80" w:type="dxa"/>
              <w:end w:w="90" w:type="dxa"/>
            </w:tcMar>
          </w:tcPr>
          <w:p>
            <w:pPr>
              <w:spacing w:after="0"/>
            </w:pPr>
            <w:r>
              <w:rPr>
                <w:rFonts w:ascii="Aptos" w:hAnsi="Aptos"/>
                <w:color w:val="1F2937"/>
                <w:sz w:val="17"/>
              </w:rPr>
              <w:t>7 days</w:t>
            </w:r>
          </w:p>
        </w:tc>
      </w:tr>
      <w:tr>
        <w:trPr>
          <w:cantSplit/>
        </w:trPr>
        <w:tc>
          <w:tcPr>
            <w:tcW w:type="dxa" w:w="3096"/>
            <w:vAlign w:val="center"/>
            <w:tcMar>
              <w:top w:w="80" w:type="dxa"/>
              <w:start w:w="90" w:type="dxa"/>
              <w:bottom w:w="80" w:type="dxa"/>
              <w:end w:w="90" w:type="dxa"/>
            </w:tcMar>
          </w:tcPr>
          <w:p>
            <w:pPr>
              <w:spacing w:after="0"/>
            </w:pPr>
            <w:r>
              <w:rPr>
                <w:rFonts w:ascii="Aptos" w:hAnsi="Aptos"/>
                <w:color w:val="1F2937"/>
                <w:sz w:val="17"/>
              </w:rPr>
              <w:t>Karnataka / Bengaluru DC</w:t>
            </w:r>
          </w:p>
        </w:tc>
        <w:tc>
          <w:tcPr>
            <w:tcW w:type="dxa" w:w="1800"/>
            <w:vAlign w:val="center"/>
            <w:tcMar>
              <w:top w:w="80" w:type="dxa"/>
              <w:start w:w="90" w:type="dxa"/>
              <w:bottom w:w="80" w:type="dxa"/>
              <w:end w:w="90" w:type="dxa"/>
            </w:tcMar>
          </w:tcPr>
          <w:p>
            <w:pPr>
              <w:spacing w:after="0"/>
            </w:pPr>
            <w:r>
              <w:rPr>
                <w:rFonts w:ascii="Aptos" w:hAnsi="Aptos"/>
                <w:color w:val="1F2937"/>
                <w:sz w:val="17"/>
              </w:rPr>
              <w:t>45 t</w:t>
            </w:r>
          </w:p>
        </w:tc>
        <w:tc>
          <w:tcPr>
            <w:tcW w:type="dxa" w:w="1080"/>
            <w:vAlign w:val="center"/>
            <w:tcMar>
              <w:top w:w="80" w:type="dxa"/>
              <w:start w:w="90" w:type="dxa"/>
              <w:bottom w:w="80" w:type="dxa"/>
              <w:end w:w="90" w:type="dxa"/>
            </w:tcMar>
          </w:tcPr>
          <w:p>
            <w:pPr>
              <w:spacing w:after="0"/>
            </w:pPr>
            <w:r>
              <w:rPr>
                <w:rFonts w:ascii="Aptos" w:hAnsi="Aptos"/>
                <w:color w:val="1F2937"/>
                <w:sz w:val="17"/>
              </w:rPr>
              <w:t>31%</w:t>
            </w:r>
          </w:p>
        </w:tc>
        <w:tc>
          <w:tcPr>
            <w:tcW w:type="dxa" w:w="1800"/>
            <w:vAlign w:val="center"/>
            <w:tcMar>
              <w:top w:w="80" w:type="dxa"/>
              <w:start w:w="90" w:type="dxa"/>
              <w:bottom w:w="80" w:type="dxa"/>
              <w:end w:w="90" w:type="dxa"/>
            </w:tcMar>
          </w:tcPr>
          <w:p>
            <w:pPr>
              <w:spacing w:after="0"/>
            </w:pPr>
            <w:r>
              <w:rPr>
                <w:rFonts w:ascii="Aptos" w:hAnsi="Aptos"/>
                <w:color w:val="1F2937"/>
                <w:sz w:val="17"/>
              </w:rPr>
              <w:t>97%</w:t>
            </w:r>
          </w:p>
        </w:tc>
        <w:tc>
          <w:tcPr>
            <w:tcW w:type="dxa" w:w="2016"/>
            <w:vAlign w:val="center"/>
            <w:tcMar>
              <w:top w:w="80" w:type="dxa"/>
              <w:start w:w="90" w:type="dxa"/>
              <w:bottom w:w="80" w:type="dxa"/>
              <w:end w:w="90" w:type="dxa"/>
            </w:tcMar>
          </w:tcPr>
          <w:p>
            <w:pPr>
              <w:spacing w:after="0"/>
            </w:pPr>
            <w:r>
              <w:rPr>
                <w:rFonts w:ascii="Aptos" w:hAnsi="Aptos"/>
                <w:color w:val="1F2937"/>
                <w:sz w:val="17"/>
              </w:rPr>
              <w:t>8 days</w:t>
            </w:r>
          </w:p>
        </w:tc>
      </w:tr>
      <w:tr>
        <w:trPr>
          <w:cantSplit/>
        </w:trPr>
        <w:tc>
          <w:tcPr>
            <w:tcW w:type="dxa" w:w="3096"/>
            <w:vAlign w:val="center"/>
            <w:tcMar>
              <w:top w:w="80" w:type="dxa"/>
              <w:start w:w="90" w:type="dxa"/>
              <w:bottom w:w="80" w:type="dxa"/>
              <w:end w:w="90" w:type="dxa"/>
            </w:tcMar>
          </w:tcPr>
          <w:p>
            <w:pPr>
              <w:spacing w:after="0"/>
            </w:pPr>
            <w:r>
              <w:rPr>
                <w:rFonts w:ascii="Aptos" w:hAnsi="Aptos"/>
                <w:color w:val="1F2937"/>
                <w:sz w:val="17"/>
              </w:rPr>
              <w:t>Total</w:t>
            </w:r>
          </w:p>
        </w:tc>
        <w:tc>
          <w:tcPr>
            <w:tcW w:type="dxa" w:w="1800"/>
            <w:vAlign w:val="center"/>
            <w:tcMar>
              <w:top w:w="80" w:type="dxa"/>
              <w:start w:w="90" w:type="dxa"/>
              <w:bottom w:w="80" w:type="dxa"/>
              <w:end w:w="90" w:type="dxa"/>
            </w:tcMar>
          </w:tcPr>
          <w:p>
            <w:pPr>
              <w:spacing w:after="0"/>
            </w:pPr>
            <w:r>
              <w:rPr>
                <w:rFonts w:ascii="Aptos" w:hAnsi="Aptos"/>
                <w:color w:val="1F2937"/>
                <w:sz w:val="17"/>
              </w:rPr>
              <w:t>145 t</w:t>
            </w:r>
          </w:p>
        </w:tc>
        <w:tc>
          <w:tcPr>
            <w:tcW w:type="dxa" w:w="1080"/>
            <w:vAlign w:val="center"/>
            <w:tcMar>
              <w:top w:w="80" w:type="dxa"/>
              <w:start w:w="90" w:type="dxa"/>
              <w:bottom w:w="80" w:type="dxa"/>
              <w:end w:w="90" w:type="dxa"/>
            </w:tcMar>
          </w:tcPr>
          <w:p>
            <w:pPr>
              <w:spacing w:after="0"/>
            </w:pPr>
            <w:r>
              <w:rPr>
                <w:rFonts w:ascii="Aptos" w:hAnsi="Aptos"/>
                <w:color w:val="1F2937"/>
                <w:sz w:val="17"/>
              </w:rPr>
              <w:t>100%</w:t>
            </w:r>
          </w:p>
        </w:tc>
        <w:tc>
          <w:tcPr>
            <w:tcW w:type="dxa" w:w="1800"/>
            <w:vAlign w:val="center"/>
            <w:tcMar>
              <w:top w:w="80" w:type="dxa"/>
              <w:start w:w="90" w:type="dxa"/>
              <w:bottom w:w="80" w:type="dxa"/>
              <w:end w:w="90" w:type="dxa"/>
            </w:tcMar>
          </w:tcPr>
          <w:p>
            <w:pPr>
              <w:spacing w:after="0"/>
            </w:pPr>
            <w:r>
              <w:rPr>
                <w:rFonts w:ascii="Aptos" w:hAnsi="Aptos"/>
                <w:color w:val="1F2937"/>
                <w:sz w:val="17"/>
              </w:rPr>
              <w:t>&gt;=97% weighted</w:t>
            </w:r>
          </w:p>
        </w:tc>
        <w:tc>
          <w:tcPr>
            <w:tcW w:type="dxa" w:w="2016"/>
            <w:vAlign w:val="center"/>
            <w:tcMar>
              <w:top w:w="80" w:type="dxa"/>
              <w:start w:w="90" w:type="dxa"/>
              <w:bottom w:w="80" w:type="dxa"/>
              <w:end w:w="90" w:type="dxa"/>
            </w:tcMar>
          </w:tcPr>
          <w:p>
            <w:pPr>
              <w:spacing w:after="0"/>
            </w:pPr>
            <w:r>
              <w:rPr>
                <w:rFonts w:ascii="Aptos" w:hAnsi="Aptos"/>
                <w:color w:val="1F2937"/>
                <w:sz w:val="17"/>
              </w:rPr>
              <w:t>-</w:t>
            </w:r>
          </w:p>
        </w:tc>
      </w:tr>
    </w:tbl>
    <w:p>
      <w:pPr>
        <w:spacing w:after="20"/>
      </w:pPr>
    </w:p>
    <w:p>
      <w:pPr>
        <w:pStyle w:val="Heading2"/>
        <w:keepNext/>
        <w:keepLines/>
      </w:pPr>
      <w:r>
        <w:rPr>
          <w:rFonts w:ascii="Aptos" w:hAnsi="Aptos"/>
          <w:b/>
          <w:color w:val="365F91"/>
          <w:sz w:val="24"/>
        </w:rPr>
        <w:t>2.3 Supply, production, and inventory assumptions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365F91"/>
            <w:vAlign w:val="center"/>
            <w:tcMar>
              <w:top w:w="80" w:type="dxa"/>
              <w:start w:w="90" w:type="dxa"/>
              <w:bottom w:w="80" w:type="dxa"/>
              <w:end w:w="90" w:type="dxa"/>
            </w:tcMar>
          </w:tcPr>
          <w:p>
            <w:pPr>
              <w:jc w:val="center"/>
            </w:pPr>
            <w:r>
              <w:rPr>
                <w:rFonts w:ascii="Aptos" w:hAnsi="Aptos"/>
                <w:b/>
                <w:color w:val="FFFFFF"/>
                <w:sz w:val="17"/>
              </w:rPr>
              <w:t>Element</w:t>
            </w:r>
          </w:p>
        </w:tc>
        <w:tc>
          <w:tcPr>
            <w:tcW w:type="dxa" w:w="3744"/>
            <w:shd w:fill="365F91"/>
            <w:vAlign w:val="center"/>
            <w:tcMar>
              <w:top w:w="80" w:type="dxa"/>
              <w:start w:w="90" w:type="dxa"/>
              <w:bottom w:w="80" w:type="dxa"/>
              <w:end w:w="90" w:type="dxa"/>
            </w:tcMar>
          </w:tcPr>
          <w:p>
            <w:pPr>
              <w:jc w:val="center"/>
            </w:pPr>
            <w:r>
              <w:rPr>
                <w:rFonts w:ascii="Aptos" w:hAnsi="Aptos"/>
                <w:b/>
                <w:color w:val="FFFFFF"/>
                <w:sz w:val="17"/>
              </w:rPr>
              <w:t>Planning assumption</w:t>
            </w:r>
          </w:p>
        </w:tc>
        <w:tc>
          <w:tcPr>
            <w:tcW w:type="dxa" w:w="3816"/>
            <w:shd w:fill="365F91"/>
            <w:vAlign w:val="center"/>
            <w:tcMar>
              <w:top w:w="80" w:type="dxa"/>
              <w:start w:w="90" w:type="dxa"/>
              <w:bottom w:w="80" w:type="dxa"/>
              <w:end w:w="90" w:type="dxa"/>
            </w:tcMar>
          </w:tcPr>
          <w:p>
            <w:pPr>
              <w:jc w:val="center"/>
            </w:pPr>
            <w:r>
              <w:rPr>
                <w:rFonts w:ascii="Aptos" w:hAnsi="Aptos"/>
                <w:b/>
                <w:color w:val="FFFFFF"/>
                <w:sz w:val="17"/>
              </w:rPr>
              <w:t>Rationale</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Supplier S1 - Nizamabad</w:t>
            </w:r>
          </w:p>
        </w:tc>
        <w:tc>
          <w:tcPr>
            <w:tcW w:type="dxa" w:w="3744"/>
            <w:vAlign w:val="center"/>
            <w:tcMar>
              <w:top w:w="80" w:type="dxa"/>
              <w:start w:w="90" w:type="dxa"/>
              <w:bottom w:w="80" w:type="dxa"/>
              <w:end w:w="90" w:type="dxa"/>
            </w:tcMar>
          </w:tcPr>
          <w:p>
            <w:pPr>
              <w:spacing w:after="0"/>
            </w:pPr>
            <w:r>
              <w:rPr>
                <w:rFonts w:ascii="Aptos" w:hAnsi="Aptos"/>
                <w:color w:val="1F2937"/>
                <w:sz w:val="17"/>
              </w:rPr>
              <w:t>120 t/week raw millet capacity; 2-day lead time; base quota 70%</w:t>
            </w:r>
          </w:p>
        </w:tc>
        <w:tc>
          <w:tcPr>
            <w:tcW w:type="dxa" w:w="3816"/>
            <w:vAlign w:val="center"/>
            <w:tcMar>
              <w:top w:w="80" w:type="dxa"/>
              <w:start w:w="90" w:type="dxa"/>
              <w:bottom w:w="80" w:type="dxa"/>
              <w:end w:w="90" w:type="dxa"/>
            </w:tcMar>
          </w:tcPr>
          <w:p>
            <w:pPr>
              <w:spacing w:after="0"/>
            </w:pPr>
            <w:r>
              <w:rPr>
                <w:rFonts w:ascii="Aptos" w:hAnsi="Aptos"/>
                <w:color w:val="1F2937"/>
                <w:sz w:val="17"/>
              </w:rPr>
              <w:t>Nearest high-quality source; lowest inbound cost but concentration risk</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Supplier S2 - Nagpur</w:t>
            </w:r>
          </w:p>
        </w:tc>
        <w:tc>
          <w:tcPr>
            <w:tcW w:type="dxa" w:w="3744"/>
            <w:vAlign w:val="center"/>
            <w:tcMar>
              <w:top w:w="80" w:type="dxa"/>
              <w:start w:w="90" w:type="dxa"/>
              <w:bottom w:w="80" w:type="dxa"/>
              <w:end w:w="90" w:type="dxa"/>
            </w:tcMar>
          </w:tcPr>
          <w:p>
            <w:pPr>
              <w:spacing w:after="0"/>
            </w:pPr>
            <w:r>
              <w:rPr>
                <w:rFonts w:ascii="Aptos" w:hAnsi="Aptos"/>
                <w:color w:val="1F2937"/>
                <w:sz w:val="17"/>
              </w:rPr>
              <w:t>80 t/week capacity; 3-day lead time; base quota 30%</w:t>
            </w:r>
          </w:p>
        </w:tc>
        <w:tc>
          <w:tcPr>
            <w:tcW w:type="dxa" w:w="3816"/>
            <w:vAlign w:val="center"/>
            <w:tcMar>
              <w:top w:w="80" w:type="dxa"/>
              <w:start w:w="90" w:type="dxa"/>
              <w:bottom w:w="80" w:type="dxa"/>
              <w:end w:w="90" w:type="dxa"/>
            </w:tcMar>
          </w:tcPr>
          <w:p>
            <w:pPr>
              <w:spacing w:after="0"/>
            </w:pPr>
            <w:r>
              <w:rPr>
                <w:rFonts w:ascii="Aptos" w:hAnsi="Aptos"/>
                <w:color w:val="1F2937"/>
                <w:sz w:val="17"/>
              </w:rPr>
              <w:t>Qualified alternate source; supports continuity during regional disruption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Packaging supplier - Hyderabad</w:t>
            </w:r>
          </w:p>
        </w:tc>
        <w:tc>
          <w:tcPr>
            <w:tcW w:type="dxa" w:w="3744"/>
            <w:vAlign w:val="center"/>
            <w:tcMar>
              <w:top w:w="80" w:type="dxa"/>
              <w:start w:w="90" w:type="dxa"/>
              <w:bottom w:w="80" w:type="dxa"/>
              <w:end w:w="90" w:type="dxa"/>
            </w:tcMar>
          </w:tcPr>
          <w:p>
            <w:pPr>
              <w:spacing w:after="0"/>
            </w:pPr>
            <w:r>
              <w:rPr>
                <w:rFonts w:ascii="Aptos" w:hAnsi="Aptos"/>
                <w:color w:val="1F2937"/>
                <w:sz w:val="17"/>
              </w:rPr>
              <w:t>1-day lead time; minimum 2 weeks cover maintained</w:t>
            </w:r>
          </w:p>
        </w:tc>
        <w:tc>
          <w:tcPr>
            <w:tcW w:type="dxa" w:w="3816"/>
            <w:vAlign w:val="center"/>
            <w:tcMar>
              <w:top w:w="80" w:type="dxa"/>
              <w:start w:w="90" w:type="dxa"/>
              <w:bottom w:w="80" w:type="dxa"/>
              <w:end w:w="90" w:type="dxa"/>
            </w:tcMar>
          </w:tcPr>
          <w:p>
            <w:pPr>
              <w:spacing w:after="0"/>
            </w:pPr>
            <w:r>
              <w:rPr>
                <w:rFonts w:ascii="Aptos" w:hAnsi="Aptos"/>
                <w:color w:val="1F2937"/>
                <w:sz w:val="17"/>
              </w:rPr>
              <w:t>Low-value critical material; shortage can stop finished-goods production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Plant P1 - Medchal</w:t>
            </w:r>
          </w:p>
        </w:tc>
        <w:tc>
          <w:tcPr>
            <w:tcW w:type="dxa" w:w="3744"/>
            <w:vAlign w:val="center"/>
            <w:tcMar>
              <w:top w:w="80" w:type="dxa"/>
              <w:start w:w="90" w:type="dxa"/>
              <w:bottom w:w="80" w:type="dxa"/>
              <w:end w:w="90" w:type="dxa"/>
            </w:tcMar>
          </w:tcPr>
          <w:p>
            <w:pPr>
              <w:spacing w:after="0"/>
            </w:pPr>
            <w:r>
              <w:rPr>
                <w:rFonts w:ascii="Aptos" w:hAnsi="Aptos"/>
                <w:color w:val="1F2937"/>
                <w:sz w:val="17"/>
              </w:rPr>
              <w:t>180 t/week normal capacity; 90% preferred loading threshold</w:t>
            </w:r>
          </w:p>
        </w:tc>
        <w:tc>
          <w:tcPr>
            <w:tcW w:type="dxa" w:w="3816"/>
            <w:vAlign w:val="center"/>
            <w:tcMar>
              <w:top w:w="80" w:type="dxa"/>
              <w:start w:w="90" w:type="dxa"/>
              <w:bottom w:w="80" w:type="dxa"/>
              <w:end w:w="90" w:type="dxa"/>
            </w:tcMar>
          </w:tcPr>
          <w:p>
            <w:pPr>
              <w:spacing w:after="0"/>
            </w:pPr>
            <w:r>
              <w:rPr>
                <w:rFonts w:ascii="Aptos" w:hAnsi="Aptos"/>
                <w:color w:val="1F2937"/>
                <w:sz w:val="17"/>
              </w:rPr>
              <w:t>Allows headroom above 145 t/week demand for seasonality and recovery</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Backup contract packer - Sangareddy</w:t>
            </w:r>
          </w:p>
        </w:tc>
        <w:tc>
          <w:tcPr>
            <w:tcW w:type="dxa" w:w="3744"/>
            <w:vAlign w:val="center"/>
            <w:tcMar>
              <w:top w:w="80" w:type="dxa"/>
              <w:start w:w="90" w:type="dxa"/>
              <w:bottom w:w="80" w:type="dxa"/>
              <w:end w:w="90" w:type="dxa"/>
            </w:tcMar>
          </w:tcPr>
          <w:p>
            <w:pPr>
              <w:spacing w:after="0"/>
            </w:pPr>
            <w:r>
              <w:rPr>
                <w:rFonts w:ascii="Aptos" w:hAnsi="Aptos"/>
                <w:color w:val="1F2937"/>
                <w:sz w:val="17"/>
              </w:rPr>
              <w:t>Up to 40 t/week during approved contingency</w:t>
            </w:r>
          </w:p>
        </w:tc>
        <w:tc>
          <w:tcPr>
            <w:tcW w:type="dxa" w:w="3816"/>
            <w:vAlign w:val="center"/>
            <w:tcMar>
              <w:top w:w="80" w:type="dxa"/>
              <w:start w:w="90" w:type="dxa"/>
              <w:bottom w:w="80" w:type="dxa"/>
              <w:end w:w="90" w:type="dxa"/>
            </w:tcMar>
          </w:tcPr>
          <w:p>
            <w:pPr>
              <w:spacing w:after="0"/>
            </w:pPr>
            <w:r>
              <w:rPr>
                <w:rFonts w:ascii="Aptos" w:hAnsi="Aptos"/>
                <w:color w:val="1F2937"/>
                <w:sz w:val="17"/>
              </w:rPr>
              <w:t>Not part of normal base plan; activated only for major plant disruption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Plant finished-goods buffer</w:t>
            </w:r>
          </w:p>
        </w:tc>
        <w:tc>
          <w:tcPr>
            <w:tcW w:type="dxa" w:w="3744"/>
            <w:vAlign w:val="center"/>
            <w:tcMar>
              <w:top w:w="80" w:type="dxa"/>
              <w:start w:w="90" w:type="dxa"/>
              <w:bottom w:w="80" w:type="dxa"/>
              <w:end w:w="90" w:type="dxa"/>
            </w:tcMar>
          </w:tcPr>
          <w:p>
            <w:pPr>
              <w:spacing w:after="0"/>
            </w:pPr>
            <w:r>
              <w:rPr>
                <w:rFonts w:ascii="Aptos" w:hAnsi="Aptos"/>
                <w:color w:val="1F2937"/>
                <w:sz w:val="17"/>
              </w:rPr>
              <w:t>3 days</w:t>
            </w:r>
          </w:p>
        </w:tc>
        <w:tc>
          <w:tcPr>
            <w:tcW w:type="dxa" w:w="3816"/>
            <w:vAlign w:val="center"/>
            <w:tcMar>
              <w:top w:w="80" w:type="dxa"/>
              <w:start w:w="90" w:type="dxa"/>
              <w:bottom w:w="80" w:type="dxa"/>
              <w:end w:w="90" w:type="dxa"/>
            </w:tcMar>
          </w:tcPr>
          <w:p>
            <w:pPr>
              <w:spacing w:after="0"/>
            </w:pPr>
            <w:r>
              <w:rPr>
                <w:rFonts w:ascii="Aptos" w:hAnsi="Aptos"/>
                <w:color w:val="1F2937"/>
                <w:sz w:val="17"/>
              </w:rPr>
              <w:t>Protects dispatch continuity without excessive central inventory</w:t>
            </w:r>
          </w:p>
        </w:tc>
      </w:tr>
    </w:tbl>
    <w:p>
      <w:pPr>
        <w:spacing w:after="20"/>
      </w:pPr>
    </w:p>
    <w:p>
      <w:pPr>
        <w:pStyle w:val="Heading2"/>
        <w:keepNext/>
        <w:keepLines/>
      </w:pPr>
      <w:r>
        <w:rPr>
          <w:rFonts w:ascii="Aptos" w:hAnsi="Aptos"/>
          <w:b/>
          <w:color w:val="365F91"/>
          <w:sz w:val="24"/>
        </w:rPr>
        <w:t>2.4 Stakeholders and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365F91"/>
            <w:vAlign w:val="center"/>
            <w:tcMar>
              <w:top w:w="80" w:type="dxa"/>
              <w:start w:w="90" w:type="dxa"/>
              <w:bottom w:w="80" w:type="dxa"/>
              <w:end w:w="90" w:type="dxa"/>
            </w:tcMar>
          </w:tcPr>
          <w:p>
            <w:pPr>
              <w:jc w:val="center"/>
            </w:pPr>
            <w:r>
              <w:rPr>
                <w:rFonts w:ascii="Aptos" w:hAnsi="Aptos"/>
                <w:b/>
                <w:color w:val="FFFFFF"/>
                <w:sz w:val="17"/>
              </w:rPr>
              <w:t>Stakeholder</w:t>
            </w:r>
          </w:p>
        </w:tc>
        <w:tc>
          <w:tcPr>
            <w:tcW w:type="dxa" w:w="4320"/>
            <w:shd w:fill="365F91"/>
            <w:vAlign w:val="center"/>
            <w:tcMar>
              <w:top w:w="80" w:type="dxa"/>
              <w:start w:w="90" w:type="dxa"/>
              <w:bottom w:w="80" w:type="dxa"/>
              <w:end w:w="90" w:type="dxa"/>
            </w:tcMar>
          </w:tcPr>
          <w:p>
            <w:pPr>
              <w:jc w:val="center"/>
            </w:pPr>
            <w:r>
              <w:rPr>
                <w:rFonts w:ascii="Aptos" w:hAnsi="Aptos"/>
                <w:b/>
                <w:color w:val="FFFFFF"/>
                <w:sz w:val="17"/>
              </w:rPr>
              <w:t>Primary responsibility in the planning cycle</w:t>
            </w:r>
          </w:p>
        </w:tc>
        <w:tc>
          <w:tcPr>
            <w:tcW w:type="dxa" w:w="3240"/>
            <w:shd w:fill="365F91"/>
            <w:vAlign w:val="center"/>
            <w:tcMar>
              <w:top w:w="80" w:type="dxa"/>
              <w:start w:w="90" w:type="dxa"/>
              <w:bottom w:w="80" w:type="dxa"/>
              <w:end w:w="90" w:type="dxa"/>
            </w:tcMar>
          </w:tcPr>
          <w:p>
            <w:pPr>
              <w:jc w:val="center"/>
            </w:pPr>
            <w:r>
              <w:rPr>
                <w:rFonts w:ascii="Aptos" w:hAnsi="Aptos"/>
                <w:b/>
                <w:color w:val="FFFFFF"/>
                <w:sz w:val="17"/>
              </w:rPr>
              <w:t>Key SAP interaction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Demand Planner</w:t>
            </w:r>
          </w:p>
        </w:tc>
        <w:tc>
          <w:tcPr>
            <w:tcW w:type="dxa" w:w="4320"/>
            <w:vAlign w:val="center"/>
            <w:tcMar>
              <w:top w:w="80" w:type="dxa"/>
              <w:start w:w="90" w:type="dxa"/>
              <w:bottom w:w="80" w:type="dxa"/>
              <w:end w:w="90" w:type="dxa"/>
            </w:tcMar>
          </w:tcPr>
          <w:p>
            <w:pPr>
              <w:spacing w:after="0"/>
            </w:pPr>
            <w:r>
              <w:rPr>
                <w:rFonts w:ascii="Aptos" w:hAnsi="Aptos"/>
                <w:color w:val="1F2937"/>
                <w:sz w:val="17"/>
              </w:rPr>
              <w:t>Own consensus forecast and promotional uplift</w:t>
            </w:r>
          </w:p>
        </w:tc>
        <w:tc>
          <w:tcPr>
            <w:tcW w:type="dxa" w:w="3240"/>
            <w:vAlign w:val="center"/>
            <w:tcMar>
              <w:top w:w="80" w:type="dxa"/>
              <w:start w:w="90" w:type="dxa"/>
              <w:bottom w:w="80" w:type="dxa"/>
              <w:end w:w="90" w:type="dxa"/>
            </w:tcMar>
          </w:tcPr>
          <w:p>
            <w:pPr>
              <w:spacing w:after="0"/>
            </w:pPr>
            <w:r>
              <w:rPr>
                <w:rFonts w:ascii="Aptos" w:hAnsi="Aptos"/>
                <w:color w:val="1F2937"/>
                <w:sz w:val="17"/>
              </w:rPr>
              <w:t>Release forecast to SNP planning area</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Supply Network Planner</w:t>
            </w:r>
          </w:p>
        </w:tc>
        <w:tc>
          <w:tcPr>
            <w:tcW w:type="dxa" w:w="4320"/>
            <w:vAlign w:val="center"/>
            <w:tcMar>
              <w:top w:w="80" w:type="dxa"/>
              <w:start w:w="90" w:type="dxa"/>
              <w:bottom w:w="80" w:type="dxa"/>
              <w:end w:w="90" w:type="dxa"/>
            </w:tcMar>
          </w:tcPr>
          <w:p>
            <w:pPr>
              <w:spacing w:after="0"/>
            </w:pPr>
            <w:r>
              <w:rPr>
                <w:rFonts w:ascii="Aptos" w:hAnsi="Aptos"/>
                <w:color w:val="1F2937"/>
                <w:sz w:val="17"/>
              </w:rPr>
              <w:t>Balance demand, supply, capacity, inventory, and lanes</w:t>
            </w:r>
          </w:p>
        </w:tc>
        <w:tc>
          <w:tcPr>
            <w:tcW w:type="dxa" w:w="3240"/>
            <w:vAlign w:val="center"/>
            <w:tcMar>
              <w:top w:w="80" w:type="dxa"/>
              <w:start w:w="90" w:type="dxa"/>
              <w:bottom w:w="80" w:type="dxa"/>
              <w:end w:w="90" w:type="dxa"/>
            </w:tcMar>
          </w:tcPr>
          <w:p>
            <w:pPr>
              <w:spacing w:after="0"/>
            </w:pPr>
            <w:r>
              <w:rPr>
                <w:rFonts w:ascii="Aptos" w:hAnsi="Aptos"/>
                <w:color w:val="1F2937"/>
                <w:sz w:val="17"/>
              </w:rPr>
              <w:t>Run /SAPAPO/SNP94, review alerts, optimizer, deployment</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Procurement Planner</w:t>
            </w:r>
          </w:p>
        </w:tc>
        <w:tc>
          <w:tcPr>
            <w:tcW w:type="dxa" w:w="4320"/>
            <w:vAlign w:val="center"/>
            <w:tcMar>
              <w:top w:w="80" w:type="dxa"/>
              <w:start w:w="90" w:type="dxa"/>
              <w:bottom w:w="80" w:type="dxa"/>
              <w:end w:w="90" w:type="dxa"/>
            </w:tcMar>
          </w:tcPr>
          <w:p>
            <w:pPr>
              <w:spacing w:after="0"/>
            </w:pPr>
            <w:r>
              <w:rPr>
                <w:rFonts w:ascii="Aptos" w:hAnsi="Aptos"/>
                <w:color w:val="1F2937"/>
                <w:sz w:val="17"/>
              </w:rPr>
              <w:t>Manage supplier capacity, lead time, quotas, and exceptions</w:t>
            </w:r>
          </w:p>
        </w:tc>
        <w:tc>
          <w:tcPr>
            <w:tcW w:type="dxa" w:w="3240"/>
            <w:vAlign w:val="center"/>
            <w:tcMar>
              <w:top w:w="80" w:type="dxa"/>
              <w:start w:w="90" w:type="dxa"/>
              <w:bottom w:w="80" w:type="dxa"/>
              <w:end w:w="90" w:type="dxa"/>
            </w:tcMar>
          </w:tcPr>
          <w:p>
            <w:pPr>
              <w:spacing w:after="0"/>
            </w:pPr>
            <w:r>
              <w:rPr>
                <w:rFonts w:ascii="Aptos" w:hAnsi="Aptos"/>
                <w:color w:val="1F2937"/>
                <w:sz w:val="17"/>
              </w:rPr>
              <w:t>Source-of-supply and quota master data; purchase proposals</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Plant Planner</w:t>
            </w:r>
          </w:p>
        </w:tc>
        <w:tc>
          <w:tcPr>
            <w:tcW w:type="dxa" w:w="4320"/>
            <w:vAlign w:val="center"/>
            <w:tcMar>
              <w:top w:w="80" w:type="dxa"/>
              <w:start w:w="90" w:type="dxa"/>
              <w:bottom w:w="80" w:type="dxa"/>
              <w:end w:w="90" w:type="dxa"/>
            </w:tcMar>
          </w:tcPr>
          <w:p>
            <w:pPr>
              <w:spacing w:after="0"/>
            </w:pPr>
            <w:r>
              <w:rPr>
                <w:rFonts w:ascii="Aptos" w:hAnsi="Aptos"/>
                <w:color w:val="1F2937"/>
                <w:sz w:val="17"/>
              </w:rPr>
              <w:t>Confirm production capability and downtime</w:t>
            </w:r>
          </w:p>
        </w:tc>
        <w:tc>
          <w:tcPr>
            <w:tcW w:type="dxa" w:w="3240"/>
            <w:vAlign w:val="center"/>
            <w:tcMar>
              <w:top w:w="80" w:type="dxa"/>
              <w:start w:w="90" w:type="dxa"/>
              <w:bottom w:w="80" w:type="dxa"/>
              <w:end w:w="90" w:type="dxa"/>
            </w:tcMar>
          </w:tcPr>
          <w:p>
            <w:pPr>
              <w:spacing w:after="0"/>
            </w:pPr>
            <w:r>
              <w:rPr>
                <w:rFonts w:ascii="Aptos" w:hAnsi="Aptos"/>
                <w:color w:val="1F2937"/>
                <w:sz w:val="17"/>
              </w:rPr>
              <w:t>Resource/PDS/PPM capacity and production plan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Logistics Planner</w:t>
            </w:r>
          </w:p>
        </w:tc>
        <w:tc>
          <w:tcPr>
            <w:tcW w:type="dxa" w:w="4320"/>
            <w:vAlign w:val="center"/>
            <w:tcMar>
              <w:top w:w="80" w:type="dxa"/>
              <w:start w:w="90" w:type="dxa"/>
              <w:bottom w:w="80" w:type="dxa"/>
              <w:end w:w="90" w:type="dxa"/>
            </w:tcMar>
          </w:tcPr>
          <w:p>
            <w:pPr>
              <w:spacing w:after="0"/>
            </w:pPr>
            <w:r>
              <w:rPr>
                <w:rFonts w:ascii="Aptos" w:hAnsi="Aptos"/>
                <w:color w:val="1F2937"/>
                <w:sz w:val="17"/>
              </w:rPr>
              <w:t>Validate route capacity, transit time, and truck utilization</w:t>
            </w:r>
          </w:p>
        </w:tc>
        <w:tc>
          <w:tcPr>
            <w:tcW w:type="dxa" w:w="3240"/>
            <w:vAlign w:val="center"/>
            <w:tcMar>
              <w:top w:w="80" w:type="dxa"/>
              <w:start w:w="90" w:type="dxa"/>
              <w:bottom w:w="80" w:type="dxa"/>
              <w:end w:w="90" w:type="dxa"/>
            </w:tcMar>
          </w:tcPr>
          <w:p>
            <w:pPr>
              <w:spacing w:after="0"/>
            </w:pPr>
            <w:r>
              <w:rPr>
                <w:rFonts w:ascii="Aptos" w:hAnsi="Aptos"/>
                <w:color w:val="1F2937"/>
                <w:sz w:val="17"/>
              </w:rPr>
              <w:t>Transportation lanes, means of transport, TLB</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Master Data / SAP Support</w:t>
            </w:r>
          </w:p>
        </w:tc>
        <w:tc>
          <w:tcPr>
            <w:tcW w:type="dxa" w:w="4320"/>
            <w:vAlign w:val="center"/>
            <w:tcMar>
              <w:top w:w="80" w:type="dxa"/>
              <w:start w:w="90" w:type="dxa"/>
              <w:bottom w:w="80" w:type="dxa"/>
              <w:end w:w="90" w:type="dxa"/>
            </w:tcMar>
          </w:tcPr>
          <w:p>
            <w:pPr>
              <w:spacing w:after="0"/>
            </w:pPr>
            <w:r>
              <w:rPr>
                <w:rFonts w:ascii="Aptos" w:hAnsi="Aptos"/>
                <w:color w:val="1F2937"/>
                <w:sz w:val="17"/>
              </w:rPr>
              <w:t>Maintain data quality and model consistency</w:t>
            </w:r>
          </w:p>
        </w:tc>
        <w:tc>
          <w:tcPr>
            <w:tcW w:type="dxa" w:w="3240"/>
            <w:vAlign w:val="center"/>
            <w:tcMar>
              <w:top w:w="80" w:type="dxa"/>
              <w:start w:w="90" w:type="dxa"/>
              <w:bottom w:w="80" w:type="dxa"/>
              <w:end w:w="90" w:type="dxa"/>
            </w:tcMar>
          </w:tcPr>
          <w:p>
            <w:pPr>
              <w:spacing w:after="0"/>
            </w:pPr>
            <w:r>
              <w:rPr>
                <w:rFonts w:ascii="Aptos" w:hAnsi="Aptos"/>
                <w:color w:val="1F2937"/>
                <w:sz w:val="17"/>
              </w:rPr>
              <w:t>Locations, products, resources, model/version, consistency checks</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Sales / Customer Service</w:t>
            </w:r>
          </w:p>
        </w:tc>
        <w:tc>
          <w:tcPr>
            <w:tcW w:type="dxa" w:w="4320"/>
            <w:vAlign w:val="center"/>
            <w:tcMar>
              <w:top w:w="80" w:type="dxa"/>
              <w:start w:w="90" w:type="dxa"/>
              <w:bottom w:w="80" w:type="dxa"/>
              <w:end w:w="90" w:type="dxa"/>
            </w:tcMar>
          </w:tcPr>
          <w:p>
            <w:pPr>
              <w:spacing w:after="0"/>
            </w:pPr>
            <w:r>
              <w:rPr>
                <w:rFonts w:ascii="Aptos" w:hAnsi="Aptos"/>
                <w:color w:val="1F2937"/>
                <w:sz w:val="17"/>
              </w:rPr>
              <w:t>Prioritize customer commitments during shortage</w:t>
            </w:r>
          </w:p>
        </w:tc>
        <w:tc>
          <w:tcPr>
            <w:tcW w:type="dxa" w:w="3240"/>
            <w:vAlign w:val="center"/>
            <w:tcMar>
              <w:top w:w="80" w:type="dxa"/>
              <w:start w:w="90" w:type="dxa"/>
              <w:bottom w:w="80" w:type="dxa"/>
              <w:end w:w="90" w:type="dxa"/>
            </w:tcMar>
          </w:tcPr>
          <w:p>
            <w:pPr>
              <w:spacing w:after="0"/>
            </w:pPr>
            <w:r>
              <w:rPr>
                <w:rFonts w:ascii="Aptos" w:hAnsi="Aptos"/>
                <w:color w:val="1F2937"/>
                <w:sz w:val="17"/>
              </w:rPr>
              <w:t>Service priorities, demand exceptions, deployment rules</w:t>
            </w:r>
          </w:p>
        </w:tc>
      </w:tr>
    </w:tbl>
    <w:p>
      <w:pPr>
        <w:spacing w:after="20"/>
      </w:pPr>
    </w:p>
    <w:p>
      <w:pPr>
        <w:pStyle w:val="Heading1"/>
        <w:keepNext/>
        <w:keepLines/>
      </w:pPr>
      <w:r>
        <w:rPr>
          <w:rFonts w:ascii="Aptos" w:hAnsi="Aptos"/>
          <w:b/>
          <w:color w:val="365F91"/>
          <w:sz w:val="30"/>
        </w:rPr>
        <w:t>3. Supply Chain Network Design</w:t>
      </w:r>
    </w:p>
    <w:p>
      <w:pPr>
        <w:pStyle w:val="Heading2"/>
        <w:keepNext/>
        <w:keepLines/>
      </w:pPr>
      <w:r>
        <w:rPr>
          <w:rFonts w:ascii="Aptos" w:hAnsi="Aptos"/>
          <w:b/>
          <w:color w:val="365F91"/>
          <w:sz w:val="24"/>
        </w:rPr>
        <w:t>3.1 Proposed network structure</w:t>
      </w:r>
    </w:p>
    <w:p>
      <w:pPr>
        <w:jc w:val="center"/>
      </w:pPr>
      <w:r>
        <w:drawing>
          <wp:inline xmlns:a="http://schemas.openxmlformats.org/drawingml/2006/main" xmlns:pic="http://schemas.openxmlformats.org/drawingml/2006/picture">
            <wp:extent cx="6263640" cy="3561500"/>
            <wp:docPr id="1" name="Picture 1"/>
            <wp:cNvGraphicFramePr>
              <a:graphicFrameLocks noChangeAspect="1"/>
            </wp:cNvGraphicFramePr>
            <a:graphic>
              <a:graphicData uri="http://schemas.openxmlformats.org/drawingml/2006/picture">
                <pic:pic>
                  <pic:nvPicPr>
                    <pic:cNvPr id="0" name="sap_scm_network_diagram.png"/>
                    <pic:cNvPicPr/>
                  </pic:nvPicPr>
                  <pic:blipFill>
                    <a:blip r:embed="rId11"/>
                    <a:stretch>
                      <a:fillRect/>
                    </a:stretch>
                  </pic:blipFill>
                  <pic:spPr>
                    <a:xfrm>
                      <a:off x="0" y="0"/>
                      <a:ext cx="6263640" cy="3561500"/>
                    </a:xfrm>
                    <a:prstGeom prst="rect"/>
                  </pic:spPr>
                </pic:pic>
              </a:graphicData>
            </a:graphic>
          </wp:inline>
        </w:drawing>
      </w:r>
    </w:p>
    <w:p>
      <w:pPr>
        <w:jc w:val="center"/>
      </w:pPr>
      <w:r>
        <w:rPr>
          <w:rFonts w:ascii="Aptos" w:hAnsi="Aptos"/>
          <w:i/>
          <w:color w:val="666666"/>
          <w:sz w:val="18"/>
        </w:rPr>
        <w:t>Figure 1. Proposed supply chain network for the fictional scenario.</w:t>
      </w:r>
    </w:p>
    <w:p>
      <w:pPr>
        <w:spacing w:after="120" w:line="259" w:lineRule="auto"/>
      </w:pPr>
      <w:r>
        <w:rPr>
          <w:rFonts w:ascii="Aptos" w:hAnsi="Aptos"/>
          <w:color w:val="1F2937"/>
          <w:sz w:val="20"/>
        </w:rPr>
        <w:t>I selected a hub-and-spoke design around one primary plant because the assumed demand of 145 t/week does not justify a second owned plant in this exercise. At that demand level, the 180 t/week plant runs at about 80.6% utilization, which leaves useful recovery capacity. Resilience therefore comes from dual raw-material sourcing and a backup contract-packing option. The three DCs keep stock closer to the main markets, while cross-DC transfers remain available for emergencies.</w:t>
      </w:r>
    </w:p>
    <w:p>
      <w:pPr>
        <w:pStyle w:val="Heading2"/>
        <w:keepNext/>
        <w:keepLines/>
      </w:pPr>
      <w:r>
        <w:rPr>
          <w:rFonts w:ascii="Aptos" w:hAnsi="Aptos"/>
          <w:b/>
          <w:color w:val="365F91"/>
          <w:sz w:val="24"/>
        </w:rPr>
        <w:t>3.2 Transportation lane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3168"/>
            <w:shd w:fill="365F91"/>
            <w:vAlign w:val="center"/>
            <w:tcMar>
              <w:top w:w="80" w:type="dxa"/>
              <w:start w:w="90" w:type="dxa"/>
              <w:bottom w:w="80" w:type="dxa"/>
              <w:end w:w="90" w:type="dxa"/>
            </w:tcMar>
          </w:tcPr>
          <w:p>
            <w:pPr>
              <w:jc w:val="center"/>
            </w:pPr>
            <w:r>
              <w:rPr>
                <w:rFonts w:ascii="Aptos" w:hAnsi="Aptos"/>
                <w:b/>
                <w:color w:val="FFFFFF"/>
                <w:sz w:val="17"/>
              </w:rPr>
              <w:t>Lane</w:t>
            </w:r>
          </w:p>
        </w:tc>
        <w:tc>
          <w:tcPr>
            <w:tcW w:type="dxa" w:w="1512"/>
            <w:shd w:fill="365F91"/>
            <w:vAlign w:val="center"/>
            <w:tcMar>
              <w:top w:w="80" w:type="dxa"/>
              <w:start w:w="90" w:type="dxa"/>
              <w:bottom w:w="80" w:type="dxa"/>
              <w:end w:w="90" w:type="dxa"/>
            </w:tcMar>
          </w:tcPr>
          <w:p>
            <w:pPr>
              <w:jc w:val="center"/>
            </w:pPr>
            <w:r>
              <w:rPr>
                <w:rFonts w:ascii="Aptos" w:hAnsi="Aptos"/>
                <w:b/>
                <w:color w:val="FFFFFF"/>
                <w:sz w:val="17"/>
              </w:rPr>
              <w:t>Distance assumption</w:t>
            </w:r>
          </w:p>
        </w:tc>
        <w:tc>
          <w:tcPr>
            <w:tcW w:type="dxa" w:w="1152"/>
            <w:shd w:fill="365F91"/>
            <w:vAlign w:val="center"/>
            <w:tcMar>
              <w:top w:w="80" w:type="dxa"/>
              <w:start w:w="90" w:type="dxa"/>
              <w:bottom w:w="80" w:type="dxa"/>
              <w:end w:w="90" w:type="dxa"/>
            </w:tcMar>
          </w:tcPr>
          <w:p>
            <w:pPr>
              <w:jc w:val="center"/>
            </w:pPr>
            <w:r>
              <w:rPr>
                <w:rFonts w:ascii="Aptos" w:hAnsi="Aptos"/>
                <w:b/>
                <w:color w:val="FFFFFF"/>
                <w:sz w:val="17"/>
              </w:rPr>
              <w:t>Transit time</w:t>
            </w:r>
          </w:p>
        </w:tc>
        <w:tc>
          <w:tcPr>
            <w:tcW w:type="dxa" w:w="1584"/>
            <w:shd w:fill="365F91"/>
            <w:vAlign w:val="center"/>
            <w:tcMar>
              <w:top w:w="80" w:type="dxa"/>
              <w:start w:w="90" w:type="dxa"/>
              <w:bottom w:w="80" w:type="dxa"/>
              <w:end w:w="90" w:type="dxa"/>
            </w:tcMar>
          </w:tcPr>
          <w:p>
            <w:pPr>
              <w:jc w:val="center"/>
            </w:pPr>
            <w:r>
              <w:rPr>
                <w:rFonts w:ascii="Aptos" w:hAnsi="Aptos"/>
                <w:b/>
                <w:color w:val="FFFFFF"/>
                <w:sz w:val="17"/>
              </w:rPr>
              <w:t>Planning cost index</w:t>
            </w:r>
          </w:p>
        </w:tc>
        <w:tc>
          <w:tcPr>
            <w:tcW w:type="dxa" w:w="2880"/>
            <w:shd w:fill="365F91"/>
            <w:vAlign w:val="center"/>
            <w:tcMar>
              <w:top w:w="80" w:type="dxa"/>
              <w:start w:w="90" w:type="dxa"/>
              <w:bottom w:w="80" w:type="dxa"/>
              <w:end w:w="90" w:type="dxa"/>
            </w:tcMar>
          </w:tcPr>
          <w:p>
            <w:pPr>
              <w:jc w:val="center"/>
            </w:pPr>
            <w:r>
              <w:rPr>
                <w:rFonts w:ascii="Aptos" w:hAnsi="Aptos"/>
                <w:b/>
                <w:color w:val="FFFFFF"/>
                <w:sz w:val="17"/>
              </w:rPr>
              <w:t>Planning rule</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S1 Nizamabad -&gt; P1 Medchal</w:t>
            </w:r>
          </w:p>
        </w:tc>
        <w:tc>
          <w:tcPr>
            <w:tcW w:type="dxa" w:w="1512"/>
            <w:vAlign w:val="center"/>
            <w:tcMar>
              <w:top w:w="80" w:type="dxa"/>
              <w:start w:w="90" w:type="dxa"/>
              <w:bottom w:w="80" w:type="dxa"/>
              <w:end w:w="90" w:type="dxa"/>
            </w:tcMar>
          </w:tcPr>
          <w:p>
            <w:pPr>
              <w:spacing w:after="0"/>
            </w:pPr>
            <w:r>
              <w:rPr>
                <w:rFonts w:ascii="Aptos" w:hAnsi="Aptos"/>
                <w:color w:val="1F2937"/>
                <w:sz w:val="17"/>
              </w:rPr>
              <w:t>~180 km</w:t>
            </w:r>
          </w:p>
        </w:tc>
        <w:tc>
          <w:tcPr>
            <w:tcW w:type="dxa" w:w="1152"/>
            <w:vAlign w:val="center"/>
            <w:tcMar>
              <w:top w:w="80" w:type="dxa"/>
              <w:start w:w="90" w:type="dxa"/>
              <w:bottom w:w="80" w:type="dxa"/>
              <w:end w:w="90" w:type="dxa"/>
            </w:tcMar>
          </w:tcPr>
          <w:p>
            <w:pPr>
              <w:spacing w:after="0"/>
            </w:pPr>
            <w:r>
              <w:rPr>
                <w:rFonts w:ascii="Aptos" w:hAnsi="Aptos"/>
                <w:color w:val="1F2937"/>
                <w:sz w:val="17"/>
              </w:rPr>
              <w:t>2 days</w:t>
            </w:r>
          </w:p>
        </w:tc>
        <w:tc>
          <w:tcPr>
            <w:tcW w:type="dxa" w:w="1584"/>
            <w:vAlign w:val="center"/>
            <w:tcMar>
              <w:top w:w="80" w:type="dxa"/>
              <w:start w:w="90" w:type="dxa"/>
              <w:bottom w:w="80" w:type="dxa"/>
              <w:end w:w="90" w:type="dxa"/>
            </w:tcMar>
          </w:tcPr>
          <w:p>
            <w:pPr>
              <w:spacing w:after="0"/>
            </w:pPr>
            <w:r>
              <w:rPr>
                <w:rFonts w:ascii="Aptos" w:hAnsi="Aptos"/>
                <w:color w:val="1F2937"/>
                <w:sz w:val="17"/>
              </w:rPr>
              <w:t>1.00</w:t>
            </w:r>
          </w:p>
        </w:tc>
        <w:tc>
          <w:tcPr>
            <w:tcW w:type="dxa" w:w="2880"/>
            <w:vAlign w:val="center"/>
            <w:tcMar>
              <w:top w:w="80" w:type="dxa"/>
              <w:start w:w="90" w:type="dxa"/>
              <w:bottom w:w="80" w:type="dxa"/>
              <w:end w:w="90" w:type="dxa"/>
            </w:tcMar>
          </w:tcPr>
          <w:p>
            <w:pPr>
              <w:spacing w:after="0"/>
            </w:pPr>
            <w:r>
              <w:rPr>
                <w:rFonts w:ascii="Aptos" w:hAnsi="Aptos"/>
                <w:color w:val="1F2937"/>
                <w:sz w:val="17"/>
              </w:rPr>
              <w:t>Primary inbound source; quota 70%</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S2 Nagpur -&gt; P1 Medchal</w:t>
            </w:r>
          </w:p>
        </w:tc>
        <w:tc>
          <w:tcPr>
            <w:tcW w:type="dxa" w:w="1512"/>
            <w:vAlign w:val="center"/>
            <w:tcMar>
              <w:top w:w="80" w:type="dxa"/>
              <w:start w:w="90" w:type="dxa"/>
              <w:bottom w:w="80" w:type="dxa"/>
              <w:end w:w="90" w:type="dxa"/>
            </w:tcMar>
          </w:tcPr>
          <w:p>
            <w:pPr>
              <w:spacing w:after="0"/>
            </w:pPr>
            <w:r>
              <w:rPr>
                <w:rFonts w:ascii="Aptos" w:hAnsi="Aptos"/>
                <w:color w:val="1F2937"/>
                <w:sz w:val="17"/>
              </w:rPr>
              <w:t>~500 km</w:t>
            </w:r>
          </w:p>
        </w:tc>
        <w:tc>
          <w:tcPr>
            <w:tcW w:type="dxa" w:w="1152"/>
            <w:vAlign w:val="center"/>
            <w:tcMar>
              <w:top w:w="80" w:type="dxa"/>
              <w:start w:w="90" w:type="dxa"/>
              <w:bottom w:w="80" w:type="dxa"/>
              <w:end w:w="90" w:type="dxa"/>
            </w:tcMar>
          </w:tcPr>
          <w:p>
            <w:pPr>
              <w:spacing w:after="0"/>
            </w:pPr>
            <w:r>
              <w:rPr>
                <w:rFonts w:ascii="Aptos" w:hAnsi="Aptos"/>
                <w:color w:val="1F2937"/>
                <w:sz w:val="17"/>
              </w:rPr>
              <w:t>3 days</w:t>
            </w:r>
          </w:p>
        </w:tc>
        <w:tc>
          <w:tcPr>
            <w:tcW w:type="dxa" w:w="1584"/>
            <w:vAlign w:val="center"/>
            <w:tcMar>
              <w:top w:w="80" w:type="dxa"/>
              <w:start w:w="90" w:type="dxa"/>
              <w:bottom w:w="80" w:type="dxa"/>
              <w:end w:w="90" w:type="dxa"/>
            </w:tcMar>
          </w:tcPr>
          <w:p>
            <w:pPr>
              <w:spacing w:after="0"/>
            </w:pPr>
            <w:r>
              <w:rPr>
                <w:rFonts w:ascii="Aptos" w:hAnsi="Aptos"/>
                <w:color w:val="1F2937"/>
                <w:sz w:val="17"/>
              </w:rPr>
              <w:t>1.35</w:t>
            </w:r>
          </w:p>
        </w:tc>
        <w:tc>
          <w:tcPr>
            <w:tcW w:type="dxa" w:w="2880"/>
            <w:vAlign w:val="center"/>
            <w:tcMar>
              <w:top w:w="80" w:type="dxa"/>
              <w:start w:w="90" w:type="dxa"/>
              <w:bottom w:w="80" w:type="dxa"/>
              <w:end w:w="90" w:type="dxa"/>
            </w:tcMar>
          </w:tcPr>
          <w:p>
            <w:pPr>
              <w:spacing w:after="0"/>
            </w:pPr>
            <w:r>
              <w:rPr>
                <w:rFonts w:ascii="Aptos" w:hAnsi="Aptos"/>
                <w:color w:val="1F2937"/>
                <w:sz w:val="17"/>
              </w:rPr>
              <w:t>Alternate inbound source; quota 30%</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S3 Hyderabad -&gt; P1 Medchal</w:t>
            </w:r>
          </w:p>
        </w:tc>
        <w:tc>
          <w:tcPr>
            <w:tcW w:type="dxa" w:w="1512"/>
            <w:vAlign w:val="center"/>
            <w:tcMar>
              <w:top w:w="80" w:type="dxa"/>
              <w:start w:w="90" w:type="dxa"/>
              <w:bottom w:w="80" w:type="dxa"/>
              <w:end w:w="90" w:type="dxa"/>
            </w:tcMar>
          </w:tcPr>
          <w:p>
            <w:pPr>
              <w:spacing w:after="0"/>
            </w:pPr>
            <w:r>
              <w:rPr>
                <w:rFonts w:ascii="Aptos" w:hAnsi="Aptos"/>
                <w:color w:val="1F2937"/>
                <w:sz w:val="17"/>
              </w:rPr>
              <w:t>~40 km</w:t>
            </w:r>
          </w:p>
        </w:tc>
        <w:tc>
          <w:tcPr>
            <w:tcW w:type="dxa" w:w="1152"/>
            <w:vAlign w:val="center"/>
            <w:tcMar>
              <w:top w:w="80" w:type="dxa"/>
              <w:start w:w="90" w:type="dxa"/>
              <w:bottom w:w="80" w:type="dxa"/>
              <w:end w:w="90" w:type="dxa"/>
            </w:tcMar>
          </w:tcPr>
          <w:p>
            <w:pPr>
              <w:spacing w:after="0"/>
            </w:pPr>
            <w:r>
              <w:rPr>
                <w:rFonts w:ascii="Aptos" w:hAnsi="Aptos"/>
                <w:color w:val="1F2937"/>
                <w:sz w:val="17"/>
              </w:rPr>
              <w:t>1 day</w:t>
            </w:r>
          </w:p>
        </w:tc>
        <w:tc>
          <w:tcPr>
            <w:tcW w:type="dxa" w:w="1584"/>
            <w:vAlign w:val="center"/>
            <w:tcMar>
              <w:top w:w="80" w:type="dxa"/>
              <w:start w:w="90" w:type="dxa"/>
              <w:bottom w:w="80" w:type="dxa"/>
              <w:end w:w="90" w:type="dxa"/>
            </w:tcMar>
          </w:tcPr>
          <w:p>
            <w:pPr>
              <w:spacing w:after="0"/>
            </w:pPr>
            <w:r>
              <w:rPr>
                <w:rFonts w:ascii="Aptos" w:hAnsi="Aptos"/>
                <w:color w:val="1F2937"/>
                <w:sz w:val="17"/>
              </w:rPr>
              <w:t>0.40</w:t>
            </w:r>
          </w:p>
        </w:tc>
        <w:tc>
          <w:tcPr>
            <w:tcW w:type="dxa" w:w="2880"/>
            <w:vAlign w:val="center"/>
            <w:tcMar>
              <w:top w:w="80" w:type="dxa"/>
              <w:start w:w="90" w:type="dxa"/>
              <w:bottom w:w="80" w:type="dxa"/>
              <w:end w:w="90" w:type="dxa"/>
            </w:tcMar>
          </w:tcPr>
          <w:p>
            <w:pPr>
              <w:spacing w:after="0"/>
            </w:pPr>
            <w:r>
              <w:rPr>
                <w:rFonts w:ascii="Aptos" w:hAnsi="Aptos"/>
                <w:color w:val="1F2937"/>
                <w:sz w:val="17"/>
              </w:rPr>
              <w:t>Packaging replenishment; frequent smaller loads</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P1 Medchal -&gt; D1 Hyderabad</w:t>
            </w:r>
          </w:p>
        </w:tc>
        <w:tc>
          <w:tcPr>
            <w:tcW w:type="dxa" w:w="1512"/>
            <w:vAlign w:val="center"/>
            <w:tcMar>
              <w:top w:w="80" w:type="dxa"/>
              <w:start w:w="90" w:type="dxa"/>
              <w:bottom w:w="80" w:type="dxa"/>
              <w:end w:w="90" w:type="dxa"/>
            </w:tcMar>
          </w:tcPr>
          <w:p>
            <w:pPr>
              <w:spacing w:after="0"/>
            </w:pPr>
            <w:r>
              <w:rPr>
                <w:rFonts w:ascii="Aptos" w:hAnsi="Aptos"/>
                <w:color w:val="1F2937"/>
                <w:sz w:val="17"/>
              </w:rPr>
              <w:t>~35 km</w:t>
            </w:r>
          </w:p>
        </w:tc>
        <w:tc>
          <w:tcPr>
            <w:tcW w:type="dxa" w:w="1152"/>
            <w:vAlign w:val="center"/>
            <w:tcMar>
              <w:top w:w="80" w:type="dxa"/>
              <w:start w:w="90" w:type="dxa"/>
              <w:bottom w:w="80" w:type="dxa"/>
              <w:end w:w="90" w:type="dxa"/>
            </w:tcMar>
          </w:tcPr>
          <w:p>
            <w:pPr>
              <w:spacing w:after="0"/>
            </w:pPr>
            <w:r>
              <w:rPr>
                <w:rFonts w:ascii="Aptos" w:hAnsi="Aptos"/>
                <w:color w:val="1F2937"/>
                <w:sz w:val="17"/>
              </w:rPr>
              <w:t>1 day</w:t>
            </w:r>
          </w:p>
        </w:tc>
        <w:tc>
          <w:tcPr>
            <w:tcW w:type="dxa" w:w="1584"/>
            <w:vAlign w:val="center"/>
            <w:tcMar>
              <w:top w:w="80" w:type="dxa"/>
              <w:start w:w="90" w:type="dxa"/>
              <w:bottom w:w="80" w:type="dxa"/>
              <w:end w:w="90" w:type="dxa"/>
            </w:tcMar>
          </w:tcPr>
          <w:p>
            <w:pPr>
              <w:spacing w:after="0"/>
            </w:pPr>
            <w:r>
              <w:rPr>
                <w:rFonts w:ascii="Aptos" w:hAnsi="Aptos"/>
                <w:color w:val="1F2937"/>
                <w:sz w:val="17"/>
              </w:rPr>
              <w:t>0.35</w:t>
            </w:r>
          </w:p>
        </w:tc>
        <w:tc>
          <w:tcPr>
            <w:tcW w:type="dxa" w:w="2880"/>
            <w:vAlign w:val="center"/>
            <w:tcMar>
              <w:top w:w="80" w:type="dxa"/>
              <w:start w:w="90" w:type="dxa"/>
              <w:bottom w:w="80" w:type="dxa"/>
              <w:end w:w="90" w:type="dxa"/>
            </w:tcMar>
          </w:tcPr>
          <w:p>
            <w:pPr>
              <w:spacing w:after="0"/>
            </w:pPr>
            <w:r>
              <w:rPr>
                <w:rFonts w:ascii="Aptos" w:hAnsi="Aptos"/>
                <w:color w:val="1F2937"/>
                <w:sz w:val="17"/>
              </w:rPr>
              <w:t>Daily / high-frequency replenishment</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P1 Medchal -&gt; D2 Vijayawada</w:t>
            </w:r>
          </w:p>
        </w:tc>
        <w:tc>
          <w:tcPr>
            <w:tcW w:type="dxa" w:w="1512"/>
            <w:vAlign w:val="center"/>
            <w:tcMar>
              <w:top w:w="80" w:type="dxa"/>
              <w:start w:w="90" w:type="dxa"/>
              <w:bottom w:w="80" w:type="dxa"/>
              <w:end w:w="90" w:type="dxa"/>
            </w:tcMar>
          </w:tcPr>
          <w:p>
            <w:pPr>
              <w:spacing w:after="0"/>
            </w:pPr>
            <w:r>
              <w:rPr>
                <w:rFonts w:ascii="Aptos" w:hAnsi="Aptos"/>
                <w:color w:val="1F2937"/>
                <w:sz w:val="17"/>
              </w:rPr>
              <w:t>~280 km</w:t>
            </w:r>
          </w:p>
        </w:tc>
        <w:tc>
          <w:tcPr>
            <w:tcW w:type="dxa" w:w="1152"/>
            <w:vAlign w:val="center"/>
            <w:tcMar>
              <w:top w:w="80" w:type="dxa"/>
              <w:start w:w="90" w:type="dxa"/>
              <w:bottom w:w="80" w:type="dxa"/>
              <w:end w:w="90" w:type="dxa"/>
            </w:tcMar>
          </w:tcPr>
          <w:p>
            <w:pPr>
              <w:spacing w:after="0"/>
            </w:pPr>
            <w:r>
              <w:rPr>
                <w:rFonts w:ascii="Aptos" w:hAnsi="Aptos"/>
                <w:color w:val="1F2937"/>
                <w:sz w:val="17"/>
              </w:rPr>
              <w:t>1 day</w:t>
            </w:r>
          </w:p>
        </w:tc>
        <w:tc>
          <w:tcPr>
            <w:tcW w:type="dxa" w:w="1584"/>
            <w:vAlign w:val="center"/>
            <w:tcMar>
              <w:top w:w="80" w:type="dxa"/>
              <w:start w:w="90" w:type="dxa"/>
              <w:bottom w:w="80" w:type="dxa"/>
              <w:end w:w="90" w:type="dxa"/>
            </w:tcMar>
          </w:tcPr>
          <w:p>
            <w:pPr>
              <w:spacing w:after="0"/>
            </w:pPr>
            <w:r>
              <w:rPr>
                <w:rFonts w:ascii="Aptos" w:hAnsi="Aptos"/>
                <w:color w:val="1F2937"/>
                <w:sz w:val="17"/>
              </w:rPr>
              <w:t>0.85</w:t>
            </w:r>
          </w:p>
        </w:tc>
        <w:tc>
          <w:tcPr>
            <w:tcW w:type="dxa" w:w="2880"/>
            <w:vAlign w:val="center"/>
            <w:tcMar>
              <w:top w:w="80" w:type="dxa"/>
              <w:start w:w="90" w:type="dxa"/>
              <w:bottom w:w="80" w:type="dxa"/>
              <w:end w:w="90" w:type="dxa"/>
            </w:tcMar>
          </w:tcPr>
          <w:p>
            <w:pPr>
              <w:spacing w:after="0"/>
            </w:pPr>
            <w:r>
              <w:rPr>
                <w:rFonts w:ascii="Aptos" w:hAnsi="Aptos"/>
                <w:color w:val="1F2937"/>
                <w:sz w:val="17"/>
              </w:rPr>
              <w:t>Full-truck preference where possible</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P1 Medchal -&gt; D3 Bengaluru</w:t>
            </w:r>
          </w:p>
        </w:tc>
        <w:tc>
          <w:tcPr>
            <w:tcW w:type="dxa" w:w="1512"/>
            <w:vAlign w:val="center"/>
            <w:tcMar>
              <w:top w:w="80" w:type="dxa"/>
              <w:start w:w="90" w:type="dxa"/>
              <w:bottom w:w="80" w:type="dxa"/>
              <w:end w:w="90" w:type="dxa"/>
            </w:tcMar>
          </w:tcPr>
          <w:p>
            <w:pPr>
              <w:spacing w:after="0"/>
            </w:pPr>
            <w:r>
              <w:rPr>
                <w:rFonts w:ascii="Aptos" w:hAnsi="Aptos"/>
                <w:color w:val="1F2937"/>
                <w:sz w:val="17"/>
              </w:rPr>
              <w:t>~570 km</w:t>
            </w:r>
          </w:p>
        </w:tc>
        <w:tc>
          <w:tcPr>
            <w:tcW w:type="dxa" w:w="1152"/>
            <w:vAlign w:val="center"/>
            <w:tcMar>
              <w:top w:w="80" w:type="dxa"/>
              <w:start w:w="90" w:type="dxa"/>
              <w:bottom w:w="80" w:type="dxa"/>
              <w:end w:w="90" w:type="dxa"/>
            </w:tcMar>
          </w:tcPr>
          <w:p>
            <w:pPr>
              <w:spacing w:after="0"/>
            </w:pPr>
            <w:r>
              <w:rPr>
                <w:rFonts w:ascii="Aptos" w:hAnsi="Aptos"/>
                <w:color w:val="1F2937"/>
                <w:sz w:val="17"/>
              </w:rPr>
              <w:t>2 days</w:t>
            </w:r>
          </w:p>
        </w:tc>
        <w:tc>
          <w:tcPr>
            <w:tcW w:type="dxa" w:w="1584"/>
            <w:vAlign w:val="center"/>
            <w:tcMar>
              <w:top w:w="80" w:type="dxa"/>
              <w:start w:w="90" w:type="dxa"/>
              <w:bottom w:w="80" w:type="dxa"/>
              <w:end w:w="90" w:type="dxa"/>
            </w:tcMar>
          </w:tcPr>
          <w:p>
            <w:pPr>
              <w:spacing w:after="0"/>
            </w:pPr>
            <w:r>
              <w:rPr>
                <w:rFonts w:ascii="Aptos" w:hAnsi="Aptos"/>
                <w:color w:val="1F2937"/>
                <w:sz w:val="17"/>
              </w:rPr>
              <w:t>1.30</w:t>
            </w:r>
          </w:p>
        </w:tc>
        <w:tc>
          <w:tcPr>
            <w:tcW w:type="dxa" w:w="2880"/>
            <w:vAlign w:val="center"/>
            <w:tcMar>
              <w:top w:w="80" w:type="dxa"/>
              <w:start w:w="90" w:type="dxa"/>
              <w:bottom w:w="80" w:type="dxa"/>
              <w:end w:w="90" w:type="dxa"/>
            </w:tcMar>
          </w:tcPr>
          <w:p>
            <w:pPr>
              <w:spacing w:after="0"/>
            </w:pPr>
            <w:r>
              <w:rPr>
                <w:rFonts w:ascii="Aptos" w:hAnsi="Aptos"/>
                <w:color w:val="1F2937"/>
                <w:sz w:val="17"/>
              </w:rPr>
              <w:t>Consolidated truckload; higher safety stock</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D1/D2/D3 cross-DC</w:t>
            </w:r>
          </w:p>
        </w:tc>
        <w:tc>
          <w:tcPr>
            <w:tcW w:type="dxa" w:w="1512"/>
            <w:vAlign w:val="center"/>
            <w:tcMar>
              <w:top w:w="80" w:type="dxa"/>
              <w:start w:w="90" w:type="dxa"/>
              <w:bottom w:w="80" w:type="dxa"/>
              <w:end w:w="90" w:type="dxa"/>
            </w:tcMar>
          </w:tcPr>
          <w:p>
            <w:pPr>
              <w:spacing w:after="0"/>
            </w:pPr>
            <w:r>
              <w:rPr>
                <w:rFonts w:ascii="Aptos" w:hAnsi="Aptos"/>
                <w:color w:val="1F2937"/>
                <w:sz w:val="17"/>
              </w:rPr>
              <w:t>Variable</w:t>
            </w:r>
          </w:p>
        </w:tc>
        <w:tc>
          <w:tcPr>
            <w:tcW w:type="dxa" w:w="1152"/>
            <w:vAlign w:val="center"/>
            <w:tcMar>
              <w:top w:w="80" w:type="dxa"/>
              <w:start w:w="90" w:type="dxa"/>
              <w:bottom w:w="80" w:type="dxa"/>
              <w:end w:w="90" w:type="dxa"/>
            </w:tcMar>
          </w:tcPr>
          <w:p>
            <w:pPr>
              <w:spacing w:after="0"/>
            </w:pPr>
            <w:r>
              <w:rPr>
                <w:rFonts w:ascii="Aptos" w:hAnsi="Aptos"/>
                <w:color w:val="1F2937"/>
                <w:sz w:val="17"/>
              </w:rPr>
              <w:t>1-2 days</w:t>
            </w:r>
          </w:p>
        </w:tc>
        <w:tc>
          <w:tcPr>
            <w:tcW w:type="dxa" w:w="1584"/>
            <w:vAlign w:val="center"/>
            <w:tcMar>
              <w:top w:w="80" w:type="dxa"/>
              <w:start w:w="90" w:type="dxa"/>
              <w:bottom w:w="80" w:type="dxa"/>
              <w:end w:w="90" w:type="dxa"/>
            </w:tcMar>
          </w:tcPr>
          <w:p>
            <w:pPr>
              <w:spacing w:after="0"/>
            </w:pPr>
            <w:r>
              <w:rPr>
                <w:rFonts w:ascii="Aptos" w:hAnsi="Aptos"/>
                <w:color w:val="1F2937"/>
                <w:sz w:val="17"/>
              </w:rPr>
              <w:t>1.50 emergency</w:t>
            </w:r>
          </w:p>
        </w:tc>
        <w:tc>
          <w:tcPr>
            <w:tcW w:type="dxa" w:w="2880"/>
            <w:vAlign w:val="center"/>
            <w:tcMar>
              <w:top w:w="80" w:type="dxa"/>
              <w:start w:w="90" w:type="dxa"/>
              <w:bottom w:w="80" w:type="dxa"/>
              <w:end w:w="90" w:type="dxa"/>
            </w:tcMar>
          </w:tcPr>
          <w:p>
            <w:pPr>
              <w:spacing w:after="0"/>
            </w:pPr>
            <w:r>
              <w:rPr>
                <w:rFonts w:ascii="Aptos" w:hAnsi="Aptos"/>
                <w:color w:val="1F2937"/>
                <w:sz w:val="17"/>
              </w:rPr>
              <w:t>Exception-only inventory balancing</w:t>
            </w:r>
          </w:p>
        </w:tc>
      </w:tr>
    </w:tbl>
    <w:p>
      <w:pPr>
        <w:spacing w:after="20"/>
      </w:pPr>
    </w:p>
    <w:p>
      <w:pPr>
        <w:pStyle w:val="Heading2"/>
        <w:keepNext/>
        <w:keepLines/>
      </w:pPr>
      <w:r>
        <w:rPr>
          <w:rFonts w:ascii="Aptos" w:hAnsi="Aptos"/>
          <w:b/>
          <w:color w:val="365F91"/>
          <w:sz w:val="24"/>
        </w:rPr>
        <w:t>3.3 Source and allocation policy</w:t>
      </w:r>
    </w:p>
    <w:p>
      <w:pPr>
        <w:pStyle w:val="ListBullet"/>
        <w:spacing w:after="60"/>
        <w:ind w:left="0"/>
      </w:pPr>
      <w:r>
        <w:rPr>
          <w:rFonts w:ascii="Aptos" w:hAnsi="Aptos"/>
          <w:color w:val="1F2937"/>
          <w:sz w:val="20"/>
        </w:rPr>
        <w:t>Normal sourcing: 70% of millet requirement from Nizamabad and 30% from Nagpur, subject to capacity and validity dates.</w:t>
      </w:r>
    </w:p>
    <w:p>
      <w:pPr>
        <w:pStyle w:val="ListBullet"/>
        <w:spacing w:after="60"/>
        <w:ind w:left="0"/>
      </w:pPr>
      <w:r>
        <w:rPr>
          <w:rFonts w:ascii="Aptos" w:hAnsi="Aptos"/>
          <w:color w:val="1F2937"/>
          <w:sz w:val="20"/>
        </w:rPr>
        <w:t>Supplier disruption scenario: temporarily change effective sourcing to 20% Nizamabad / 80% Nagpur if S1 capacity is constrained; if total supplier capacity remains insufficient, prioritize production for the highest-service market and activate approved spot sourcing.</w:t>
      </w:r>
    </w:p>
    <w:p>
      <w:pPr>
        <w:pStyle w:val="ListBullet"/>
        <w:spacing w:after="60"/>
        <w:ind w:left="0"/>
      </w:pPr>
      <w:r>
        <w:rPr>
          <w:rFonts w:ascii="Aptos" w:hAnsi="Aptos"/>
          <w:color w:val="1F2937"/>
          <w:sz w:val="20"/>
        </w:rPr>
        <w:t>Finished goods are planned from Medchal to the three primary DCs based on net requirements, service target, stock, and transport lead time.</w:t>
      </w:r>
    </w:p>
    <w:p>
      <w:pPr>
        <w:pStyle w:val="ListBullet"/>
        <w:spacing w:after="60"/>
        <w:ind w:left="0"/>
      </w:pPr>
      <w:r>
        <w:rPr>
          <w:rFonts w:ascii="Aptos" w:hAnsi="Aptos"/>
          <w:color w:val="1F2937"/>
          <w:sz w:val="20"/>
        </w:rPr>
        <w:t>During shortage, deployment should protect confirmed requirements and higher-priority demand rather than simply pushing equal quantities to all DCs.</w:t>
      </w:r>
    </w:p>
    <w:p>
      <w:pPr>
        <w:pStyle w:val="ListBullet"/>
        <w:spacing w:after="60"/>
        <w:ind w:left="0"/>
      </w:pPr>
      <w:r>
        <w:rPr>
          <w:rFonts w:ascii="Aptos" w:hAnsi="Aptos"/>
          <w:color w:val="1F2937"/>
          <w:sz w:val="20"/>
        </w:rPr>
        <w:t>TLB or equivalent load-consolidation logic should avoid uneconomic partial shipments unless the service penalty is higher than the transport premium.</w:t>
      </w:r>
    </w:p>
    <w:p>
      <w:pPr>
        <w:pStyle w:val="Heading2"/>
        <w:keepNext/>
        <w:keepLines/>
      </w:pPr>
      <w:r>
        <w:rPr>
          <w:rFonts w:ascii="Aptos" w:hAnsi="Aptos"/>
          <w:b/>
          <w:color w:val="365F91"/>
          <w:sz w:val="24"/>
        </w:rPr>
        <w:t>3.4 Why this design is efficient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365F91"/>
            <w:vAlign w:val="center"/>
            <w:tcMar>
              <w:top w:w="80" w:type="dxa"/>
              <w:start w:w="90" w:type="dxa"/>
              <w:bottom w:w="80" w:type="dxa"/>
              <w:end w:w="90" w:type="dxa"/>
            </w:tcMar>
          </w:tcPr>
          <w:p>
            <w:pPr>
              <w:jc w:val="center"/>
            </w:pPr>
            <w:r>
              <w:rPr>
                <w:rFonts w:ascii="Aptos" w:hAnsi="Aptos"/>
                <w:b/>
                <w:color w:val="FFFFFF"/>
                <w:sz w:val="17"/>
              </w:rPr>
              <w:t>Design choice</w:t>
            </w:r>
          </w:p>
        </w:tc>
        <w:tc>
          <w:tcPr>
            <w:tcW w:type="dxa" w:w="3672"/>
            <w:shd w:fill="365F91"/>
            <w:vAlign w:val="center"/>
            <w:tcMar>
              <w:top w:w="80" w:type="dxa"/>
              <w:start w:w="90" w:type="dxa"/>
              <w:bottom w:w="80" w:type="dxa"/>
              <w:end w:w="90" w:type="dxa"/>
            </w:tcMar>
          </w:tcPr>
          <w:p>
            <w:pPr>
              <w:jc w:val="center"/>
            </w:pPr>
            <w:r>
              <w:rPr>
                <w:rFonts w:ascii="Aptos" w:hAnsi="Aptos"/>
                <w:b/>
                <w:color w:val="FFFFFF"/>
                <w:sz w:val="17"/>
              </w:rPr>
              <w:t>Benefit</w:t>
            </w:r>
          </w:p>
        </w:tc>
        <w:tc>
          <w:tcPr>
            <w:tcW w:type="dxa" w:w="3888"/>
            <w:shd w:fill="365F91"/>
            <w:vAlign w:val="center"/>
            <w:tcMar>
              <w:top w:w="80" w:type="dxa"/>
              <w:start w:w="90" w:type="dxa"/>
              <w:bottom w:w="80" w:type="dxa"/>
              <w:end w:w="90" w:type="dxa"/>
            </w:tcMar>
          </w:tcPr>
          <w:p>
            <w:pPr>
              <w:jc w:val="center"/>
            </w:pPr>
            <w:r>
              <w:rPr>
                <w:rFonts w:ascii="Aptos" w:hAnsi="Aptos"/>
                <w:b/>
                <w:color w:val="FFFFFF"/>
                <w:sz w:val="17"/>
              </w:rPr>
              <w:t>Trade-off / control</w:t>
            </w:r>
          </w:p>
        </w:tc>
      </w:tr>
      <w:tr>
        <w:trPr>
          <w:cantSplit/>
        </w:trPr>
        <w:tc>
          <w:tcPr>
            <w:tcW w:type="dxa" w:w="2376"/>
            <w:vAlign w:val="center"/>
            <w:tcMar>
              <w:top w:w="80" w:type="dxa"/>
              <w:start w:w="90" w:type="dxa"/>
              <w:bottom w:w="80" w:type="dxa"/>
              <w:end w:w="90" w:type="dxa"/>
            </w:tcMar>
          </w:tcPr>
          <w:p>
            <w:pPr>
              <w:spacing w:after="0"/>
            </w:pPr>
            <w:r>
              <w:rPr>
                <w:rFonts w:ascii="Aptos" w:hAnsi="Aptos"/>
                <w:color w:val="1F2937"/>
                <w:sz w:val="17"/>
              </w:rPr>
              <w:t>Single primary plant</w:t>
            </w:r>
          </w:p>
        </w:tc>
        <w:tc>
          <w:tcPr>
            <w:tcW w:type="dxa" w:w="3672"/>
            <w:vAlign w:val="center"/>
            <w:tcMar>
              <w:top w:w="80" w:type="dxa"/>
              <w:start w:w="90" w:type="dxa"/>
              <w:bottom w:w="80" w:type="dxa"/>
              <w:end w:w="90" w:type="dxa"/>
            </w:tcMar>
          </w:tcPr>
          <w:p>
            <w:pPr>
              <w:spacing w:after="0"/>
            </w:pPr>
            <w:r>
              <w:rPr>
                <w:rFonts w:ascii="Aptos" w:hAnsi="Aptos"/>
                <w:color w:val="1F2937"/>
                <w:sz w:val="17"/>
              </w:rPr>
              <w:t>Lower fixed cost and simpler production governance</w:t>
            </w:r>
          </w:p>
        </w:tc>
        <w:tc>
          <w:tcPr>
            <w:tcW w:type="dxa" w:w="3888"/>
            <w:vAlign w:val="center"/>
            <w:tcMar>
              <w:top w:w="80" w:type="dxa"/>
              <w:start w:w="90" w:type="dxa"/>
              <w:bottom w:w="80" w:type="dxa"/>
              <w:end w:w="90" w:type="dxa"/>
            </w:tcMar>
          </w:tcPr>
          <w:p>
            <w:pPr>
              <w:spacing w:after="0"/>
            </w:pPr>
            <w:r>
              <w:rPr>
                <w:rFonts w:ascii="Aptos" w:hAnsi="Aptos"/>
                <w:color w:val="1F2937"/>
                <w:sz w:val="17"/>
              </w:rPr>
              <w:t>Requires backup packing plan and recovery capacity</w:t>
            </w:r>
          </w:p>
        </w:tc>
      </w:tr>
      <w:tr>
        <w:trPr>
          <w:cantSplit/>
        </w:trPr>
        <w:tc>
          <w:tcPr>
            <w:tcW w:type="dxa" w:w="2376"/>
            <w:vAlign w:val="center"/>
            <w:tcMar>
              <w:top w:w="80" w:type="dxa"/>
              <w:start w:w="90" w:type="dxa"/>
              <w:bottom w:w="80" w:type="dxa"/>
              <w:end w:w="90" w:type="dxa"/>
            </w:tcMar>
          </w:tcPr>
          <w:p>
            <w:pPr>
              <w:spacing w:after="0"/>
            </w:pPr>
            <w:r>
              <w:rPr>
                <w:rFonts w:ascii="Aptos" w:hAnsi="Aptos"/>
                <w:color w:val="1F2937"/>
                <w:sz w:val="17"/>
              </w:rPr>
              <w:t>Three regional DCs</w:t>
            </w:r>
          </w:p>
        </w:tc>
        <w:tc>
          <w:tcPr>
            <w:tcW w:type="dxa" w:w="3672"/>
            <w:vAlign w:val="center"/>
            <w:tcMar>
              <w:top w:w="80" w:type="dxa"/>
              <w:start w:w="90" w:type="dxa"/>
              <w:bottom w:w="80" w:type="dxa"/>
              <w:end w:w="90" w:type="dxa"/>
            </w:tcMar>
          </w:tcPr>
          <w:p>
            <w:pPr>
              <w:spacing w:after="0"/>
            </w:pPr>
            <w:r>
              <w:rPr>
                <w:rFonts w:ascii="Aptos" w:hAnsi="Aptos"/>
                <w:color w:val="1F2937"/>
                <w:sz w:val="17"/>
              </w:rPr>
              <w:t>Shorter customer lead time and localized service buffer</w:t>
            </w:r>
          </w:p>
        </w:tc>
        <w:tc>
          <w:tcPr>
            <w:tcW w:type="dxa" w:w="3888"/>
            <w:vAlign w:val="center"/>
            <w:tcMar>
              <w:top w:w="80" w:type="dxa"/>
              <w:start w:w="90" w:type="dxa"/>
              <w:bottom w:w="80" w:type="dxa"/>
              <w:end w:w="90" w:type="dxa"/>
            </w:tcMar>
          </w:tcPr>
          <w:p>
            <w:pPr>
              <w:spacing w:after="0"/>
            </w:pPr>
            <w:r>
              <w:rPr>
                <w:rFonts w:ascii="Aptos" w:hAnsi="Aptos"/>
                <w:color w:val="1F2937"/>
                <w:sz w:val="17"/>
              </w:rPr>
              <w:t>More inventory than a single national DC; controlled by safety-stock policy</w:t>
            </w:r>
          </w:p>
        </w:tc>
      </w:tr>
      <w:tr>
        <w:trPr>
          <w:cantSplit/>
        </w:trPr>
        <w:tc>
          <w:tcPr>
            <w:tcW w:type="dxa" w:w="2376"/>
            <w:vAlign w:val="center"/>
            <w:tcMar>
              <w:top w:w="80" w:type="dxa"/>
              <w:start w:w="90" w:type="dxa"/>
              <w:bottom w:w="80" w:type="dxa"/>
              <w:end w:w="90" w:type="dxa"/>
            </w:tcMar>
          </w:tcPr>
          <w:p>
            <w:pPr>
              <w:spacing w:after="0"/>
            </w:pPr>
            <w:r>
              <w:rPr>
                <w:rFonts w:ascii="Aptos" w:hAnsi="Aptos"/>
                <w:color w:val="1F2937"/>
                <w:sz w:val="17"/>
              </w:rPr>
              <w:t>Dual raw-material sourcing</w:t>
            </w:r>
          </w:p>
        </w:tc>
        <w:tc>
          <w:tcPr>
            <w:tcW w:type="dxa" w:w="3672"/>
            <w:vAlign w:val="center"/>
            <w:tcMar>
              <w:top w:w="80" w:type="dxa"/>
              <w:start w:w="90" w:type="dxa"/>
              <w:bottom w:w="80" w:type="dxa"/>
              <w:end w:w="90" w:type="dxa"/>
            </w:tcMar>
          </w:tcPr>
          <w:p>
            <w:pPr>
              <w:spacing w:after="0"/>
            </w:pPr>
            <w:r>
              <w:rPr>
                <w:rFonts w:ascii="Aptos" w:hAnsi="Aptos"/>
                <w:color w:val="1F2937"/>
                <w:sz w:val="17"/>
              </w:rPr>
              <w:t>Reduces supplier concentration risk</w:t>
            </w:r>
          </w:p>
        </w:tc>
        <w:tc>
          <w:tcPr>
            <w:tcW w:type="dxa" w:w="3888"/>
            <w:vAlign w:val="center"/>
            <w:tcMar>
              <w:top w:w="80" w:type="dxa"/>
              <w:start w:w="90" w:type="dxa"/>
              <w:bottom w:w="80" w:type="dxa"/>
              <w:end w:w="90" w:type="dxa"/>
            </w:tcMar>
          </w:tcPr>
          <w:p>
            <w:pPr>
              <w:spacing w:after="0"/>
            </w:pPr>
            <w:r>
              <w:rPr>
                <w:rFonts w:ascii="Aptos" w:hAnsi="Aptos"/>
                <w:color w:val="1F2937"/>
                <w:sz w:val="17"/>
              </w:rPr>
              <w:t>S2 is more expensive; use quota rather than permanent 50/50 split</w:t>
            </w:r>
          </w:p>
        </w:tc>
      </w:tr>
      <w:tr>
        <w:trPr>
          <w:cantSplit/>
        </w:trPr>
        <w:tc>
          <w:tcPr>
            <w:tcW w:type="dxa" w:w="2376"/>
            <w:vAlign w:val="center"/>
            <w:tcMar>
              <w:top w:w="80" w:type="dxa"/>
              <w:start w:w="90" w:type="dxa"/>
              <w:bottom w:w="80" w:type="dxa"/>
              <w:end w:w="90" w:type="dxa"/>
            </w:tcMar>
          </w:tcPr>
          <w:p>
            <w:pPr>
              <w:spacing w:after="0"/>
            </w:pPr>
            <w:r>
              <w:rPr>
                <w:rFonts w:ascii="Aptos" w:hAnsi="Aptos"/>
                <w:color w:val="1F2937"/>
                <w:sz w:val="17"/>
              </w:rPr>
              <w:t>Simulation version before activation</w:t>
            </w:r>
          </w:p>
        </w:tc>
        <w:tc>
          <w:tcPr>
            <w:tcW w:type="dxa" w:w="3672"/>
            <w:vAlign w:val="center"/>
            <w:tcMar>
              <w:top w:w="80" w:type="dxa"/>
              <w:start w:w="90" w:type="dxa"/>
              <w:bottom w:w="80" w:type="dxa"/>
              <w:end w:w="90" w:type="dxa"/>
            </w:tcMar>
          </w:tcPr>
          <w:p>
            <w:pPr>
              <w:spacing w:after="0"/>
            </w:pPr>
            <w:r>
              <w:rPr>
                <w:rFonts w:ascii="Aptos" w:hAnsi="Aptos"/>
                <w:color w:val="1F2937"/>
                <w:sz w:val="17"/>
              </w:rPr>
              <w:t>Allows cost/service comparison without disturbing the live plan</w:t>
            </w:r>
          </w:p>
        </w:tc>
        <w:tc>
          <w:tcPr>
            <w:tcW w:type="dxa" w:w="3888"/>
            <w:vAlign w:val="center"/>
            <w:tcMar>
              <w:top w:w="80" w:type="dxa"/>
              <w:start w:w="90" w:type="dxa"/>
              <w:bottom w:w="80" w:type="dxa"/>
              <w:end w:w="90" w:type="dxa"/>
            </w:tcMar>
          </w:tcPr>
          <w:p>
            <w:pPr>
              <w:spacing w:after="0"/>
            </w:pPr>
            <w:r>
              <w:rPr>
                <w:rFonts w:ascii="Aptos" w:hAnsi="Aptos"/>
                <w:color w:val="1F2937"/>
                <w:sz w:val="17"/>
              </w:rPr>
              <w:t>Requires version discipline and controlled master-data promotion</w:t>
            </w:r>
          </w:p>
        </w:tc>
      </w:tr>
      <w:tr>
        <w:trPr>
          <w:cantSplit/>
        </w:trPr>
        <w:tc>
          <w:tcPr>
            <w:tcW w:type="dxa" w:w="2376"/>
            <w:vAlign w:val="center"/>
            <w:tcMar>
              <w:top w:w="80" w:type="dxa"/>
              <w:start w:w="90" w:type="dxa"/>
              <w:bottom w:w="80" w:type="dxa"/>
              <w:end w:w="90" w:type="dxa"/>
            </w:tcMar>
          </w:tcPr>
          <w:p>
            <w:pPr>
              <w:spacing w:after="0"/>
            </w:pPr>
            <w:r>
              <w:rPr>
                <w:rFonts w:ascii="Aptos" w:hAnsi="Aptos"/>
                <w:color w:val="1F2937"/>
                <w:sz w:val="17"/>
              </w:rPr>
              <w:t>Heuristic + optimizer approach</w:t>
            </w:r>
          </w:p>
        </w:tc>
        <w:tc>
          <w:tcPr>
            <w:tcW w:type="dxa" w:w="3672"/>
            <w:vAlign w:val="center"/>
            <w:tcMar>
              <w:top w:w="80" w:type="dxa"/>
              <w:start w:w="90" w:type="dxa"/>
              <w:bottom w:w="80" w:type="dxa"/>
              <w:end w:w="90" w:type="dxa"/>
            </w:tcMar>
          </w:tcPr>
          <w:p>
            <w:pPr>
              <w:spacing w:after="0"/>
            </w:pPr>
            <w:r>
              <w:rPr>
                <w:rFonts w:ascii="Aptos" w:hAnsi="Aptos"/>
                <w:color w:val="1F2937"/>
                <w:sz w:val="17"/>
              </w:rPr>
              <w:t>Fast baseline plus cost/constraint analysis</w:t>
            </w:r>
          </w:p>
        </w:tc>
        <w:tc>
          <w:tcPr>
            <w:tcW w:type="dxa" w:w="3888"/>
            <w:vAlign w:val="center"/>
            <w:tcMar>
              <w:top w:w="80" w:type="dxa"/>
              <w:start w:w="90" w:type="dxa"/>
              <w:bottom w:w="80" w:type="dxa"/>
              <w:end w:w="90" w:type="dxa"/>
            </w:tcMar>
          </w:tcPr>
          <w:p>
            <w:pPr>
              <w:spacing w:after="0"/>
            </w:pPr>
            <w:r>
              <w:rPr>
                <w:rFonts w:ascii="Aptos" w:hAnsi="Aptos"/>
                <w:color w:val="1F2937"/>
                <w:sz w:val="17"/>
              </w:rPr>
              <w:t>Optimizer requires reliable cost and capacity data</w:t>
            </w:r>
          </w:p>
        </w:tc>
      </w:tr>
    </w:tbl>
    <w:p>
      <w:pPr>
        <w:spacing w:after="20"/>
      </w:pPr>
    </w:p>
    <w:p>
      <w:pPr>
        <w:pStyle w:val="Heading1"/>
        <w:keepNext/>
        <w:keepLines/>
      </w:pPr>
      <w:r>
        <w:rPr>
          <w:rFonts w:ascii="Aptos" w:hAnsi="Aptos"/>
          <w:b/>
          <w:color w:val="365F91"/>
          <w:sz w:val="30"/>
        </w:rPr>
        <w:t>4. SAP SCM Design and Configuration</w:t>
      </w:r>
    </w:p>
    <w:p>
      <w:pPr>
        <w:pStyle w:val="Heading2"/>
        <w:keepNext/>
        <w:keepLines/>
      </w:pPr>
      <w:r>
        <w:rPr>
          <w:rFonts w:ascii="Aptos" w:hAnsi="Aptos"/>
          <w:b/>
          <w:color w:val="365F91"/>
          <w:sz w:val="24"/>
        </w:rPr>
        <w:t>4.1 Logical configuration sequence</w:t>
      </w:r>
    </w:p>
    <w:p>
      <w:pPr>
        <w:spacing w:after="120" w:line="259" w:lineRule="auto"/>
      </w:pPr>
      <w:r>
        <w:rPr>
          <w:rFonts w:ascii="Aptos" w:hAnsi="Aptos"/>
          <w:color w:val="1F2937"/>
          <w:sz w:val="20"/>
        </w:rPr>
        <w:t>I have presented the configuration in the order I would check it during an SNP setup. In a real landscape, some master and transaction data may come from SAP ERP/S/4HANA through CIF. For this Week 1 exercise, I focus on the APO planning objects and settings needed to build and validate the network, and I use proposed values rather than claiming that these settings were transported into a live system.</w:t>
      </w:r>
    </w:p>
    <w:p>
      <w:pPr>
        <w:pStyle w:val="ListNumber"/>
        <w:spacing w:after="80"/>
      </w:pPr>
      <w:r>
        <w:rPr>
          <w:rFonts w:ascii="Aptos" w:hAnsi="Aptos"/>
          <w:color w:val="1F2937"/>
          <w:sz w:val="20"/>
        </w:rPr>
        <w:t>Confirm planning scope, planning horizon, products, locations, time buckets, and service policies.</w:t>
      </w:r>
    </w:p>
    <w:p>
      <w:pPr>
        <w:pStyle w:val="ListNumber"/>
        <w:spacing w:after="80"/>
      </w:pPr>
      <w:r>
        <w:rPr>
          <w:rFonts w:ascii="Aptos" w:hAnsi="Aptos"/>
          <w:color w:val="1F2937"/>
          <w:sz w:val="20"/>
        </w:rPr>
        <w:t>Create or integrate locations, products/location-products, resources, and production source data.</w:t>
      </w:r>
    </w:p>
    <w:p>
      <w:pPr>
        <w:pStyle w:val="ListNumber"/>
        <w:spacing w:after="80"/>
      </w:pPr>
      <w:r>
        <w:rPr>
          <w:rFonts w:ascii="Aptos" w:hAnsi="Aptos"/>
          <w:color w:val="1F2937"/>
          <w:sz w:val="20"/>
        </w:rPr>
        <w:t>Create means of transport and transportation lanes connecting the supply network nodes.</w:t>
      </w:r>
    </w:p>
    <w:p>
      <w:pPr>
        <w:pStyle w:val="ListNumber"/>
        <w:spacing w:after="80"/>
      </w:pPr>
      <w:r>
        <w:rPr>
          <w:rFonts w:ascii="Aptos" w:hAnsi="Aptos"/>
          <w:color w:val="1F2937"/>
          <w:sz w:val="20"/>
        </w:rPr>
        <w:t>Create quota arrangements or source-of-supply rules for alternative suppliers.</w:t>
      </w:r>
    </w:p>
    <w:p>
      <w:pPr>
        <w:pStyle w:val="ListNumber"/>
        <w:spacing w:after="80"/>
      </w:pPr>
      <w:r>
        <w:rPr>
          <w:rFonts w:ascii="Aptos" w:hAnsi="Aptos"/>
          <w:color w:val="1F2937"/>
          <w:sz w:val="20"/>
        </w:rPr>
        <w:t>Create the supply chain model and planning version; assign all relevant master data.</w:t>
      </w:r>
    </w:p>
    <w:p>
      <w:pPr>
        <w:pStyle w:val="ListNumber"/>
        <w:spacing w:after="80"/>
      </w:pPr>
      <w:r>
        <w:rPr>
          <w:rFonts w:ascii="Aptos" w:hAnsi="Aptos"/>
          <w:color w:val="1F2937"/>
          <w:sz w:val="20"/>
        </w:rPr>
        <w:t>Configure or select the SNP planning area, planning buckets profile, planning book, and data view.</w:t>
      </w:r>
    </w:p>
    <w:p>
      <w:pPr>
        <w:pStyle w:val="ListNumber"/>
        <w:spacing w:after="80"/>
      </w:pPr>
      <w:r>
        <w:rPr>
          <w:rFonts w:ascii="Aptos" w:hAnsi="Aptos"/>
          <w:color w:val="1F2937"/>
          <w:sz w:val="20"/>
        </w:rPr>
        <w:t>Load/release forecast demand and initial stock; validate model consistency.</w:t>
      </w:r>
    </w:p>
    <w:p>
      <w:pPr>
        <w:pStyle w:val="ListNumber"/>
        <w:spacing w:after="80"/>
      </w:pPr>
      <w:r>
        <w:rPr>
          <w:rFonts w:ascii="Aptos" w:hAnsi="Aptos"/>
          <w:color w:val="1F2937"/>
          <w:sz w:val="20"/>
        </w:rPr>
        <w:t>Run heuristic planning; review capacity, inventory, and sourcing exceptions.</w:t>
      </w:r>
    </w:p>
    <w:p>
      <w:pPr>
        <w:pStyle w:val="ListNumber"/>
        <w:spacing w:after="80"/>
      </w:pPr>
      <w:r>
        <w:rPr>
          <w:rFonts w:ascii="Aptos" w:hAnsi="Aptos"/>
          <w:color w:val="1F2937"/>
          <w:sz w:val="20"/>
        </w:rPr>
        <w:t>Run optimizer scenarios when cost and capacity trade-offs require a constrained solution.</w:t>
      </w:r>
    </w:p>
    <w:p>
      <w:pPr>
        <w:pStyle w:val="ListNumber"/>
        <w:spacing w:after="80"/>
      </w:pPr>
      <w:r>
        <w:rPr>
          <w:rFonts w:ascii="Aptos" w:hAnsi="Aptos"/>
          <w:color w:val="1F2937"/>
          <w:sz w:val="20"/>
        </w:rPr>
        <w:t>Run deployment and transport-load planning; release approved supply/stock-transfer proposals to execution systems.</w:t>
      </w:r>
    </w:p>
    <w:p>
      <w:pPr>
        <w:pStyle w:val="Heading2"/>
        <w:keepNext/>
        <w:keepLines/>
      </w:pPr>
      <w:r>
        <w:rPr>
          <w:rFonts w:ascii="Aptos" w:hAnsi="Aptos"/>
          <w:b/>
          <w:color w:val="365F91"/>
          <w:sz w:val="24"/>
        </w:rPr>
        <w:t>4.2 Master data setup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584"/>
            <w:shd w:fill="365F91"/>
            <w:vAlign w:val="center"/>
            <w:tcMar>
              <w:top w:w="80" w:type="dxa"/>
              <w:start w:w="90" w:type="dxa"/>
              <w:bottom w:w="80" w:type="dxa"/>
              <w:end w:w="90" w:type="dxa"/>
            </w:tcMar>
          </w:tcPr>
          <w:p>
            <w:pPr>
              <w:jc w:val="center"/>
            </w:pPr>
            <w:r>
              <w:rPr>
                <w:rFonts w:ascii="Aptos" w:hAnsi="Aptos"/>
                <w:b/>
                <w:color w:val="FFFFFF"/>
                <w:sz w:val="17"/>
              </w:rPr>
              <w:t>Object</w:t>
            </w:r>
          </w:p>
        </w:tc>
        <w:tc>
          <w:tcPr>
            <w:tcW w:type="dxa" w:w="2376"/>
            <w:shd w:fill="365F91"/>
            <w:vAlign w:val="center"/>
            <w:tcMar>
              <w:top w:w="80" w:type="dxa"/>
              <w:start w:w="90" w:type="dxa"/>
              <w:bottom w:w="80" w:type="dxa"/>
              <w:end w:w="90" w:type="dxa"/>
            </w:tcMar>
          </w:tcPr>
          <w:p>
            <w:pPr>
              <w:jc w:val="center"/>
            </w:pPr>
            <w:r>
              <w:rPr>
                <w:rFonts w:ascii="Aptos" w:hAnsi="Aptos"/>
                <w:b/>
                <w:color w:val="FFFFFF"/>
                <w:sz w:val="17"/>
              </w:rPr>
              <w:t>Example ID / setting</w:t>
            </w:r>
          </w:p>
        </w:tc>
        <w:tc>
          <w:tcPr>
            <w:tcW w:type="dxa" w:w="3024"/>
            <w:shd w:fill="365F91"/>
            <w:vAlign w:val="center"/>
            <w:tcMar>
              <w:top w:w="80" w:type="dxa"/>
              <w:start w:w="90" w:type="dxa"/>
              <w:bottom w:w="80" w:type="dxa"/>
              <w:end w:w="90" w:type="dxa"/>
            </w:tcMar>
          </w:tcPr>
          <w:p>
            <w:pPr>
              <w:jc w:val="center"/>
            </w:pPr>
            <w:r>
              <w:rPr>
                <w:rFonts w:ascii="Aptos" w:hAnsi="Aptos"/>
                <w:b/>
                <w:color w:val="FFFFFF"/>
                <w:sz w:val="17"/>
              </w:rPr>
              <w:t>Maintenance approach</w:t>
            </w:r>
          </w:p>
        </w:tc>
        <w:tc>
          <w:tcPr>
            <w:tcW w:type="dxa" w:w="3672"/>
            <w:shd w:fill="365F91"/>
            <w:vAlign w:val="center"/>
            <w:tcMar>
              <w:top w:w="80" w:type="dxa"/>
              <w:start w:w="90" w:type="dxa"/>
              <w:bottom w:w="80" w:type="dxa"/>
              <w:end w:w="90" w:type="dxa"/>
            </w:tcMar>
          </w:tcPr>
          <w:p>
            <w:pPr>
              <w:jc w:val="center"/>
            </w:pPr>
            <w:r>
              <w:rPr>
                <w:rFonts w:ascii="Aptos" w:hAnsi="Aptos"/>
                <w:b/>
                <w:color w:val="FFFFFF"/>
                <w:sz w:val="17"/>
              </w:rPr>
              <w:t>Key fields for this scenario</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Location</w:t>
            </w:r>
          </w:p>
        </w:tc>
        <w:tc>
          <w:tcPr>
            <w:tcW w:type="dxa" w:w="2376"/>
            <w:vAlign w:val="center"/>
            <w:tcMar>
              <w:top w:w="80" w:type="dxa"/>
              <w:start w:w="90" w:type="dxa"/>
              <w:bottom w:w="80" w:type="dxa"/>
              <w:end w:w="90" w:type="dxa"/>
            </w:tcMar>
          </w:tcPr>
          <w:p>
            <w:pPr>
              <w:spacing w:after="0"/>
            </w:pPr>
            <w:r>
              <w:rPr>
                <w:rFonts w:ascii="Aptos" w:hAnsi="Aptos"/>
                <w:color w:val="1F2937"/>
                <w:sz w:val="16"/>
              </w:rPr>
              <w:t>SUP_NZB, SUP_NGP, SUP_HYD, PLT_MED, DC_HYD, DC_VJA, DC_BLR</w:t>
            </w:r>
          </w:p>
        </w:tc>
        <w:tc>
          <w:tcPr>
            <w:tcW w:type="dxa" w:w="3024"/>
            <w:vAlign w:val="center"/>
            <w:tcMar>
              <w:top w:w="80" w:type="dxa"/>
              <w:start w:w="90" w:type="dxa"/>
              <w:bottom w:w="80" w:type="dxa"/>
              <w:end w:w="90" w:type="dxa"/>
            </w:tcMar>
          </w:tcPr>
          <w:p>
            <w:pPr>
              <w:spacing w:after="0"/>
            </w:pPr>
            <w:r>
              <w:rPr>
                <w:rFonts w:ascii="Aptos" w:hAnsi="Aptos"/>
                <w:color w:val="1F2937"/>
                <w:sz w:val="16"/>
              </w:rPr>
              <w:t>/SAPAPO/LOC3 or CIF from ERP master data</w:t>
            </w:r>
          </w:p>
        </w:tc>
        <w:tc>
          <w:tcPr>
            <w:tcW w:type="dxa" w:w="3672"/>
            <w:vAlign w:val="center"/>
            <w:tcMar>
              <w:top w:w="80" w:type="dxa"/>
              <w:start w:w="90" w:type="dxa"/>
              <w:bottom w:w="80" w:type="dxa"/>
              <w:end w:w="90" w:type="dxa"/>
            </w:tcMar>
          </w:tcPr>
          <w:p>
            <w:pPr>
              <w:spacing w:after="0"/>
            </w:pPr>
            <w:r>
              <w:rPr>
                <w:rFonts w:ascii="Aptos" w:hAnsi="Aptos"/>
                <w:color w:val="1F2937"/>
                <w:sz w:val="16"/>
              </w:rPr>
              <w:t>Location type, address/geography, calendar, time zone</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Product</w:t>
            </w:r>
          </w:p>
        </w:tc>
        <w:tc>
          <w:tcPr>
            <w:tcW w:type="dxa" w:w="2376"/>
            <w:vAlign w:val="center"/>
            <w:tcMar>
              <w:top w:w="80" w:type="dxa"/>
              <w:start w:w="90" w:type="dxa"/>
              <w:bottom w:w="80" w:type="dxa"/>
              <w:end w:w="90" w:type="dxa"/>
            </w:tcMar>
          </w:tcPr>
          <w:p>
            <w:pPr>
              <w:spacing w:after="0"/>
            </w:pPr>
            <w:r>
              <w:rPr>
                <w:rFonts w:ascii="Aptos" w:hAnsi="Aptos"/>
                <w:color w:val="1F2937"/>
                <w:sz w:val="16"/>
              </w:rPr>
              <w:t>DH-MILLET-MIX-1KG</w:t>
            </w:r>
          </w:p>
        </w:tc>
        <w:tc>
          <w:tcPr>
            <w:tcW w:type="dxa" w:w="3024"/>
            <w:vAlign w:val="center"/>
            <w:tcMar>
              <w:top w:w="80" w:type="dxa"/>
              <w:start w:w="90" w:type="dxa"/>
              <w:bottom w:w="80" w:type="dxa"/>
              <w:end w:w="90" w:type="dxa"/>
            </w:tcMar>
          </w:tcPr>
          <w:p>
            <w:pPr>
              <w:spacing w:after="0"/>
            </w:pPr>
            <w:r>
              <w:rPr>
                <w:rFonts w:ascii="Aptos" w:hAnsi="Aptos"/>
                <w:color w:val="1F2937"/>
                <w:sz w:val="16"/>
              </w:rPr>
              <w:t>/SAPAPO/MAT1 or CIF; extend to location-products</w:t>
            </w:r>
          </w:p>
        </w:tc>
        <w:tc>
          <w:tcPr>
            <w:tcW w:type="dxa" w:w="3672"/>
            <w:vAlign w:val="center"/>
            <w:tcMar>
              <w:top w:w="80" w:type="dxa"/>
              <w:start w:w="90" w:type="dxa"/>
              <w:bottom w:w="80" w:type="dxa"/>
              <w:end w:w="90" w:type="dxa"/>
            </w:tcMar>
          </w:tcPr>
          <w:p>
            <w:pPr>
              <w:spacing w:after="0"/>
            </w:pPr>
            <w:r>
              <w:rPr>
                <w:rFonts w:ascii="Aptos" w:hAnsi="Aptos"/>
                <w:color w:val="1F2937"/>
                <w:sz w:val="16"/>
              </w:rPr>
              <w:t>Base UoM, procurement type, lot size, safety stock/service level, SNP horizons</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Raw material</w:t>
            </w:r>
          </w:p>
        </w:tc>
        <w:tc>
          <w:tcPr>
            <w:tcW w:type="dxa" w:w="2376"/>
            <w:vAlign w:val="center"/>
            <w:tcMar>
              <w:top w:w="80" w:type="dxa"/>
              <w:start w:w="90" w:type="dxa"/>
              <w:bottom w:w="80" w:type="dxa"/>
              <w:end w:w="90" w:type="dxa"/>
            </w:tcMar>
          </w:tcPr>
          <w:p>
            <w:pPr>
              <w:spacing w:after="0"/>
            </w:pPr>
            <w:r>
              <w:rPr>
                <w:rFonts w:ascii="Aptos" w:hAnsi="Aptos"/>
                <w:color w:val="1F2937"/>
                <w:sz w:val="16"/>
              </w:rPr>
              <w:t>RM-MILLET, PKG-1KG</w:t>
            </w:r>
          </w:p>
        </w:tc>
        <w:tc>
          <w:tcPr>
            <w:tcW w:type="dxa" w:w="3024"/>
            <w:vAlign w:val="center"/>
            <w:tcMar>
              <w:top w:w="80" w:type="dxa"/>
              <w:start w:w="90" w:type="dxa"/>
              <w:bottom w:w="80" w:type="dxa"/>
              <w:end w:w="90" w:type="dxa"/>
            </w:tcMar>
          </w:tcPr>
          <w:p>
            <w:pPr>
              <w:spacing w:after="0"/>
            </w:pPr>
            <w:r>
              <w:rPr>
                <w:rFonts w:ascii="Aptos" w:hAnsi="Aptos"/>
                <w:color w:val="1F2937"/>
                <w:sz w:val="16"/>
              </w:rPr>
              <w:t>Product/location-product master</w:t>
            </w:r>
          </w:p>
        </w:tc>
        <w:tc>
          <w:tcPr>
            <w:tcW w:type="dxa" w:w="3672"/>
            <w:vAlign w:val="center"/>
            <w:tcMar>
              <w:top w:w="80" w:type="dxa"/>
              <w:start w:w="90" w:type="dxa"/>
              <w:bottom w:w="80" w:type="dxa"/>
              <w:end w:w="90" w:type="dxa"/>
            </w:tcMar>
          </w:tcPr>
          <w:p>
            <w:pPr>
              <w:spacing w:after="0"/>
            </w:pPr>
            <w:r>
              <w:rPr>
                <w:rFonts w:ascii="Aptos" w:hAnsi="Aptos"/>
                <w:color w:val="1F2937"/>
                <w:sz w:val="16"/>
              </w:rPr>
              <w:t>Procurement lead time, lot size, supplier source</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Resource</w:t>
            </w:r>
          </w:p>
        </w:tc>
        <w:tc>
          <w:tcPr>
            <w:tcW w:type="dxa" w:w="2376"/>
            <w:vAlign w:val="center"/>
            <w:tcMar>
              <w:top w:w="80" w:type="dxa"/>
              <w:start w:w="90" w:type="dxa"/>
              <w:bottom w:w="80" w:type="dxa"/>
              <w:end w:w="90" w:type="dxa"/>
            </w:tcMar>
          </w:tcPr>
          <w:p>
            <w:pPr>
              <w:spacing w:after="0"/>
            </w:pPr>
            <w:r>
              <w:rPr>
                <w:rFonts w:ascii="Aptos" w:hAnsi="Aptos"/>
                <w:color w:val="1F2937"/>
                <w:sz w:val="16"/>
              </w:rPr>
              <w:t>RES_MED_PACK</w:t>
            </w:r>
          </w:p>
        </w:tc>
        <w:tc>
          <w:tcPr>
            <w:tcW w:type="dxa" w:w="3024"/>
            <w:vAlign w:val="center"/>
            <w:tcMar>
              <w:top w:w="80" w:type="dxa"/>
              <w:start w:w="90" w:type="dxa"/>
              <w:bottom w:w="80" w:type="dxa"/>
              <w:end w:w="90" w:type="dxa"/>
            </w:tcMar>
          </w:tcPr>
          <w:p>
            <w:pPr>
              <w:spacing w:after="0"/>
            </w:pPr>
            <w:r>
              <w:rPr>
                <w:rFonts w:ascii="Aptos" w:hAnsi="Aptos"/>
                <w:color w:val="1F2937"/>
                <w:sz w:val="16"/>
              </w:rPr>
              <w:t>/SAPAPO/RES01</w:t>
            </w:r>
          </w:p>
        </w:tc>
        <w:tc>
          <w:tcPr>
            <w:tcW w:type="dxa" w:w="3672"/>
            <w:vAlign w:val="center"/>
            <w:tcMar>
              <w:top w:w="80" w:type="dxa"/>
              <w:start w:w="90" w:type="dxa"/>
              <w:bottom w:w="80" w:type="dxa"/>
              <w:end w:w="90" w:type="dxa"/>
            </w:tcMar>
          </w:tcPr>
          <w:p>
            <w:pPr>
              <w:spacing w:after="0"/>
            </w:pPr>
            <w:r>
              <w:rPr>
                <w:rFonts w:ascii="Aptos" w:hAnsi="Aptos"/>
                <w:color w:val="1F2937"/>
                <w:sz w:val="16"/>
              </w:rPr>
              <w:t>Weekly capacity, calendar, utilization, costs where relevant</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Production source</w:t>
            </w:r>
          </w:p>
        </w:tc>
        <w:tc>
          <w:tcPr>
            <w:tcW w:type="dxa" w:w="2376"/>
            <w:vAlign w:val="center"/>
            <w:tcMar>
              <w:top w:w="80" w:type="dxa"/>
              <w:start w:w="90" w:type="dxa"/>
              <w:bottom w:w="80" w:type="dxa"/>
              <w:end w:w="90" w:type="dxa"/>
            </w:tcMar>
          </w:tcPr>
          <w:p>
            <w:pPr>
              <w:spacing w:after="0"/>
            </w:pPr>
            <w:r>
              <w:rPr>
                <w:rFonts w:ascii="Aptos" w:hAnsi="Aptos"/>
                <w:color w:val="1F2937"/>
                <w:sz w:val="16"/>
              </w:rPr>
              <w:t>PDS/PPM for DH-MILLET-MIX-1KG at PLT_MED</w:t>
            </w:r>
          </w:p>
        </w:tc>
        <w:tc>
          <w:tcPr>
            <w:tcW w:type="dxa" w:w="3024"/>
            <w:vAlign w:val="center"/>
            <w:tcMar>
              <w:top w:w="80" w:type="dxa"/>
              <w:start w:w="90" w:type="dxa"/>
              <w:bottom w:w="80" w:type="dxa"/>
              <w:end w:w="90" w:type="dxa"/>
            </w:tcMar>
          </w:tcPr>
          <w:p>
            <w:pPr>
              <w:spacing w:after="0"/>
            </w:pPr>
            <w:r>
              <w:rPr>
                <w:rFonts w:ascii="Aptos" w:hAnsi="Aptos"/>
                <w:color w:val="1F2937"/>
                <w:sz w:val="16"/>
              </w:rPr>
              <w:t>Generated/integrated production data structure or maintained PPM depending landscape</w:t>
            </w:r>
          </w:p>
        </w:tc>
        <w:tc>
          <w:tcPr>
            <w:tcW w:type="dxa" w:w="3672"/>
            <w:vAlign w:val="center"/>
            <w:tcMar>
              <w:top w:w="80" w:type="dxa"/>
              <w:start w:w="90" w:type="dxa"/>
              <w:bottom w:w="80" w:type="dxa"/>
              <w:end w:w="90" w:type="dxa"/>
            </w:tcMar>
          </w:tcPr>
          <w:p>
            <w:pPr>
              <w:spacing w:after="0"/>
            </w:pPr>
            <w:r>
              <w:rPr>
                <w:rFonts w:ascii="Aptos" w:hAnsi="Aptos"/>
                <w:color w:val="1F2937"/>
                <w:sz w:val="16"/>
              </w:rPr>
              <w:t>Input components, output quantity, resource consumption, validity</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Transportation lane</w:t>
            </w:r>
          </w:p>
        </w:tc>
        <w:tc>
          <w:tcPr>
            <w:tcW w:type="dxa" w:w="2376"/>
            <w:vAlign w:val="center"/>
            <w:tcMar>
              <w:top w:w="80" w:type="dxa"/>
              <w:start w:w="90" w:type="dxa"/>
              <w:bottom w:w="80" w:type="dxa"/>
              <w:end w:w="90" w:type="dxa"/>
            </w:tcMar>
          </w:tcPr>
          <w:p>
            <w:pPr>
              <w:spacing w:after="0"/>
            </w:pPr>
            <w:r>
              <w:rPr>
                <w:rFonts w:ascii="Aptos" w:hAnsi="Aptos"/>
                <w:color w:val="1F2937"/>
                <w:sz w:val="16"/>
              </w:rPr>
              <w:t>Supplier-&gt;plant and plant-&gt;DC lanes</w:t>
            </w:r>
          </w:p>
        </w:tc>
        <w:tc>
          <w:tcPr>
            <w:tcW w:type="dxa" w:w="3024"/>
            <w:vAlign w:val="center"/>
            <w:tcMar>
              <w:top w:w="80" w:type="dxa"/>
              <w:start w:w="90" w:type="dxa"/>
              <w:bottom w:w="80" w:type="dxa"/>
              <w:end w:w="90" w:type="dxa"/>
            </w:tcMar>
          </w:tcPr>
          <w:p>
            <w:pPr>
              <w:spacing w:after="0"/>
            </w:pPr>
            <w:r>
              <w:rPr>
                <w:rFonts w:ascii="Aptos" w:hAnsi="Aptos"/>
                <w:color w:val="1F2937"/>
                <w:sz w:val="16"/>
              </w:rPr>
              <w:t>/SAPAPO/SCC_TL1</w:t>
            </w:r>
          </w:p>
        </w:tc>
        <w:tc>
          <w:tcPr>
            <w:tcW w:type="dxa" w:w="3672"/>
            <w:vAlign w:val="center"/>
            <w:tcMar>
              <w:top w:w="80" w:type="dxa"/>
              <w:start w:w="90" w:type="dxa"/>
              <w:bottom w:w="80" w:type="dxa"/>
              <w:end w:w="90" w:type="dxa"/>
            </w:tcMar>
          </w:tcPr>
          <w:p>
            <w:pPr>
              <w:spacing w:after="0"/>
            </w:pPr>
            <w:r>
              <w:rPr>
                <w:rFonts w:ascii="Aptos" w:hAnsi="Aptos"/>
                <w:color w:val="1F2937"/>
                <w:sz w:val="16"/>
              </w:rPr>
              <w:t>Product assignment, means of transport, transit time, transport cost, validity</w:t>
            </w:r>
          </w:p>
        </w:tc>
      </w:tr>
      <w:tr>
        <w:trPr>
          <w:cantSplit/>
        </w:trPr>
        <w:tc>
          <w:tcPr>
            <w:tcW w:type="dxa" w:w="1584"/>
            <w:vAlign w:val="center"/>
            <w:tcMar>
              <w:top w:w="80" w:type="dxa"/>
              <w:start w:w="90" w:type="dxa"/>
              <w:bottom w:w="80" w:type="dxa"/>
              <w:end w:w="90" w:type="dxa"/>
            </w:tcMar>
          </w:tcPr>
          <w:p>
            <w:pPr>
              <w:spacing w:after="0"/>
            </w:pPr>
            <w:r>
              <w:rPr>
                <w:rFonts w:ascii="Aptos" w:hAnsi="Aptos"/>
                <w:color w:val="1F2937"/>
                <w:sz w:val="16"/>
              </w:rPr>
              <w:t>Quota arrangement</w:t>
            </w:r>
          </w:p>
        </w:tc>
        <w:tc>
          <w:tcPr>
            <w:tcW w:type="dxa" w:w="2376"/>
            <w:vAlign w:val="center"/>
            <w:tcMar>
              <w:top w:w="80" w:type="dxa"/>
              <w:start w:w="90" w:type="dxa"/>
              <w:bottom w:w="80" w:type="dxa"/>
              <w:end w:w="90" w:type="dxa"/>
            </w:tcMar>
          </w:tcPr>
          <w:p>
            <w:pPr>
              <w:spacing w:after="0"/>
            </w:pPr>
            <w:r>
              <w:rPr>
                <w:rFonts w:ascii="Aptos" w:hAnsi="Aptos"/>
                <w:color w:val="1F2937"/>
                <w:sz w:val="16"/>
              </w:rPr>
              <w:t>RM-MILLET at PLT_MED</w:t>
            </w:r>
          </w:p>
        </w:tc>
        <w:tc>
          <w:tcPr>
            <w:tcW w:type="dxa" w:w="3024"/>
            <w:vAlign w:val="center"/>
            <w:tcMar>
              <w:top w:w="80" w:type="dxa"/>
              <w:start w:w="90" w:type="dxa"/>
              <w:bottom w:w="80" w:type="dxa"/>
              <w:end w:w="90" w:type="dxa"/>
            </w:tcMar>
          </w:tcPr>
          <w:p>
            <w:pPr>
              <w:spacing w:after="0"/>
            </w:pPr>
            <w:r>
              <w:rPr>
                <w:rFonts w:ascii="Aptos" w:hAnsi="Aptos"/>
                <w:color w:val="1F2937"/>
                <w:sz w:val="16"/>
              </w:rPr>
              <w:t>/SAPAPO/SCC_TQ1</w:t>
            </w:r>
          </w:p>
        </w:tc>
        <w:tc>
          <w:tcPr>
            <w:tcW w:type="dxa" w:w="3672"/>
            <w:vAlign w:val="center"/>
            <w:tcMar>
              <w:top w:w="80" w:type="dxa"/>
              <w:start w:w="90" w:type="dxa"/>
              <w:bottom w:w="80" w:type="dxa"/>
              <w:end w:w="90" w:type="dxa"/>
            </w:tcMar>
          </w:tcPr>
          <w:p>
            <w:pPr>
              <w:spacing w:after="0"/>
            </w:pPr>
            <w:r>
              <w:rPr>
                <w:rFonts w:ascii="Aptos" w:hAnsi="Aptos"/>
                <w:color w:val="1F2937"/>
                <w:sz w:val="16"/>
              </w:rPr>
              <w:t>Inbound quota 70/30, validity, split/grouping rules as needed</w:t>
            </w:r>
          </w:p>
        </w:tc>
      </w:tr>
    </w:tbl>
    <w:p>
      <w:pPr>
        <w:spacing w:after="20"/>
      </w:pPr>
    </w:p>
    <w:p>
      <w:pPr>
        <w:pStyle w:val="Heading2"/>
        <w:keepNext/>
        <w:keepLines/>
      </w:pPr>
      <w:r>
        <w:rPr>
          <w:rFonts w:ascii="Aptos" w:hAnsi="Aptos"/>
          <w:b/>
          <w:color w:val="365F91"/>
          <w:sz w:val="24"/>
        </w:rPr>
        <w:t>4.3 Location and product configuration details</w:t>
      </w:r>
    </w:p>
    <w:p>
      <w:pPr>
        <w:spacing w:after="120" w:line="259" w:lineRule="auto"/>
      </w:pPr>
      <w:r>
        <w:rPr>
          <w:rFonts w:ascii="Aptos" w:hAnsi="Aptos"/>
          <w:color w:val="1F2937"/>
          <w:sz w:val="20"/>
        </w:rPr>
        <w:t>Locations represent the physical or business nodes of the network. For the scenario, suppliers are modeled as vendor locations, Medchal as a production plant, Hyderabad/Vijayawada/Bengaluru as distribution centers, and aggregated market demand can be represented through customer locations or demand at DC level depending the modeling approach. The location master should contain correct calendars and geographic data because lead-time and transport planning depend on these attributes.</w:t>
      </w:r>
    </w:p>
    <w:p>
      <w:pPr>
        <w:spacing w:after="120" w:line="259" w:lineRule="auto"/>
      </w:pPr>
      <w:r>
        <w:rPr>
          <w:rFonts w:ascii="Aptos" w:hAnsi="Aptos"/>
          <w:color w:val="1F2937"/>
          <w:sz w:val="20"/>
        </w:rPr>
        <w:t>The finished-good location-product is maintained at the plant and each DC. Relevant SNP parameters include procurement type, lot-sizing policy, safety stock or service-level settings, production and stock-transfer horizons, and planner responsibility. Raw-material location-products at the plant carry procurement lead times and sourcing information. The target is not to populate every field, but to maintain the minimum planning-relevant fields consistently across all locations.</w:t>
      </w:r>
    </w:p>
    <w:p>
      <w:pPr>
        <w:pStyle w:val="Heading2"/>
        <w:keepNext/>
        <w:keepLines/>
      </w:pPr>
      <w:r>
        <w:rPr>
          <w:rFonts w:ascii="Aptos" w:hAnsi="Aptos"/>
          <w:b/>
          <w:color w:val="365F91"/>
          <w:sz w:val="24"/>
        </w:rPr>
        <w:t>4.4 Resource and production source setup</w:t>
      </w:r>
    </w:p>
    <w:p>
      <w:pPr>
        <w:pStyle w:val="ListBullet"/>
        <w:spacing w:after="60"/>
        <w:ind w:left="0"/>
      </w:pPr>
      <w:r>
        <w:rPr>
          <w:rFonts w:ascii="Aptos" w:hAnsi="Aptos"/>
          <w:color w:val="1F2937"/>
          <w:sz w:val="20"/>
        </w:rPr>
        <w:t>Create production/packing resource RES_MED_PACK and assign an operating calendar. Nominal weekly capacity is 180 t; normal planning should preferably remain at or below 162 t (90%) to preserve recovery headroom.</w:t>
      </w:r>
    </w:p>
    <w:p>
      <w:pPr>
        <w:pStyle w:val="ListBullet"/>
        <w:spacing w:after="60"/>
        <w:ind w:left="0"/>
      </w:pPr>
      <w:r>
        <w:rPr>
          <w:rFonts w:ascii="Aptos" w:hAnsi="Aptos"/>
          <w:color w:val="1F2937"/>
          <w:sz w:val="20"/>
        </w:rPr>
        <w:t>Create or integrate the PDS/PPM for DH-MILLET-MIX-1KG. It should consume representative raw millet and packaging components and use RES_MED_PACK.</w:t>
      </w:r>
    </w:p>
    <w:p>
      <w:pPr>
        <w:pStyle w:val="ListBullet"/>
        <w:spacing w:after="60"/>
        <w:ind w:left="0"/>
      </w:pPr>
      <w:r>
        <w:rPr>
          <w:rFonts w:ascii="Aptos" w:hAnsi="Aptos"/>
          <w:color w:val="1F2937"/>
          <w:sz w:val="20"/>
        </w:rPr>
        <w:t>Assign the production source and resource to the supply chain model/planning version. A consistency check should identify missing production sources when in-house procurement is configured.</w:t>
      </w:r>
    </w:p>
    <w:p>
      <w:pPr>
        <w:pStyle w:val="ListBullet"/>
        <w:spacing w:after="60"/>
        <w:ind w:left="0"/>
      </w:pPr>
      <w:r>
        <w:rPr>
          <w:rFonts w:ascii="Aptos" w:hAnsi="Aptos"/>
          <w:color w:val="1F2937"/>
          <w:sz w:val="20"/>
        </w:rPr>
        <w:t>If the contingency contract packer is modeled, keep its source invalid or penalized in the base scenario, then activate it in a dedicated disruption simulation version.</w:t>
      </w:r>
    </w:p>
    <w:p>
      <w:pPr>
        <w:pStyle w:val="Heading2"/>
        <w:keepNext/>
        <w:keepLines/>
      </w:pPr>
      <w:r>
        <w:rPr>
          <w:rFonts w:ascii="Aptos" w:hAnsi="Aptos"/>
          <w:b/>
          <w:color w:val="365F91"/>
          <w:sz w:val="24"/>
        </w:rPr>
        <w:t>4.5 Transportation lanes and quota arrangements</w:t>
      </w:r>
    </w:p>
    <w:p>
      <w:pPr>
        <w:spacing w:after="120" w:line="259" w:lineRule="auto"/>
      </w:pPr>
      <w:r>
        <w:rPr>
          <w:rFonts w:ascii="Aptos" w:hAnsi="Aptos"/>
          <w:color w:val="1F2937"/>
          <w:sz w:val="20"/>
        </w:rPr>
        <w:t>Transportation lanes are the links between network nodes. For each lane, assign the applicable product, means of transport, transport duration, and cost information required by the selected planning method. The inbound lanes from Nizamabad and Nagpur to Medchal are both valid for RM-MILLET. A quota arrangement is then used to guide the proportion sourced from each location. In optimization-based planning, quota consideration must be enabled in the relevant optimizer settings if quotas are intended to influence the cost-based solution.</w:t>
      </w:r>
    </w:p>
    <w:p>
      <w:pPr>
        <w:pStyle w:val="Heading2"/>
        <w:keepNext/>
        <w:keepLines/>
      </w:pPr>
      <w:r>
        <w:rPr>
          <w:rFonts w:ascii="Aptos" w:hAnsi="Aptos"/>
          <w:b/>
          <w:color w:val="365F91"/>
          <w:sz w:val="24"/>
        </w:rPr>
        <w:t>4.6 Model and planning version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365F91"/>
            <w:vAlign w:val="center"/>
            <w:tcMar>
              <w:top w:w="80" w:type="dxa"/>
              <w:start w:w="90" w:type="dxa"/>
              <w:bottom w:w="80" w:type="dxa"/>
              <w:end w:w="90" w:type="dxa"/>
            </w:tcMar>
          </w:tcPr>
          <w:p>
            <w:pPr>
              <w:jc w:val="center"/>
            </w:pPr>
            <w:r>
              <w:rPr>
                <w:rFonts w:ascii="Aptos" w:hAnsi="Aptos"/>
                <w:b/>
                <w:color w:val="FFFFFF"/>
                <w:sz w:val="17"/>
              </w:rPr>
              <w:t>Item</w:t>
            </w:r>
          </w:p>
        </w:tc>
        <w:tc>
          <w:tcPr>
            <w:tcW w:type="dxa" w:w="2448"/>
            <w:shd w:fill="365F91"/>
            <w:vAlign w:val="center"/>
            <w:tcMar>
              <w:top w:w="80" w:type="dxa"/>
              <w:start w:w="90" w:type="dxa"/>
              <w:bottom w:w="80" w:type="dxa"/>
              <w:end w:w="90" w:type="dxa"/>
            </w:tcMar>
          </w:tcPr>
          <w:p>
            <w:pPr>
              <w:jc w:val="center"/>
            </w:pPr>
            <w:r>
              <w:rPr>
                <w:rFonts w:ascii="Aptos" w:hAnsi="Aptos"/>
                <w:b/>
                <w:color w:val="FFFFFF"/>
                <w:sz w:val="17"/>
              </w:rPr>
              <w:t>Proposed setting</w:t>
            </w:r>
          </w:p>
        </w:tc>
        <w:tc>
          <w:tcPr>
            <w:tcW w:type="dxa" w:w="5040"/>
            <w:shd w:fill="365F91"/>
            <w:vAlign w:val="center"/>
            <w:tcMar>
              <w:top w:w="80" w:type="dxa"/>
              <w:start w:w="90" w:type="dxa"/>
              <w:bottom w:w="80" w:type="dxa"/>
              <w:end w:w="90" w:type="dxa"/>
            </w:tcMar>
          </w:tcPr>
          <w:p>
            <w:pPr>
              <w:jc w:val="center"/>
            </w:pPr>
            <w:r>
              <w:rPr>
                <w:rFonts w:ascii="Aptos" w:hAnsi="Aptos"/>
                <w:b/>
                <w:color w:val="FFFFFF"/>
                <w:sz w:val="17"/>
              </w:rPr>
              <w:t>Purpose</w:t>
            </w:r>
          </w:p>
        </w:tc>
      </w:tr>
      <w:tr>
        <w:trPr>
          <w:cantSplit/>
        </w:trPr>
        <w:tc>
          <w:tcPr>
            <w:tcW w:type="dxa" w:w="2304"/>
            <w:vAlign w:val="center"/>
            <w:tcMar>
              <w:top w:w="80" w:type="dxa"/>
              <w:start w:w="90" w:type="dxa"/>
              <w:bottom w:w="80" w:type="dxa"/>
              <w:end w:w="90" w:type="dxa"/>
            </w:tcMar>
          </w:tcPr>
          <w:p>
            <w:pPr>
              <w:spacing w:after="0"/>
            </w:pPr>
            <w:r>
              <w:rPr>
                <w:rFonts w:ascii="Aptos" w:hAnsi="Aptos"/>
                <w:color w:val="1F2937"/>
                <w:sz w:val="17"/>
              </w:rPr>
              <w:t>Model</w:t>
            </w:r>
          </w:p>
        </w:tc>
        <w:tc>
          <w:tcPr>
            <w:tcW w:type="dxa" w:w="2448"/>
            <w:vAlign w:val="center"/>
            <w:tcMar>
              <w:top w:w="80" w:type="dxa"/>
              <w:start w:w="90" w:type="dxa"/>
              <w:bottom w:w="80" w:type="dxa"/>
              <w:end w:w="90" w:type="dxa"/>
            </w:tcMar>
          </w:tcPr>
          <w:p>
            <w:pPr>
              <w:spacing w:after="0"/>
            </w:pPr>
            <w:r>
              <w:rPr>
                <w:rFonts w:ascii="Aptos" w:hAnsi="Aptos"/>
                <w:color w:val="1F2937"/>
                <w:sz w:val="17"/>
              </w:rPr>
              <w:t>ZDH_SNP</w:t>
            </w:r>
          </w:p>
        </w:tc>
        <w:tc>
          <w:tcPr>
            <w:tcW w:type="dxa" w:w="5040"/>
            <w:vAlign w:val="center"/>
            <w:tcMar>
              <w:top w:w="80" w:type="dxa"/>
              <w:start w:w="90" w:type="dxa"/>
              <w:bottom w:w="80" w:type="dxa"/>
              <w:end w:w="90" w:type="dxa"/>
            </w:tcMar>
          </w:tcPr>
          <w:p>
            <w:pPr>
              <w:spacing w:after="0"/>
            </w:pPr>
            <w:r>
              <w:rPr>
                <w:rFonts w:ascii="Aptos" w:hAnsi="Aptos"/>
                <w:color w:val="1F2937"/>
                <w:sz w:val="17"/>
              </w:rPr>
              <w:t>Contains the scenario locations, products, resources, production sources, and lanes</w:t>
            </w:r>
          </w:p>
        </w:tc>
      </w:tr>
      <w:tr>
        <w:trPr>
          <w:cantSplit/>
        </w:trPr>
        <w:tc>
          <w:tcPr>
            <w:tcW w:type="dxa" w:w="2304"/>
            <w:vAlign w:val="center"/>
            <w:tcMar>
              <w:top w:w="80" w:type="dxa"/>
              <w:start w:w="90" w:type="dxa"/>
              <w:bottom w:w="80" w:type="dxa"/>
              <w:end w:w="90" w:type="dxa"/>
            </w:tcMar>
          </w:tcPr>
          <w:p>
            <w:pPr>
              <w:spacing w:after="0"/>
            </w:pPr>
            <w:r>
              <w:rPr>
                <w:rFonts w:ascii="Aptos" w:hAnsi="Aptos"/>
                <w:color w:val="1F2937"/>
                <w:sz w:val="17"/>
              </w:rPr>
              <w:t>Simulation planning version</w:t>
            </w:r>
          </w:p>
        </w:tc>
        <w:tc>
          <w:tcPr>
            <w:tcW w:type="dxa" w:w="2448"/>
            <w:vAlign w:val="center"/>
            <w:tcMar>
              <w:top w:w="80" w:type="dxa"/>
              <w:start w:w="90" w:type="dxa"/>
              <w:bottom w:w="80" w:type="dxa"/>
              <w:end w:w="90" w:type="dxa"/>
            </w:tcMar>
          </w:tcPr>
          <w:p>
            <w:pPr>
              <w:spacing w:after="0"/>
            </w:pPr>
            <w:r>
              <w:rPr>
                <w:rFonts w:ascii="Aptos" w:hAnsi="Aptos"/>
                <w:color w:val="1F2937"/>
                <w:sz w:val="17"/>
              </w:rPr>
              <w:t>Z01</w:t>
            </w:r>
          </w:p>
        </w:tc>
        <w:tc>
          <w:tcPr>
            <w:tcW w:type="dxa" w:w="5040"/>
            <w:vAlign w:val="center"/>
            <w:tcMar>
              <w:top w:w="80" w:type="dxa"/>
              <w:start w:w="90" w:type="dxa"/>
              <w:bottom w:w="80" w:type="dxa"/>
              <w:end w:w="90" w:type="dxa"/>
            </w:tcMar>
          </w:tcPr>
          <w:p>
            <w:pPr>
              <w:spacing w:after="0"/>
            </w:pPr>
            <w:r>
              <w:rPr>
                <w:rFonts w:ascii="Aptos" w:hAnsi="Aptos"/>
                <w:color w:val="1F2937"/>
                <w:sz w:val="17"/>
              </w:rPr>
              <w:t>Used to test network, quota, safety-stock, and capacity assumptions without impacting the active plan</w:t>
            </w:r>
          </w:p>
        </w:tc>
      </w:tr>
      <w:tr>
        <w:trPr>
          <w:cantSplit/>
        </w:trPr>
        <w:tc>
          <w:tcPr>
            <w:tcW w:type="dxa" w:w="2304"/>
            <w:vAlign w:val="center"/>
            <w:tcMar>
              <w:top w:w="80" w:type="dxa"/>
              <w:start w:w="90" w:type="dxa"/>
              <w:bottom w:w="80" w:type="dxa"/>
              <w:end w:w="90" w:type="dxa"/>
            </w:tcMar>
          </w:tcPr>
          <w:p>
            <w:pPr>
              <w:spacing w:after="0"/>
            </w:pPr>
            <w:r>
              <w:rPr>
                <w:rFonts w:ascii="Aptos" w:hAnsi="Aptos"/>
                <w:color w:val="1F2937"/>
                <w:sz w:val="17"/>
              </w:rPr>
              <w:t>Active version</w:t>
            </w:r>
          </w:p>
        </w:tc>
        <w:tc>
          <w:tcPr>
            <w:tcW w:type="dxa" w:w="2448"/>
            <w:vAlign w:val="center"/>
            <w:tcMar>
              <w:top w:w="80" w:type="dxa"/>
              <w:start w:w="90" w:type="dxa"/>
              <w:bottom w:w="80" w:type="dxa"/>
              <w:end w:w="90" w:type="dxa"/>
            </w:tcMar>
          </w:tcPr>
          <w:p>
            <w:pPr>
              <w:spacing w:after="0"/>
            </w:pPr>
            <w:r>
              <w:rPr>
                <w:rFonts w:ascii="Aptos" w:hAnsi="Aptos"/>
                <w:color w:val="1F2937"/>
                <w:sz w:val="17"/>
              </w:rPr>
              <w:t>000 after approval</w:t>
            </w:r>
          </w:p>
        </w:tc>
        <w:tc>
          <w:tcPr>
            <w:tcW w:type="dxa" w:w="5040"/>
            <w:vAlign w:val="center"/>
            <w:tcMar>
              <w:top w:w="80" w:type="dxa"/>
              <w:start w:w="90" w:type="dxa"/>
              <w:bottom w:w="80" w:type="dxa"/>
              <w:end w:w="90" w:type="dxa"/>
            </w:tcMar>
          </w:tcPr>
          <w:p>
            <w:pPr>
              <w:spacing w:after="0"/>
            </w:pPr>
            <w:r>
              <w:rPr>
                <w:rFonts w:ascii="Aptos" w:hAnsi="Aptos"/>
                <w:color w:val="1F2937"/>
                <w:sz w:val="17"/>
              </w:rPr>
              <w:t>Only approved design changes are promoted to the productive planning setup</w:t>
            </w:r>
          </w:p>
        </w:tc>
      </w:tr>
      <w:tr>
        <w:trPr>
          <w:cantSplit/>
        </w:trPr>
        <w:tc>
          <w:tcPr>
            <w:tcW w:type="dxa" w:w="2304"/>
            <w:vAlign w:val="center"/>
            <w:tcMar>
              <w:top w:w="80" w:type="dxa"/>
              <w:start w:w="90" w:type="dxa"/>
              <w:bottom w:w="80" w:type="dxa"/>
              <w:end w:w="90" w:type="dxa"/>
            </w:tcMar>
          </w:tcPr>
          <w:p>
            <w:pPr>
              <w:spacing w:after="0"/>
            </w:pPr>
            <w:r>
              <w:rPr>
                <w:rFonts w:ascii="Aptos" w:hAnsi="Aptos"/>
                <w:color w:val="1F2937"/>
                <w:sz w:val="17"/>
              </w:rPr>
              <w:t>Consistency check</w:t>
            </w:r>
          </w:p>
        </w:tc>
        <w:tc>
          <w:tcPr>
            <w:tcW w:type="dxa" w:w="2448"/>
            <w:vAlign w:val="center"/>
            <w:tcMar>
              <w:top w:w="80" w:type="dxa"/>
              <w:start w:w="90" w:type="dxa"/>
              <w:bottom w:w="80" w:type="dxa"/>
              <w:end w:w="90" w:type="dxa"/>
            </w:tcMar>
          </w:tcPr>
          <w:p>
            <w:pPr>
              <w:spacing w:after="0"/>
            </w:pPr>
            <w:r>
              <w:rPr>
                <w:rFonts w:ascii="Aptos" w:hAnsi="Aptos"/>
                <w:color w:val="1F2937"/>
                <w:sz w:val="17"/>
              </w:rPr>
              <w:t>Run after master-data changes</w:t>
            </w:r>
          </w:p>
        </w:tc>
        <w:tc>
          <w:tcPr>
            <w:tcW w:type="dxa" w:w="5040"/>
            <w:vAlign w:val="center"/>
            <w:tcMar>
              <w:top w:w="80" w:type="dxa"/>
              <w:start w:w="90" w:type="dxa"/>
              <w:bottom w:w="80" w:type="dxa"/>
              <w:end w:w="90" w:type="dxa"/>
            </w:tcMar>
          </w:tcPr>
          <w:p>
            <w:pPr>
              <w:spacing w:after="0"/>
            </w:pPr>
            <w:r>
              <w:rPr>
                <w:rFonts w:ascii="Aptos" w:hAnsi="Aptos"/>
                <w:color w:val="1F2937"/>
                <w:sz w:val="17"/>
              </w:rPr>
              <w:t>Detects missing or contradictory assignments before planning</w:t>
            </w:r>
          </w:p>
        </w:tc>
      </w:tr>
    </w:tbl>
    <w:p>
      <w:pPr>
        <w:spacing w:after="20"/>
      </w:pPr>
    </w:p>
    <w:p>
      <w:pPr>
        <w:pStyle w:val="Heading2"/>
        <w:keepNext/>
        <w:keepLines/>
      </w:pPr>
      <w:r>
        <w:rPr>
          <w:rFonts w:ascii="Aptos" w:hAnsi="Aptos"/>
          <w:b/>
          <w:color w:val="365F91"/>
          <w:sz w:val="24"/>
        </w:rPr>
        <w:t>4.7 Planning area, planning book, and time buckets</w:t>
      </w:r>
    </w:p>
    <w:p>
      <w:pPr>
        <w:spacing w:after="120" w:line="259" w:lineRule="auto"/>
      </w:pPr>
      <w:r>
        <w:rPr>
          <w:rFonts w:ascii="Aptos" w:hAnsi="Aptos"/>
          <w:color w:val="1F2937"/>
          <w:sz w:val="20"/>
        </w:rPr>
        <w:t>For this exercise, I reference the standard SNP planning environment rather than assuming that a full custom planning area was built from scratch. SAP documentation includes standard SNP planning books such as 9ASNP94. I selected a 26-week horizon with daily buckets for the first 28 days and weekly buckets after that so the near term stays detailed without making the medium-term plan unnecessarily heavy.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65F91"/>
            <w:vAlign w:val="center"/>
            <w:tcMar>
              <w:top w:w="80" w:type="dxa"/>
              <w:start w:w="90" w:type="dxa"/>
              <w:bottom w:w="80" w:type="dxa"/>
              <w:end w:w="90" w:type="dxa"/>
            </w:tcMar>
          </w:tcPr>
          <w:p>
            <w:pPr>
              <w:jc w:val="center"/>
            </w:pPr>
            <w:r>
              <w:rPr>
                <w:rFonts w:ascii="Aptos" w:hAnsi="Aptos"/>
                <w:b/>
                <w:color w:val="FFFFFF"/>
                <w:sz w:val="17"/>
              </w:rPr>
              <w:t>Planning element</w:t>
            </w:r>
          </w:p>
        </w:tc>
        <w:tc>
          <w:tcPr>
            <w:tcW w:type="dxa" w:w="3384"/>
            <w:shd w:fill="365F91"/>
            <w:vAlign w:val="center"/>
            <w:tcMar>
              <w:top w:w="80" w:type="dxa"/>
              <w:start w:w="90" w:type="dxa"/>
              <w:bottom w:w="80" w:type="dxa"/>
              <w:end w:w="90" w:type="dxa"/>
            </w:tcMar>
          </w:tcPr>
          <w:p>
            <w:pPr>
              <w:jc w:val="center"/>
            </w:pPr>
            <w:r>
              <w:rPr>
                <w:rFonts w:ascii="Aptos" w:hAnsi="Aptos"/>
                <w:b/>
                <w:color w:val="FFFFFF"/>
                <w:sz w:val="17"/>
              </w:rPr>
              <w:t>Proposed setup</w:t>
            </w:r>
          </w:p>
        </w:tc>
        <w:tc>
          <w:tcPr>
            <w:tcW w:type="dxa" w:w="4320"/>
            <w:shd w:fill="365F91"/>
            <w:vAlign w:val="center"/>
            <w:tcMar>
              <w:top w:w="80" w:type="dxa"/>
              <w:start w:w="90" w:type="dxa"/>
              <w:bottom w:w="80" w:type="dxa"/>
              <w:end w:w="90" w:type="dxa"/>
            </w:tcMar>
          </w:tcPr>
          <w:p>
            <w:pPr>
              <w:jc w:val="center"/>
            </w:pPr>
            <w:r>
              <w:rPr>
                <w:rFonts w:ascii="Aptos" w:hAnsi="Aptos"/>
                <w:b/>
                <w:color w:val="FFFFFF"/>
                <w:sz w:val="17"/>
              </w:rPr>
              <w:t>Reason</w:t>
            </w:r>
          </w:p>
        </w:tc>
      </w:tr>
      <w:tr>
        <w:trPr>
          <w:cantSplit/>
        </w:trPr>
        <w:tc>
          <w:tcPr>
            <w:tcW w:type="dxa" w:w="2088"/>
            <w:vAlign w:val="center"/>
            <w:tcMar>
              <w:top w:w="80" w:type="dxa"/>
              <w:start w:w="90" w:type="dxa"/>
              <w:bottom w:w="80" w:type="dxa"/>
              <w:end w:w="90" w:type="dxa"/>
            </w:tcMar>
          </w:tcPr>
          <w:p>
            <w:pPr>
              <w:spacing w:after="0"/>
            </w:pPr>
            <w:r>
              <w:rPr>
                <w:rFonts w:ascii="Aptos" w:hAnsi="Aptos"/>
                <w:color w:val="1F2937"/>
                <w:sz w:val="17"/>
              </w:rPr>
              <w:t>Planning book</w:t>
            </w:r>
          </w:p>
        </w:tc>
        <w:tc>
          <w:tcPr>
            <w:tcW w:type="dxa" w:w="3384"/>
            <w:vAlign w:val="center"/>
            <w:tcMar>
              <w:top w:w="80" w:type="dxa"/>
              <w:start w:w="90" w:type="dxa"/>
              <w:bottom w:w="80" w:type="dxa"/>
              <w:end w:w="90" w:type="dxa"/>
            </w:tcMar>
          </w:tcPr>
          <w:p>
            <w:pPr>
              <w:spacing w:after="0"/>
            </w:pPr>
            <w:r>
              <w:rPr>
                <w:rFonts w:ascii="Aptos" w:hAnsi="Aptos"/>
                <w:color w:val="1F2937"/>
                <w:sz w:val="17"/>
              </w:rPr>
              <w:t>9ASNP94 or customer copy ZDH_SNP94</w:t>
            </w:r>
          </w:p>
        </w:tc>
        <w:tc>
          <w:tcPr>
            <w:tcW w:type="dxa" w:w="4320"/>
            <w:vAlign w:val="center"/>
            <w:tcMar>
              <w:top w:w="80" w:type="dxa"/>
              <w:start w:w="90" w:type="dxa"/>
              <w:bottom w:w="80" w:type="dxa"/>
              <w:end w:w="90" w:type="dxa"/>
            </w:tcMar>
          </w:tcPr>
          <w:p>
            <w:pPr>
              <w:spacing w:after="0"/>
            </w:pPr>
            <w:r>
              <w:rPr>
                <w:rFonts w:ascii="Aptos" w:hAnsi="Aptos"/>
                <w:color w:val="1F2937"/>
                <w:sz w:val="17"/>
              </w:rPr>
              <w:t>Uses standard SNP concepts while allowing customer-specific key figures/views</w:t>
            </w:r>
          </w:p>
        </w:tc>
      </w:tr>
      <w:tr>
        <w:trPr>
          <w:cantSplit/>
        </w:trPr>
        <w:tc>
          <w:tcPr>
            <w:tcW w:type="dxa" w:w="2088"/>
            <w:vAlign w:val="center"/>
            <w:tcMar>
              <w:top w:w="80" w:type="dxa"/>
              <w:start w:w="90" w:type="dxa"/>
              <w:bottom w:w="80" w:type="dxa"/>
              <w:end w:w="90" w:type="dxa"/>
            </w:tcMar>
          </w:tcPr>
          <w:p>
            <w:pPr>
              <w:spacing w:after="0"/>
            </w:pPr>
            <w:r>
              <w:rPr>
                <w:rFonts w:ascii="Aptos" w:hAnsi="Aptos"/>
                <w:color w:val="1F2937"/>
                <w:sz w:val="17"/>
              </w:rPr>
              <w:t>Planning horizon</w:t>
            </w:r>
          </w:p>
        </w:tc>
        <w:tc>
          <w:tcPr>
            <w:tcW w:type="dxa" w:w="3384"/>
            <w:vAlign w:val="center"/>
            <w:tcMar>
              <w:top w:w="80" w:type="dxa"/>
              <w:start w:w="90" w:type="dxa"/>
              <w:bottom w:w="80" w:type="dxa"/>
              <w:end w:w="90" w:type="dxa"/>
            </w:tcMar>
          </w:tcPr>
          <w:p>
            <w:pPr>
              <w:spacing w:after="0"/>
            </w:pPr>
            <w:r>
              <w:rPr>
                <w:rFonts w:ascii="Aptos" w:hAnsi="Aptos"/>
                <w:color w:val="1F2937"/>
                <w:sz w:val="17"/>
              </w:rPr>
              <w:t>26 weeks</w:t>
            </w:r>
          </w:p>
        </w:tc>
        <w:tc>
          <w:tcPr>
            <w:tcW w:type="dxa" w:w="4320"/>
            <w:vAlign w:val="center"/>
            <w:tcMar>
              <w:top w:w="80" w:type="dxa"/>
              <w:start w:w="90" w:type="dxa"/>
              <w:bottom w:w="80" w:type="dxa"/>
              <w:end w:w="90" w:type="dxa"/>
            </w:tcMar>
          </w:tcPr>
          <w:p>
            <w:pPr>
              <w:spacing w:after="0"/>
            </w:pPr>
            <w:r>
              <w:rPr>
                <w:rFonts w:ascii="Aptos" w:hAnsi="Aptos"/>
                <w:color w:val="1F2937"/>
                <w:sz w:val="17"/>
              </w:rPr>
              <w:t>Appropriate tactical horizon for purchasing, production, inventory, and distribution</w:t>
            </w:r>
          </w:p>
        </w:tc>
      </w:tr>
      <w:tr>
        <w:trPr>
          <w:cantSplit/>
        </w:trPr>
        <w:tc>
          <w:tcPr>
            <w:tcW w:type="dxa" w:w="2088"/>
            <w:vAlign w:val="center"/>
            <w:tcMar>
              <w:top w:w="80" w:type="dxa"/>
              <w:start w:w="90" w:type="dxa"/>
              <w:bottom w:w="80" w:type="dxa"/>
              <w:end w:w="90" w:type="dxa"/>
            </w:tcMar>
          </w:tcPr>
          <w:p>
            <w:pPr>
              <w:spacing w:after="0"/>
            </w:pPr>
            <w:r>
              <w:rPr>
                <w:rFonts w:ascii="Aptos" w:hAnsi="Aptos"/>
                <w:color w:val="1F2937"/>
                <w:sz w:val="17"/>
              </w:rPr>
              <w:t>Bucket profile</w:t>
            </w:r>
          </w:p>
        </w:tc>
        <w:tc>
          <w:tcPr>
            <w:tcW w:type="dxa" w:w="3384"/>
            <w:vAlign w:val="center"/>
            <w:tcMar>
              <w:top w:w="80" w:type="dxa"/>
              <w:start w:w="90" w:type="dxa"/>
              <w:bottom w:w="80" w:type="dxa"/>
              <w:end w:w="90" w:type="dxa"/>
            </w:tcMar>
          </w:tcPr>
          <w:p>
            <w:pPr>
              <w:spacing w:after="0"/>
            </w:pPr>
            <w:r>
              <w:rPr>
                <w:rFonts w:ascii="Aptos" w:hAnsi="Aptos"/>
                <w:color w:val="1F2937"/>
                <w:sz w:val="17"/>
              </w:rPr>
              <w:t>Daily 4 weeks + weekly 22 weeks</w:t>
            </w:r>
          </w:p>
        </w:tc>
        <w:tc>
          <w:tcPr>
            <w:tcW w:type="dxa" w:w="4320"/>
            <w:vAlign w:val="center"/>
            <w:tcMar>
              <w:top w:w="80" w:type="dxa"/>
              <w:start w:w="90" w:type="dxa"/>
              <w:bottom w:w="80" w:type="dxa"/>
              <w:end w:w="90" w:type="dxa"/>
            </w:tcMar>
          </w:tcPr>
          <w:p>
            <w:pPr>
              <w:spacing w:after="0"/>
            </w:pPr>
            <w:r>
              <w:rPr>
                <w:rFonts w:ascii="Aptos" w:hAnsi="Aptos"/>
                <w:color w:val="1F2937"/>
                <w:sz w:val="17"/>
              </w:rPr>
              <w:t>Higher near-term precision; lower long-term data volume</w:t>
            </w:r>
          </w:p>
        </w:tc>
      </w:tr>
      <w:tr>
        <w:trPr>
          <w:cantSplit/>
        </w:trPr>
        <w:tc>
          <w:tcPr>
            <w:tcW w:type="dxa" w:w="2088"/>
            <w:vAlign w:val="center"/>
            <w:tcMar>
              <w:top w:w="80" w:type="dxa"/>
              <w:start w:w="90" w:type="dxa"/>
              <w:bottom w:w="80" w:type="dxa"/>
              <w:end w:w="90" w:type="dxa"/>
            </w:tcMar>
          </w:tcPr>
          <w:p>
            <w:pPr>
              <w:spacing w:after="0"/>
            </w:pPr>
            <w:r>
              <w:rPr>
                <w:rFonts w:ascii="Aptos" w:hAnsi="Aptos"/>
                <w:color w:val="1F2937"/>
                <w:sz w:val="17"/>
              </w:rPr>
              <w:t>Key figures to review</w:t>
            </w:r>
          </w:p>
        </w:tc>
        <w:tc>
          <w:tcPr>
            <w:tcW w:type="dxa" w:w="3384"/>
            <w:vAlign w:val="center"/>
            <w:tcMar>
              <w:top w:w="80" w:type="dxa"/>
              <w:start w:w="90" w:type="dxa"/>
              <w:bottom w:w="80" w:type="dxa"/>
              <w:end w:w="90" w:type="dxa"/>
            </w:tcMar>
          </w:tcPr>
          <w:p>
            <w:pPr>
              <w:spacing w:after="0"/>
            </w:pPr>
            <w:r>
              <w:rPr>
                <w:rFonts w:ascii="Aptos" w:hAnsi="Aptos"/>
                <w:color w:val="1F2937"/>
                <w:sz w:val="17"/>
              </w:rPr>
              <w:t>Demand, stock, planned production, stock transfers, receipts, safety stock, capacity utilization, cost/penalty outputs</w:t>
            </w:r>
          </w:p>
        </w:tc>
        <w:tc>
          <w:tcPr>
            <w:tcW w:type="dxa" w:w="4320"/>
            <w:vAlign w:val="center"/>
            <w:tcMar>
              <w:top w:w="80" w:type="dxa"/>
              <w:start w:w="90" w:type="dxa"/>
              <w:bottom w:w="80" w:type="dxa"/>
              <w:end w:w="90" w:type="dxa"/>
            </w:tcMar>
          </w:tcPr>
          <w:p>
            <w:pPr>
              <w:spacing w:after="0"/>
            </w:pPr>
            <w:r>
              <w:rPr>
                <w:rFonts w:ascii="Aptos" w:hAnsi="Aptos"/>
                <w:color w:val="1F2937"/>
                <w:sz w:val="17"/>
              </w:rPr>
              <w:t>Creates a balanced service-cost-capacity view</w:t>
            </w:r>
          </w:p>
        </w:tc>
      </w:tr>
    </w:tbl>
    <w:p>
      <w:pPr>
        <w:spacing w:after="20"/>
      </w:pPr>
    </w:p>
    <w:p>
      <w:pPr>
        <w:pStyle w:val="Heading1"/>
        <w:keepNext/>
        <w:keepLines/>
      </w:pPr>
      <w:r>
        <w:rPr>
          <w:rFonts w:ascii="Aptos" w:hAnsi="Aptos"/>
          <w:b/>
          <w:color w:val="365F91"/>
          <w:sz w:val="30"/>
        </w:rPr>
        <w:t>5. Planning Methodology and Execution</w:t>
      </w:r>
    </w:p>
    <w:p>
      <w:pPr>
        <w:pStyle w:val="Heading2"/>
        <w:keepNext/>
        <w:keepLines/>
      </w:pPr>
      <w:r>
        <w:rPr>
          <w:rFonts w:ascii="Aptos" w:hAnsi="Aptos"/>
          <w:b/>
          <w:color w:val="365F91"/>
          <w:sz w:val="24"/>
        </w:rPr>
        <w:t>5.1 Planning cycle</w:t>
      </w:r>
    </w:p>
    <w:p>
      <w:pPr>
        <w:jc w:val="center"/>
      </w:pPr>
      <w:r>
        <w:drawing>
          <wp:inline xmlns:a="http://schemas.openxmlformats.org/drawingml/2006/main" xmlns:pic="http://schemas.openxmlformats.org/drawingml/2006/picture">
            <wp:extent cx="6263640" cy="2584130"/>
            <wp:docPr id="2" name="Picture 2"/>
            <wp:cNvGraphicFramePr>
              <a:graphicFrameLocks noChangeAspect="1"/>
            </wp:cNvGraphicFramePr>
            <a:graphic>
              <a:graphicData uri="http://schemas.openxmlformats.org/drawingml/2006/picture">
                <pic:pic>
                  <pic:nvPicPr>
                    <pic:cNvPr id="0" name="sap_scm_planning_flow.png"/>
                    <pic:cNvPicPr/>
                  </pic:nvPicPr>
                  <pic:blipFill>
                    <a:blip r:embed="rId12"/>
                    <a:stretch>
                      <a:fillRect/>
                    </a:stretch>
                  </pic:blipFill>
                  <pic:spPr>
                    <a:xfrm>
                      <a:off x="0" y="0"/>
                      <a:ext cx="6263640" cy="2584130"/>
                    </a:xfrm>
                    <a:prstGeom prst="rect"/>
                  </pic:spPr>
                </pic:pic>
              </a:graphicData>
            </a:graphic>
          </wp:inline>
        </w:drawing>
      </w:r>
    </w:p>
    <w:p>
      <w:pPr>
        <w:jc w:val="center"/>
      </w:pPr>
      <w:r>
        <w:rPr>
          <w:rFonts w:ascii="Aptos" w:hAnsi="Aptos"/>
          <w:i/>
          <w:color w:val="666666"/>
          <w:sz w:val="18"/>
        </w:rPr>
        <w:t>Figure 2. Proposed SNP planning and execution cycle.</w:t>
      </w:r>
    </w:p>
    <w:p>
      <w:pPr>
        <w:pStyle w:val="Heading2"/>
        <w:keepNext/>
        <w:keepLines/>
      </w:pPr>
      <w:r>
        <w:rPr>
          <w:rFonts w:ascii="Aptos" w:hAnsi="Aptos"/>
          <w:b/>
          <w:color w:val="365F91"/>
          <w:sz w:val="24"/>
        </w:rPr>
        <w:t>5.2 Step 1 - Load/release demand and initial stock</w:t>
      </w:r>
    </w:p>
    <w:p>
      <w:pPr>
        <w:spacing w:after="120" w:line="259" w:lineRule="auto"/>
      </w:pPr>
      <w:r>
        <w:rPr>
          <w:rFonts w:ascii="Aptos" w:hAnsi="Aptos"/>
          <w:color w:val="1F2937"/>
          <w:sz w:val="20"/>
        </w:rPr>
        <w:t>In the simulation, the planning cycle starts with forecast demand by market and the available stock position. I use 145 t as the normal weekly network demand and compare DC stock against the proposed safety-stock levels. The purpose is to calculate the net replenishment need before adding production or stock-transfer proposals.</w:t>
      </w:r>
    </w:p>
    <w:p>
      <w:pPr>
        <w:pStyle w:val="Heading2"/>
        <w:keepNext/>
        <w:keepLines/>
      </w:pPr>
      <w:r>
        <w:rPr>
          <w:rFonts w:ascii="Aptos" w:hAnsi="Aptos"/>
          <w:b/>
          <w:color w:val="365F91"/>
          <w:sz w:val="24"/>
        </w:rPr>
        <w:t>5.3 Step 2 - Heuristic baseline</w:t>
      </w:r>
    </w:p>
    <w:p>
      <w:pPr>
        <w:spacing w:after="120" w:line="259" w:lineRule="auto"/>
      </w:pPr>
      <w:r>
        <w:rPr>
          <w:rFonts w:ascii="Aptos" w:hAnsi="Aptos"/>
          <w:color w:val="1F2937"/>
          <w:sz w:val="20"/>
        </w:rPr>
        <w:t>I would use the SNP heuristic first because it gives a quick baseline that is easier to understand and troubleshoot. After the run, I would check whether purchase, production, and stock-transfer proposals follow the intended sources, capacities, and lead times. If demand remains uncovered or stock builds in an unexpected location, I would first check the master data before assuming that the optimizer is required.</w:t>
      </w:r>
    </w:p>
    <w:p>
      <w:pPr>
        <w:pStyle w:val="Heading2"/>
        <w:keepNext/>
        <w:keepLines/>
      </w:pPr>
      <w:r>
        <w:rPr>
          <w:rFonts w:ascii="Aptos" w:hAnsi="Aptos"/>
          <w:b/>
          <w:color w:val="365F91"/>
          <w:sz w:val="24"/>
        </w:rPr>
        <w:t>5.4 Step 3 - Constrained optimization scenario</w:t>
      </w:r>
    </w:p>
    <w:p>
      <w:pPr>
        <w:spacing w:after="120" w:line="259" w:lineRule="auto"/>
      </w:pPr>
      <w:r>
        <w:rPr>
          <w:rFonts w:ascii="Aptos" w:hAnsi="Aptos"/>
          <w:color w:val="1F2937"/>
          <w:sz w:val="20"/>
        </w:rPr>
        <w:t>I would move to an optimizer scenario only when the network has competing choices that the heuristic cannot evaluate economically, for example two sources with different costs, a capacity shortage, or an expensive expedite option. In this scenario, the optimizer inputs are illustrative cost weights for sourcing, transport, inventory, delay, and safety-stock shortfall. The service penalty is intentionally higher than small transport-cost differences so the model does not save a little freight at the cost of a serious customer-service failure.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168"/>
            <w:shd w:fill="365F91"/>
            <w:vAlign w:val="center"/>
            <w:tcMar>
              <w:top w:w="80" w:type="dxa"/>
              <w:start w:w="90" w:type="dxa"/>
              <w:bottom w:w="80" w:type="dxa"/>
              <w:end w:w="90" w:type="dxa"/>
            </w:tcMar>
          </w:tcPr>
          <w:p>
            <w:pPr>
              <w:jc w:val="center"/>
            </w:pPr>
            <w:r>
              <w:rPr>
                <w:rFonts w:ascii="Aptos" w:hAnsi="Aptos"/>
                <w:b/>
                <w:color w:val="FFFFFF"/>
                <w:sz w:val="17"/>
              </w:rPr>
              <w:t>Cost / penalty component</w:t>
            </w:r>
          </w:p>
        </w:tc>
        <w:tc>
          <w:tcPr>
            <w:tcW w:type="dxa" w:w="2160"/>
            <w:shd w:fill="365F91"/>
            <w:vAlign w:val="center"/>
            <w:tcMar>
              <w:top w:w="80" w:type="dxa"/>
              <w:start w:w="90" w:type="dxa"/>
              <w:bottom w:w="80" w:type="dxa"/>
              <w:end w:w="90" w:type="dxa"/>
            </w:tcMar>
          </w:tcPr>
          <w:p>
            <w:pPr>
              <w:jc w:val="center"/>
            </w:pPr>
            <w:r>
              <w:rPr>
                <w:rFonts w:ascii="Aptos" w:hAnsi="Aptos"/>
                <w:b/>
                <w:color w:val="FFFFFF"/>
                <w:sz w:val="17"/>
              </w:rPr>
              <w:t>Relative weight in simulation</w:t>
            </w:r>
          </w:p>
        </w:tc>
        <w:tc>
          <w:tcPr>
            <w:tcW w:type="dxa" w:w="4032"/>
            <w:shd w:fill="365F91"/>
            <w:vAlign w:val="center"/>
            <w:tcMar>
              <w:top w:w="80" w:type="dxa"/>
              <w:start w:w="90" w:type="dxa"/>
              <w:bottom w:w="80" w:type="dxa"/>
              <w:end w:w="90" w:type="dxa"/>
            </w:tcMar>
          </w:tcPr>
          <w:p>
            <w:pPr>
              <w:jc w:val="center"/>
            </w:pPr>
            <w:r>
              <w:rPr>
                <w:rFonts w:ascii="Aptos" w:hAnsi="Aptos"/>
                <w:b/>
                <w:color w:val="FFFFFF"/>
                <w:sz w:val="17"/>
              </w:rPr>
              <w:t>Planning intent</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Production cost at Medchal</w:t>
            </w:r>
          </w:p>
        </w:tc>
        <w:tc>
          <w:tcPr>
            <w:tcW w:type="dxa" w:w="2160"/>
            <w:vAlign w:val="center"/>
            <w:tcMar>
              <w:top w:w="80" w:type="dxa"/>
              <w:start w:w="90" w:type="dxa"/>
              <w:bottom w:w="80" w:type="dxa"/>
              <w:end w:w="90" w:type="dxa"/>
            </w:tcMar>
          </w:tcPr>
          <w:p>
            <w:pPr>
              <w:spacing w:after="0"/>
            </w:pPr>
            <w:r>
              <w:rPr>
                <w:rFonts w:ascii="Aptos" w:hAnsi="Aptos"/>
                <w:color w:val="1F2937"/>
                <w:sz w:val="17"/>
              </w:rPr>
              <w:t>1.00 baseline</w:t>
            </w:r>
          </w:p>
        </w:tc>
        <w:tc>
          <w:tcPr>
            <w:tcW w:type="dxa" w:w="4032"/>
            <w:vAlign w:val="center"/>
            <w:tcMar>
              <w:top w:w="80" w:type="dxa"/>
              <w:start w:w="90" w:type="dxa"/>
              <w:bottom w:w="80" w:type="dxa"/>
              <w:end w:w="90" w:type="dxa"/>
            </w:tcMar>
          </w:tcPr>
          <w:p>
            <w:pPr>
              <w:spacing w:after="0"/>
            </w:pPr>
            <w:r>
              <w:rPr>
                <w:rFonts w:ascii="Aptos" w:hAnsi="Aptos"/>
                <w:color w:val="1F2937"/>
                <w:sz w:val="17"/>
              </w:rPr>
              <w:t>Reference production economics</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Nizamabad inbound transport</w:t>
            </w:r>
          </w:p>
        </w:tc>
        <w:tc>
          <w:tcPr>
            <w:tcW w:type="dxa" w:w="2160"/>
            <w:vAlign w:val="center"/>
            <w:tcMar>
              <w:top w:w="80" w:type="dxa"/>
              <w:start w:w="90" w:type="dxa"/>
              <w:bottom w:w="80" w:type="dxa"/>
              <w:end w:w="90" w:type="dxa"/>
            </w:tcMar>
          </w:tcPr>
          <w:p>
            <w:pPr>
              <w:spacing w:after="0"/>
            </w:pPr>
            <w:r>
              <w:rPr>
                <w:rFonts w:ascii="Aptos" w:hAnsi="Aptos"/>
                <w:color w:val="1F2937"/>
                <w:sz w:val="17"/>
              </w:rPr>
              <w:t>1.00</w:t>
            </w:r>
          </w:p>
        </w:tc>
        <w:tc>
          <w:tcPr>
            <w:tcW w:type="dxa" w:w="4032"/>
            <w:vAlign w:val="center"/>
            <w:tcMar>
              <w:top w:w="80" w:type="dxa"/>
              <w:start w:w="90" w:type="dxa"/>
              <w:bottom w:w="80" w:type="dxa"/>
              <w:end w:w="90" w:type="dxa"/>
            </w:tcMar>
          </w:tcPr>
          <w:p>
            <w:pPr>
              <w:spacing w:after="0"/>
            </w:pPr>
            <w:r>
              <w:rPr>
                <w:rFonts w:ascii="Aptos" w:hAnsi="Aptos"/>
                <w:color w:val="1F2937"/>
                <w:sz w:val="17"/>
              </w:rPr>
              <w:t>Prefer normal low-cost source</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Nagpur inbound transport</w:t>
            </w:r>
          </w:p>
        </w:tc>
        <w:tc>
          <w:tcPr>
            <w:tcW w:type="dxa" w:w="2160"/>
            <w:vAlign w:val="center"/>
            <w:tcMar>
              <w:top w:w="80" w:type="dxa"/>
              <w:start w:w="90" w:type="dxa"/>
              <w:bottom w:w="80" w:type="dxa"/>
              <w:end w:w="90" w:type="dxa"/>
            </w:tcMar>
          </w:tcPr>
          <w:p>
            <w:pPr>
              <w:spacing w:after="0"/>
            </w:pPr>
            <w:r>
              <w:rPr>
                <w:rFonts w:ascii="Aptos" w:hAnsi="Aptos"/>
                <w:color w:val="1F2937"/>
                <w:sz w:val="17"/>
              </w:rPr>
              <w:t>1.35</w:t>
            </w:r>
          </w:p>
        </w:tc>
        <w:tc>
          <w:tcPr>
            <w:tcW w:type="dxa" w:w="4032"/>
            <w:vAlign w:val="center"/>
            <w:tcMar>
              <w:top w:w="80" w:type="dxa"/>
              <w:start w:w="90" w:type="dxa"/>
              <w:bottom w:w="80" w:type="dxa"/>
              <w:end w:w="90" w:type="dxa"/>
            </w:tcMar>
          </w:tcPr>
          <w:p>
            <w:pPr>
              <w:spacing w:after="0"/>
            </w:pPr>
            <w:r>
              <w:rPr>
                <w:rFonts w:ascii="Aptos" w:hAnsi="Aptos"/>
                <w:color w:val="1F2937"/>
                <w:sz w:val="17"/>
              </w:rPr>
              <w:t>Use alternate source when quota/capacity/service justifies it</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Inventory holding cost</w:t>
            </w:r>
          </w:p>
        </w:tc>
        <w:tc>
          <w:tcPr>
            <w:tcW w:type="dxa" w:w="2160"/>
            <w:vAlign w:val="center"/>
            <w:tcMar>
              <w:top w:w="80" w:type="dxa"/>
              <w:start w:w="90" w:type="dxa"/>
              <w:bottom w:w="80" w:type="dxa"/>
              <w:end w:w="90" w:type="dxa"/>
            </w:tcMar>
          </w:tcPr>
          <w:p>
            <w:pPr>
              <w:spacing w:after="0"/>
            </w:pPr>
            <w:r>
              <w:rPr>
                <w:rFonts w:ascii="Aptos" w:hAnsi="Aptos"/>
                <w:color w:val="1F2937"/>
                <w:sz w:val="17"/>
              </w:rPr>
              <w:t>Moderate</w:t>
            </w:r>
          </w:p>
        </w:tc>
        <w:tc>
          <w:tcPr>
            <w:tcW w:type="dxa" w:w="4032"/>
            <w:vAlign w:val="center"/>
            <w:tcMar>
              <w:top w:w="80" w:type="dxa"/>
              <w:start w:w="90" w:type="dxa"/>
              <w:bottom w:w="80" w:type="dxa"/>
              <w:end w:w="90" w:type="dxa"/>
            </w:tcMar>
          </w:tcPr>
          <w:p>
            <w:pPr>
              <w:spacing w:after="0"/>
            </w:pPr>
            <w:r>
              <w:rPr>
                <w:rFonts w:ascii="Aptos" w:hAnsi="Aptos"/>
                <w:color w:val="1F2937"/>
                <w:sz w:val="17"/>
              </w:rPr>
              <w:t>Avoid unnecessary stock build</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Safety stock shortfall penalty</w:t>
            </w:r>
          </w:p>
        </w:tc>
        <w:tc>
          <w:tcPr>
            <w:tcW w:type="dxa" w:w="2160"/>
            <w:vAlign w:val="center"/>
            <w:tcMar>
              <w:top w:w="80" w:type="dxa"/>
              <w:start w:w="90" w:type="dxa"/>
              <w:bottom w:w="80" w:type="dxa"/>
              <w:end w:w="90" w:type="dxa"/>
            </w:tcMar>
          </w:tcPr>
          <w:p>
            <w:pPr>
              <w:spacing w:after="0"/>
            </w:pPr>
            <w:r>
              <w:rPr>
                <w:rFonts w:ascii="Aptos" w:hAnsi="Aptos"/>
                <w:color w:val="1F2937"/>
                <w:sz w:val="17"/>
              </w:rPr>
              <w:t>High</w:t>
            </w:r>
          </w:p>
        </w:tc>
        <w:tc>
          <w:tcPr>
            <w:tcW w:type="dxa" w:w="4032"/>
            <w:vAlign w:val="center"/>
            <w:tcMar>
              <w:top w:w="80" w:type="dxa"/>
              <w:start w:w="90" w:type="dxa"/>
              <w:bottom w:w="80" w:type="dxa"/>
              <w:end w:w="90" w:type="dxa"/>
            </w:tcMar>
          </w:tcPr>
          <w:p>
            <w:pPr>
              <w:spacing w:after="0"/>
            </w:pPr>
            <w:r>
              <w:rPr>
                <w:rFonts w:ascii="Aptos" w:hAnsi="Aptos"/>
                <w:color w:val="1F2937"/>
                <w:sz w:val="17"/>
              </w:rPr>
              <w:t>Protect service buffer</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Late/unfulfilled demand penalty</w:t>
            </w:r>
          </w:p>
        </w:tc>
        <w:tc>
          <w:tcPr>
            <w:tcW w:type="dxa" w:w="2160"/>
            <w:vAlign w:val="center"/>
            <w:tcMar>
              <w:top w:w="80" w:type="dxa"/>
              <w:start w:w="90" w:type="dxa"/>
              <w:bottom w:w="80" w:type="dxa"/>
              <w:end w:w="90" w:type="dxa"/>
            </w:tcMar>
          </w:tcPr>
          <w:p>
            <w:pPr>
              <w:spacing w:after="0"/>
            </w:pPr>
            <w:r>
              <w:rPr>
                <w:rFonts w:ascii="Aptos" w:hAnsi="Aptos"/>
                <w:color w:val="1F2937"/>
                <w:sz w:val="17"/>
              </w:rPr>
              <w:t>Very high</w:t>
            </w:r>
          </w:p>
        </w:tc>
        <w:tc>
          <w:tcPr>
            <w:tcW w:type="dxa" w:w="4032"/>
            <w:vAlign w:val="center"/>
            <w:tcMar>
              <w:top w:w="80" w:type="dxa"/>
              <w:start w:w="90" w:type="dxa"/>
              <w:bottom w:w="80" w:type="dxa"/>
              <w:end w:w="90" w:type="dxa"/>
            </w:tcMar>
          </w:tcPr>
          <w:p>
            <w:pPr>
              <w:spacing w:after="0"/>
            </w:pPr>
            <w:r>
              <w:rPr>
                <w:rFonts w:ascii="Aptos" w:hAnsi="Aptos"/>
                <w:color w:val="1F2937"/>
                <w:sz w:val="17"/>
              </w:rPr>
              <w:t>Prioritize customer service over small cost savings</w:t>
            </w:r>
          </w:p>
        </w:tc>
      </w:tr>
      <w:tr>
        <w:trPr>
          <w:cantSplit/>
        </w:trPr>
        <w:tc>
          <w:tcPr>
            <w:tcW w:type="dxa" w:w="3168"/>
            <w:vAlign w:val="center"/>
            <w:tcMar>
              <w:top w:w="80" w:type="dxa"/>
              <w:start w:w="90" w:type="dxa"/>
              <w:bottom w:w="80" w:type="dxa"/>
              <w:end w:w="90" w:type="dxa"/>
            </w:tcMar>
          </w:tcPr>
          <w:p>
            <w:pPr>
              <w:spacing w:after="0"/>
            </w:pPr>
            <w:r>
              <w:rPr>
                <w:rFonts w:ascii="Aptos" w:hAnsi="Aptos"/>
                <w:color w:val="1F2937"/>
                <w:sz w:val="17"/>
              </w:rPr>
              <w:t>Contract packer cost</w:t>
            </w:r>
          </w:p>
        </w:tc>
        <w:tc>
          <w:tcPr>
            <w:tcW w:type="dxa" w:w="2160"/>
            <w:vAlign w:val="center"/>
            <w:tcMar>
              <w:top w:w="80" w:type="dxa"/>
              <w:start w:w="90" w:type="dxa"/>
              <w:bottom w:w="80" w:type="dxa"/>
              <w:end w:w="90" w:type="dxa"/>
            </w:tcMar>
          </w:tcPr>
          <w:p>
            <w:pPr>
              <w:spacing w:after="0"/>
            </w:pPr>
            <w:r>
              <w:rPr>
                <w:rFonts w:ascii="Aptos" w:hAnsi="Aptos"/>
                <w:color w:val="1F2937"/>
                <w:sz w:val="17"/>
              </w:rPr>
              <w:t>High</w:t>
            </w:r>
          </w:p>
        </w:tc>
        <w:tc>
          <w:tcPr>
            <w:tcW w:type="dxa" w:w="4032"/>
            <w:vAlign w:val="center"/>
            <w:tcMar>
              <w:top w:w="80" w:type="dxa"/>
              <w:start w:w="90" w:type="dxa"/>
              <w:bottom w:w="80" w:type="dxa"/>
              <w:end w:w="90" w:type="dxa"/>
            </w:tcMar>
          </w:tcPr>
          <w:p>
            <w:pPr>
              <w:spacing w:after="0"/>
            </w:pPr>
            <w:r>
              <w:rPr>
                <w:rFonts w:ascii="Aptos" w:hAnsi="Aptos"/>
                <w:color w:val="1F2937"/>
                <w:sz w:val="17"/>
              </w:rPr>
              <w:t>Use only during major capacity disruption</w:t>
            </w:r>
          </w:p>
        </w:tc>
      </w:tr>
    </w:tbl>
    <w:p>
      <w:pPr>
        <w:spacing w:after="20"/>
      </w:pPr>
    </w:p>
    <w:p>
      <w:pPr>
        <w:pStyle w:val="Heading2"/>
        <w:keepNext/>
        <w:keepLines/>
      </w:pPr>
      <w:r>
        <w:rPr>
          <w:rFonts w:ascii="Aptos" w:hAnsi="Aptos"/>
          <w:b/>
          <w:color w:val="365F91"/>
          <w:sz w:val="24"/>
        </w:rPr>
        <w:t>5.5 Step 4 - Capacity and exception review</w:t>
      </w:r>
    </w:p>
    <w:p>
      <w:pPr>
        <w:pStyle w:val="ListBullet"/>
        <w:spacing w:after="60"/>
        <w:ind w:left="0"/>
      </w:pPr>
      <w:r>
        <w:rPr>
          <w:rFonts w:ascii="Aptos" w:hAnsi="Aptos"/>
          <w:color w:val="1F2937"/>
          <w:sz w:val="20"/>
        </w:rPr>
        <w:t>Check production utilization. Sustained load above 90% triggers a capacity-risk review even if nominal capacity is not exceeded.</w:t>
      </w:r>
    </w:p>
    <w:p>
      <w:pPr>
        <w:pStyle w:val="ListBullet"/>
        <w:spacing w:after="60"/>
        <w:ind w:left="0"/>
      </w:pPr>
      <w:r>
        <w:rPr>
          <w:rFonts w:ascii="Aptos" w:hAnsi="Aptos"/>
          <w:color w:val="1F2937"/>
          <w:sz w:val="20"/>
        </w:rPr>
        <w:t>Check supplier capacity and whether the planned source split is feasible within validity periods.</w:t>
      </w:r>
    </w:p>
    <w:p>
      <w:pPr>
        <w:pStyle w:val="ListBullet"/>
        <w:spacing w:after="60"/>
        <w:ind w:left="0"/>
      </w:pPr>
      <w:r>
        <w:rPr>
          <w:rFonts w:ascii="Aptos" w:hAnsi="Aptos"/>
          <w:color w:val="1F2937"/>
          <w:sz w:val="20"/>
        </w:rPr>
        <w:t>Check DC projected stock against safety stock, maximum stock, and shelf-life/aging policy.</w:t>
      </w:r>
    </w:p>
    <w:p>
      <w:pPr>
        <w:pStyle w:val="ListBullet"/>
        <w:spacing w:after="60"/>
        <w:ind w:left="0"/>
      </w:pPr>
      <w:r>
        <w:rPr>
          <w:rFonts w:ascii="Aptos" w:hAnsi="Aptos"/>
          <w:color w:val="1F2937"/>
          <w:sz w:val="20"/>
        </w:rPr>
        <w:t>Check transportation volume by lane; identify repeated partial loads, overloads, or lead-time mismatches.</w:t>
      </w:r>
    </w:p>
    <w:p>
      <w:pPr>
        <w:pStyle w:val="ListBullet"/>
        <w:spacing w:after="60"/>
        <w:ind w:left="0"/>
      </w:pPr>
      <w:r>
        <w:rPr>
          <w:rFonts w:ascii="Aptos" w:hAnsi="Aptos"/>
          <w:color w:val="1F2937"/>
          <w:sz w:val="20"/>
        </w:rPr>
        <w:t>Review alerts for demand not covered on time and determine whether the issue is demand quality, master data, capacity, or real supply shortage.</w:t>
      </w:r>
    </w:p>
    <w:p>
      <w:pPr>
        <w:pStyle w:val="Heading2"/>
        <w:keepNext/>
        <w:keepLines/>
      </w:pPr>
      <w:r>
        <w:rPr>
          <w:rFonts w:ascii="Aptos" w:hAnsi="Aptos"/>
          <w:b/>
          <w:color w:val="365F91"/>
          <w:sz w:val="24"/>
        </w:rPr>
        <w:t>5.6 Step 5 - Deployment and Transport Load Builder</w:t>
      </w:r>
    </w:p>
    <w:p>
      <w:pPr>
        <w:spacing w:after="120" w:line="259" w:lineRule="auto"/>
      </w:pPr>
      <w:r>
        <w:rPr>
          <w:rFonts w:ascii="Aptos" w:hAnsi="Aptos"/>
          <w:color w:val="1F2937"/>
          <w:sz w:val="20"/>
        </w:rPr>
        <w:t>After supply is planned or available, deployment determines how that supply should be distributed to downstream locations, particularly when there is not enough inventory to satisfy all demand. The deployment result is then suitable for transport-load planning. TLB logic can consolidate deployment stock transfers into economic truckloads while respecting shipment constraints. In the normal case, D1 receives high-frequency replenishment, while D2 and D3 are consolidated into fuller loads because of longer distance.</w:t>
      </w:r>
    </w:p>
    <w:p>
      <w:pPr>
        <w:pStyle w:val="Heading2"/>
        <w:keepNext/>
        <w:keepLines/>
      </w:pPr>
      <w:r>
        <w:rPr>
          <w:rFonts w:ascii="Aptos" w:hAnsi="Aptos"/>
          <w:b/>
          <w:color w:val="365F91"/>
          <w:sz w:val="24"/>
        </w:rPr>
        <w:t>5.7 Illustrative weekly planning result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520"/>
            <w:shd w:fill="365F91"/>
            <w:vAlign w:val="center"/>
            <w:tcMar>
              <w:top w:w="80" w:type="dxa"/>
              <w:start w:w="90" w:type="dxa"/>
              <w:bottom w:w="80" w:type="dxa"/>
              <w:end w:w="90" w:type="dxa"/>
            </w:tcMar>
          </w:tcPr>
          <w:p>
            <w:pPr>
              <w:jc w:val="center"/>
            </w:pPr>
            <w:r>
              <w:rPr>
                <w:rFonts w:ascii="Aptos" w:hAnsi="Aptos"/>
                <w:b/>
                <w:color w:val="FFFFFF"/>
                <w:sz w:val="17"/>
              </w:rPr>
              <w:t>Measure</w:t>
            </w:r>
          </w:p>
        </w:tc>
        <w:tc>
          <w:tcPr>
            <w:tcW w:type="dxa" w:w="2160"/>
            <w:shd w:fill="365F91"/>
            <w:vAlign w:val="center"/>
            <w:tcMar>
              <w:top w:w="80" w:type="dxa"/>
              <w:start w:w="90" w:type="dxa"/>
              <w:bottom w:w="80" w:type="dxa"/>
              <w:end w:w="90" w:type="dxa"/>
            </w:tcMar>
          </w:tcPr>
          <w:p>
            <w:pPr>
              <w:jc w:val="center"/>
            </w:pPr>
            <w:r>
              <w:rPr>
                <w:rFonts w:ascii="Aptos" w:hAnsi="Aptos"/>
                <w:b/>
                <w:color w:val="FFFFFF"/>
                <w:sz w:val="17"/>
              </w:rPr>
              <w:t>Baseline demand</w:t>
            </w:r>
          </w:p>
        </w:tc>
        <w:tc>
          <w:tcPr>
            <w:tcW w:type="dxa" w:w="2376"/>
            <w:shd w:fill="365F91"/>
            <w:vAlign w:val="center"/>
            <w:tcMar>
              <w:top w:w="80" w:type="dxa"/>
              <w:start w:w="90" w:type="dxa"/>
              <w:bottom w:w="80" w:type="dxa"/>
              <w:end w:w="90" w:type="dxa"/>
            </w:tcMar>
          </w:tcPr>
          <w:p>
            <w:r>
              <w:t>Illustrative result</w:t>
            </w:r>
          </w:p>
        </w:tc>
        <w:tc>
          <w:tcPr>
            <w:tcW w:type="dxa" w:w="3240"/>
            <w:shd w:fill="365F91"/>
            <w:vAlign w:val="center"/>
            <w:tcMar>
              <w:top w:w="80" w:type="dxa"/>
              <w:start w:w="90" w:type="dxa"/>
              <w:bottom w:w="80" w:type="dxa"/>
              <w:end w:w="90" w:type="dxa"/>
            </w:tcMar>
          </w:tcPr>
          <w:p>
            <w:pPr>
              <w:jc w:val="center"/>
            </w:pPr>
            <w:r>
              <w:rPr>
                <w:rFonts w:ascii="Aptos" w:hAnsi="Aptos"/>
                <w:b/>
                <w:color w:val="FFFFFF"/>
                <w:sz w:val="17"/>
              </w:rPr>
              <w:t>Interpretation</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Finished-goods demand</w:t>
            </w:r>
          </w:p>
        </w:tc>
        <w:tc>
          <w:tcPr>
            <w:tcW w:type="dxa" w:w="2160"/>
            <w:vAlign w:val="center"/>
            <w:tcMar>
              <w:top w:w="80" w:type="dxa"/>
              <w:start w:w="90" w:type="dxa"/>
              <w:bottom w:w="80" w:type="dxa"/>
              <w:end w:w="90" w:type="dxa"/>
            </w:tcMar>
          </w:tcPr>
          <w:p>
            <w:pPr>
              <w:spacing w:after="0"/>
            </w:pPr>
            <w:r>
              <w:rPr>
                <w:rFonts w:ascii="Aptos" w:hAnsi="Aptos"/>
                <w:color w:val="1F2937"/>
                <w:sz w:val="17"/>
              </w:rPr>
              <w:t>145 t</w:t>
            </w:r>
          </w:p>
        </w:tc>
        <w:tc>
          <w:tcPr>
            <w:tcW w:type="dxa" w:w="2376"/>
            <w:vAlign w:val="center"/>
            <w:tcMar>
              <w:top w:w="80" w:type="dxa"/>
              <w:start w:w="90" w:type="dxa"/>
              <w:bottom w:w="80" w:type="dxa"/>
              <w:end w:w="90" w:type="dxa"/>
            </w:tcMar>
          </w:tcPr>
          <w:p>
            <w:pPr>
              <w:spacing w:after="0"/>
            </w:pPr>
            <w:r>
              <w:rPr>
                <w:rFonts w:ascii="Aptos" w:hAnsi="Aptos"/>
                <w:color w:val="1F2937"/>
                <w:sz w:val="17"/>
              </w:rPr>
              <w:t>145 t supplied</w:t>
            </w:r>
          </w:p>
        </w:tc>
        <w:tc>
          <w:tcPr>
            <w:tcW w:type="dxa" w:w="3240"/>
            <w:vAlign w:val="center"/>
            <w:tcMar>
              <w:top w:w="80" w:type="dxa"/>
              <w:start w:w="90" w:type="dxa"/>
              <w:bottom w:w="80" w:type="dxa"/>
              <w:end w:w="90" w:type="dxa"/>
            </w:tcMar>
          </w:tcPr>
          <w:p>
            <w:pPr>
              <w:spacing w:after="0"/>
            </w:pPr>
            <w:r>
              <w:rPr>
                <w:rFonts w:ascii="Aptos" w:hAnsi="Aptos"/>
                <w:color w:val="1F2937"/>
                <w:sz w:val="17"/>
              </w:rPr>
              <w:t>No planned shortage in normal scenario</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Plant production</w:t>
            </w:r>
          </w:p>
        </w:tc>
        <w:tc>
          <w:tcPr>
            <w:tcW w:type="dxa" w:w="2160"/>
            <w:vAlign w:val="center"/>
            <w:tcMar>
              <w:top w:w="80" w:type="dxa"/>
              <w:start w:w="90" w:type="dxa"/>
              <w:bottom w:w="80" w:type="dxa"/>
              <w:end w:w="90" w:type="dxa"/>
            </w:tcMar>
          </w:tcPr>
          <w:p>
            <w:pPr>
              <w:spacing w:after="0"/>
            </w:pPr>
            <w:r>
              <w:rPr>
                <w:rFonts w:ascii="Aptos" w:hAnsi="Aptos"/>
                <w:color w:val="1F2937"/>
                <w:sz w:val="17"/>
              </w:rPr>
              <w:t>145 t</w:t>
            </w:r>
          </w:p>
        </w:tc>
        <w:tc>
          <w:tcPr>
            <w:tcW w:type="dxa" w:w="2376"/>
            <w:vAlign w:val="center"/>
            <w:tcMar>
              <w:top w:w="80" w:type="dxa"/>
              <w:start w:w="90" w:type="dxa"/>
              <w:bottom w:w="80" w:type="dxa"/>
              <w:end w:w="90" w:type="dxa"/>
            </w:tcMar>
          </w:tcPr>
          <w:p>
            <w:pPr>
              <w:spacing w:after="0"/>
            </w:pPr>
            <w:r>
              <w:rPr>
                <w:rFonts w:ascii="Aptos" w:hAnsi="Aptos"/>
                <w:color w:val="1F2937"/>
                <w:sz w:val="17"/>
              </w:rPr>
              <w:t>145-155 t depending stock recovery</w:t>
            </w:r>
          </w:p>
        </w:tc>
        <w:tc>
          <w:tcPr>
            <w:tcW w:type="dxa" w:w="3240"/>
            <w:vAlign w:val="center"/>
            <w:tcMar>
              <w:top w:w="80" w:type="dxa"/>
              <w:start w:w="90" w:type="dxa"/>
              <w:bottom w:w="80" w:type="dxa"/>
              <w:end w:w="90" w:type="dxa"/>
            </w:tcMar>
          </w:tcPr>
          <w:p>
            <w:pPr>
              <w:spacing w:after="0"/>
            </w:pPr>
            <w:r>
              <w:rPr>
                <w:rFonts w:ascii="Aptos" w:hAnsi="Aptos"/>
                <w:color w:val="1F2937"/>
                <w:sz w:val="17"/>
              </w:rPr>
              <w:t>Within 180 t/week nominal capacity</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S1 raw-material share</w:t>
            </w:r>
          </w:p>
        </w:tc>
        <w:tc>
          <w:tcPr>
            <w:tcW w:type="dxa" w:w="2160"/>
            <w:vAlign w:val="center"/>
            <w:tcMar>
              <w:top w:w="80" w:type="dxa"/>
              <w:start w:w="90" w:type="dxa"/>
              <w:bottom w:w="80" w:type="dxa"/>
              <w:end w:w="90" w:type="dxa"/>
            </w:tcMar>
          </w:tcPr>
          <w:p>
            <w:pPr>
              <w:spacing w:after="0"/>
            </w:pPr>
            <w:r>
              <w:rPr>
                <w:rFonts w:ascii="Aptos" w:hAnsi="Aptos"/>
                <w:color w:val="1F2937"/>
                <w:sz w:val="17"/>
              </w:rPr>
              <w:t>70% target</w:t>
            </w:r>
          </w:p>
        </w:tc>
        <w:tc>
          <w:tcPr>
            <w:tcW w:type="dxa" w:w="2376"/>
            <w:vAlign w:val="center"/>
            <w:tcMar>
              <w:top w:w="80" w:type="dxa"/>
              <w:start w:w="90" w:type="dxa"/>
              <w:bottom w:w="80" w:type="dxa"/>
              <w:end w:w="90" w:type="dxa"/>
            </w:tcMar>
          </w:tcPr>
          <w:p>
            <w:pPr>
              <w:spacing w:after="0"/>
            </w:pPr>
            <w:r>
              <w:rPr>
                <w:rFonts w:ascii="Aptos" w:hAnsi="Aptos"/>
                <w:color w:val="1F2937"/>
                <w:sz w:val="17"/>
              </w:rPr>
              <w:t>~101.5 t equivalent</w:t>
            </w:r>
          </w:p>
        </w:tc>
        <w:tc>
          <w:tcPr>
            <w:tcW w:type="dxa" w:w="3240"/>
            <w:vAlign w:val="center"/>
            <w:tcMar>
              <w:top w:w="80" w:type="dxa"/>
              <w:start w:w="90" w:type="dxa"/>
              <w:bottom w:w="80" w:type="dxa"/>
              <w:end w:w="90" w:type="dxa"/>
            </w:tcMar>
          </w:tcPr>
          <w:p>
            <w:pPr>
              <w:spacing w:after="0"/>
            </w:pPr>
            <w:r>
              <w:rPr>
                <w:rFonts w:ascii="Aptos" w:hAnsi="Aptos"/>
                <w:color w:val="1F2937"/>
                <w:sz w:val="17"/>
              </w:rPr>
              <w:t>Within 120 t/week capacity</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S2 raw-material share</w:t>
            </w:r>
          </w:p>
        </w:tc>
        <w:tc>
          <w:tcPr>
            <w:tcW w:type="dxa" w:w="2160"/>
            <w:vAlign w:val="center"/>
            <w:tcMar>
              <w:top w:w="80" w:type="dxa"/>
              <w:start w:w="90" w:type="dxa"/>
              <w:bottom w:w="80" w:type="dxa"/>
              <w:end w:w="90" w:type="dxa"/>
            </w:tcMar>
          </w:tcPr>
          <w:p>
            <w:pPr>
              <w:spacing w:after="0"/>
            </w:pPr>
            <w:r>
              <w:rPr>
                <w:rFonts w:ascii="Aptos" w:hAnsi="Aptos"/>
                <w:color w:val="1F2937"/>
                <w:sz w:val="17"/>
              </w:rPr>
              <w:t>30% target</w:t>
            </w:r>
          </w:p>
        </w:tc>
        <w:tc>
          <w:tcPr>
            <w:tcW w:type="dxa" w:w="2376"/>
            <w:vAlign w:val="center"/>
            <w:tcMar>
              <w:top w:w="80" w:type="dxa"/>
              <w:start w:w="90" w:type="dxa"/>
              <w:bottom w:w="80" w:type="dxa"/>
              <w:end w:w="90" w:type="dxa"/>
            </w:tcMar>
          </w:tcPr>
          <w:p>
            <w:pPr>
              <w:spacing w:after="0"/>
            </w:pPr>
            <w:r>
              <w:rPr>
                <w:rFonts w:ascii="Aptos" w:hAnsi="Aptos"/>
                <w:color w:val="1F2937"/>
                <w:sz w:val="17"/>
              </w:rPr>
              <w:t>~43.5 t equivalent</w:t>
            </w:r>
          </w:p>
        </w:tc>
        <w:tc>
          <w:tcPr>
            <w:tcW w:type="dxa" w:w="3240"/>
            <w:vAlign w:val="center"/>
            <w:tcMar>
              <w:top w:w="80" w:type="dxa"/>
              <w:start w:w="90" w:type="dxa"/>
              <w:bottom w:w="80" w:type="dxa"/>
              <w:end w:w="90" w:type="dxa"/>
            </w:tcMar>
          </w:tcPr>
          <w:p>
            <w:pPr>
              <w:spacing w:after="0"/>
            </w:pPr>
            <w:r>
              <w:rPr>
                <w:rFonts w:ascii="Aptos" w:hAnsi="Aptos"/>
                <w:color w:val="1F2937"/>
                <w:sz w:val="17"/>
              </w:rPr>
              <w:t>Within 80 t/week capacity</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DC safety stock</w:t>
            </w:r>
          </w:p>
        </w:tc>
        <w:tc>
          <w:tcPr>
            <w:tcW w:type="dxa" w:w="2160"/>
            <w:vAlign w:val="center"/>
            <w:tcMar>
              <w:top w:w="80" w:type="dxa"/>
              <w:start w:w="90" w:type="dxa"/>
              <w:bottom w:w="80" w:type="dxa"/>
              <w:end w:w="90" w:type="dxa"/>
            </w:tcMar>
          </w:tcPr>
          <w:p>
            <w:pPr>
              <w:spacing w:after="0"/>
            </w:pPr>
            <w:r>
              <w:rPr>
                <w:rFonts w:ascii="Aptos" w:hAnsi="Aptos"/>
                <w:color w:val="1F2937"/>
                <w:sz w:val="17"/>
              </w:rPr>
              <w:t>7-8 days</w:t>
            </w:r>
          </w:p>
        </w:tc>
        <w:tc>
          <w:tcPr>
            <w:tcW w:type="dxa" w:w="2376"/>
            <w:vAlign w:val="center"/>
            <w:tcMar>
              <w:top w:w="80" w:type="dxa"/>
              <w:start w:w="90" w:type="dxa"/>
              <w:bottom w:w="80" w:type="dxa"/>
              <w:end w:w="90" w:type="dxa"/>
            </w:tcMar>
          </w:tcPr>
          <w:p>
            <w:pPr>
              <w:spacing w:after="0"/>
            </w:pPr>
            <w:r>
              <w:rPr>
                <w:rFonts w:ascii="Aptos" w:hAnsi="Aptos"/>
                <w:color w:val="1F2937"/>
                <w:sz w:val="17"/>
              </w:rPr>
              <w:t>Maintained after replenishment</w:t>
            </w:r>
          </w:p>
        </w:tc>
        <w:tc>
          <w:tcPr>
            <w:tcW w:type="dxa" w:w="3240"/>
            <w:vAlign w:val="center"/>
            <w:tcMar>
              <w:top w:w="80" w:type="dxa"/>
              <w:start w:w="90" w:type="dxa"/>
              <w:bottom w:w="80" w:type="dxa"/>
              <w:end w:w="90" w:type="dxa"/>
            </w:tcMar>
          </w:tcPr>
          <w:p>
            <w:pPr>
              <w:spacing w:after="0"/>
            </w:pPr>
            <w:r>
              <w:rPr>
                <w:rFonts w:ascii="Aptos" w:hAnsi="Aptos"/>
                <w:color w:val="1F2937"/>
                <w:sz w:val="17"/>
              </w:rPr>
              <w:t>Supports &gt;=97% service target</w:t>
            </w:r>
          </w:p>
        </w:tc>
      </w:tr>
      <w:tr>
        <w:trPr>
          <w:cantSplit/>
        </w:trPr>
        <w:tc>
          <w:tcPr>
            <w:tcW w:type="dxa" w:w="2520"/>
            <w:vAlign w:val="center"/>
            <w:tcMar>
              <w:top w:w="80" w:type="dxa"/>
              <w:start w:w="90" w:type="dxa"/>
              <w:bottom w:w="80" w:type="dxa"/>
              <w:end w:w="90" w:type="dxa"/>
            </w:tcMar>
          </w:tcPr>
          <w:p>
            <w:pPr>
              <w:spacing w:after="0"/>
            </w:pPr>
            <w:r>
              <w:rPr>
                <w:rFonts w:ascii="Aptos" w:hAnsi="Aptos"/>
                <w:color w:val="1F2937"/>
                <w:sz w:val="17"/>
              </w:rPr>
              <w:t>Emergency contract packing</w:t>
            </w:r>
          </w:p>
        </w:tc>
        <w:tc>
          <w:tcPr>
            <w:tcW w:type="dxa" w:w="2160"/>
            <w:vAlign w:val="center"/>
            <w:tcMar>
              <w:top w:w="80" w:type="dxa"/>
              <w:start w:w="90" w:type="dxa"/>
              <w:bottom w:w="80" w:type="dxa"/>
              <w:end w:w="90" w:type="dxa"/>
            </w:tcMar>
          </w:tcPr>
          <w:p>
            <w:pPr>
              <w:spacing w:after="0"/>
            </w:pPr>
            <w:r>
              <w:rPr>
                <w:rFonts w:ascii="Aptos" w:hAnsi="Aptos"/>
                <w:color w:val="1F2937"/>
                <w:sz w:val="17"/>
              </w:rPr>
              <w:t>0 t</w:t>
            </w:r>
          </w:p>
        </w:tc>
        <w:tc>
          <w:tcPr>
            <w:tcW w:type="dxa" w:w="2376"/>
            <w:vAlign w:val="center"/>
            <w:tcMar>
              <w:top w:w="80" w:type="dxa"/>
              <w:start w:w="90" w:type="dxa"/>
              <w:bottom w:w="80" w:type="dxa"/>
              <w:end w:w="90" w:type="dxa"/>
            </w:tcMar>
          </w:tcPr>
          <w:p>
            <w:pPr>
              <w:spacing w:after="0"/>
            </w:pPr>
            <w:r>
              <w:rPr>
                <w:rFonts w:ascii="Aptos" w:hAnsi="Aptos"/>
                <w:color w:val="1F2937"/>
                <w:sz w:val="17"/>
              </w:rPr>
              <w:t>Not used</w:t>
            </w:r>
          </w:p>
        </w:tc>
        <w:tc>
          <w:tcPr>
            <w:tcW w:type="dxa" w:w="3240"/>
            <w:vAlign w:val="center"/>
            <w:tcMar>
              <w:top w:w="80" w:type="dxa"/>
              <w:start w:w="90" w:type="dxa"/>
              <w:bottom w:w="80" w:type="dxa"/>
              <w:end w:w="90" w:type="dxa"/>
            </w:tcMar>
          </w:tcPr>
          <w:p>
            <w:pPr>
              <w:spacing w:after="0"/>
            </w:pPr>
            <w:r>
              <w:rPr>
                <w:rFonts w:ascii="Aptos" w:hAnsi="Aptos"/>
                <w:color w:val="1F2937"/>
                <w:sz w:val="17"/>
              </w:rPr>
              <w:t>Reserve capacity remains available</w:t>
            </w:r>
          </w:p>
        </w:tc>
      </w:tr>
    </w:tbl>
    <w:p>
      <w:pPr>
        <w:spacing w:after="20"/>
      </w:pPr>
    </w:p>
    <w:p>
      <w:pPr>
        <w:pStyle w:val="Heading1"/>
        <w:keepNext/>
        <w:keepLines/>
      </w:pPr>
      <w:r>
        <w:rPr>
          <w:rFonts w:ascii="Aptos" w:hAnsi="Aptos"/>
          <w:b/>
          <w:color w:val="365F91"/>
          <w:sz w:val="30"/>
        </w:rPr>
        <w:t>6. KPI Framework and Expected Outcomes</w:t>
      </w:r>
    </w:p>
    <w:p>
      <w:pPr>
        <w:pStyle w:val="Heading2"/>
        <w:keepNext/>
        <w:keepLines/>
      </w:pPr>
      <w:r>
        <w:rPr>
          <w:rFonts w:ascii="Aptos" w:hAnsi="Aptos"/>
          <w:b/>
          <w:color w:val="365F91"/>
          <w:sz w:val="24"/>
        </w:rPr>
        <w:t>6.1 Planning KPIs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232"/>
            <w:shd w:fill="365F91"/>
            <w:vAlign w:val="center"/>
            <w:tcMar>
              <w:top w:w="80" w:type="dxa"/>
              <w:start w:w="90" w:type="dxa"/>
              <w:bottom w:w="80" w:type="dxa"/>
              <w:end w:w="90" w:type="dxa"/>
            </w:tcMar>
          </w:tcPr>
          <w:p>
            <w:pPr>
              <w:jc w:val="center"/>
            </w:pPr>
            <w:r>
              <w:rPr>
                <w:rFonts w:ascii="Aptos" w:hAnsi="Aptos"/>
                <w:b/>
                <w:color w:val="FFFFFF"/>
                <w:sz w:val="17"/>
              </w:rPr>
              <w:t>KPI</w:t>
            </w:r>
          </w:p>
        </w:tc>
        <w:tc>
          <w:tcPr>
            <w:tcW w:type="dxa" w:w="3600"/>
            <w:shd w:fill="365F91"/>
            <w:vAlign w:val="center"/>
            <w:tcMar>
              <w:top w:w="80" w:type="dxa"/>
              <w:start w:w="90" w:type="dxa"/>
              <w:bottom w:w="80" w:type="dxa"/>
              <w:end w:w="90" w:type="dxa"/>
            </w:tcMar>
          </w:tcPr>
          <w:p>
            <w:pPr>
              <w:jc w:val="center"/>
            </w:pPr>
            <w:r>
              <w:rPr>
                <w:rFonts w:ascii="Aptos" w:hAnsi="Aptos"/>
                <w:b/>
                <w:color w:val="FFFFFF"/>
                <w:sz w:val="17"/>
              </w:rPr>
              <w:t>Definition / calculation</w:t>
            </w:r>
          </w:p>
        </w:tc>
        <w:tc>
          <w:tcPr>
            <w:tcW w:type="dxa" w:w="1728"/>
            <w:shd w:fill="365F91"/>
            <w:vAlign w:val="center"/>
            <w:tcMar>
              <w:top w:w="80" w:type="dxa"/>
              <w:start w:w="90" w:type="dxa"/>
              <w:bottom w:w="80" w:type="dxa"/>
              <w:end w:w="90" w:type="dxa"/>
            </w:tcMar>
          </w:tcPr>
          <w:p>
            <w:pPr>
              <w:jc w:val="center"/>
            </w:pPr>
            <w:r>
              <w:rPr>
                <w:rFonts w:ascii="Aptos" w:hAnsi="Aptos"/>
                <w:b/>
                <w:color w:val="FFFFFF"/>
                <w:sz w:val="17"/>
              </w:rPr>
              <w:t>Target</w:t>
            </w:r>
          </w:p>
        </w:tc>
        <w:tc>
          <w:tcPr>
            <w:tcW w:type="dxa" w:w="2880"/>
            <w:shd w:fill="365F91"/>
            <w:vAlign w:val="center"/>
            <w:tcMar>
              <w:top w:w="80" w:type="dxa"/>
              <w:start w:w="90" w:type="dxa"/>
              <w:bottom w:w="80" w:type="dxa"/>
              <w:end w:w="90" w:type="dxa"/>
            </w:tcMar>
          </w:tcPr>
          <w:p>
            <w:pPr>
              <w:jc w:val="center"/>
            </w:pPr>
            <w:r>
              <w:rPr>
                <w:rFonts w:ascii="Aptos" w:hAnsi="Aptos"/>
                <w:b/>
                <w:color w:val="FFFFFF"/>
                <w:sz w:val="17"/>
              </w:rPr>
              <w:t>Management use</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Customer service level</w:t>
            </w:r>
          </w:p>
        </w:tc>
        <w:tc>
          <w:tcPr>
            <w:tcW w:type="dxa" w:w="3600"/>
            <w:vAlign w:val="center"/>
            <w:tcMar>
              <w:top w:w="80" w:type="dxa"/>
              <w:start w:w="90" w:type="dxa"/>
              <w:bottom w:w="80" w:type="dxa"/>
              <w:end w:w="90" w:type="dxa"/>
            </w:tcMar>
          </w:tcPr>
          <w:p>
            <w:pPr>
              <w:spacing w:after="0"/>
            </w:pPr>
            <w:r>
              <w:rPr>
                <w:rFonts w:ascii="Aptos" w:hAnsi="Aptos"/>
                <w:color w:val="1F2937"/>
                <w:sz w:val="17"/>
              </w:rPr>
              <w:t>Demand fulfilled on time / total demand</w:t>
            </w:r>
          </w:p>
        </w:tc>
        <w:tc>
          <w:tcPr>
            <w:tcW w:type="dxa" w:w="1728"/>
            <w:vAlign w:val="center"/>
            <w:tcMar>
              <w:top w:w="80" w:type="dxa"/>
              <w:start w:w="90" w:type="dxa"/>
              <w:bottom w:w="80" w:type="dxa"/>
              <w:end w:w="90" w:type="dxa"/>
            </w:tcMar>
          </w:tcPr>
          <w:p>
            <w:pPr>
              <w:spacing w:after="0"/>
            </w:pPr>
            <w:r>
              <w:rPr>
                <w:rFonts w:ascii="Aptos" w:hAnsi="Aptos"/>
                <w:color w:val="1F2937"/>
                <w:sz w:val="17"/>
              </w:rPr>
              <w:t>&gt;=97%</w:t>
            </w:r>
          </w:p>
        </w:tc>
        <w:tc>
          <w:tcPr>
            <w:tcW w:type="dxa" w:w="2880"/>
            <w:vAlign w:val="center"/>
            <w:tcMar>
              <w:top w:w="80" w:type="dxa"/>
              <w:start w:w="90" w:type="dxa"/>
              <w:bottom w:w="80" w:type="dxa"/>
              <w:end w:w="90" w:type="dxa"/>
            </w:tcMar>
          </w:tcPr>
          <w:p>
            <w:pPr>
              <w:spacing w:after="0"/>
            </w:pPr>
            <w:r>
              <w:rPr>
                <w:rFonts w:ascii="Aptos" w:hAnsi="Aptos"/>
                <w:color w:val="1F2937"/>
                <w:sz w:val="17"/>
              </w:rPr>
              <w:t>Primary network performance measure</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Forecast-to-supply coverage</w:t>
            </w:r>
          </w:p>
        </w:tc>
        <w:tc>
          <w:tcPr>
            <w:tcW w:type="dxa" w:w="3600"/>
            <w:vAlign w:val="center"/>
            <w:tcMar>
              <w:top w:w="80" w:type="dxa"/>
              <w:start w:w="90" w:type="dxa"/>
              <w:bottom w:w="80" w:type="dxa"/>
              <w:end w:w="90" w:type="dxa"/>
            </w:tcMar>
          </w:tcPr>
          <w:p>
            <w:pPr>
              <w:spacing w:after="0"/>
            </w:pPr>
            <w:r>
              <w:rPr>
                <w:rFonts w:ascii="Aptos" w:hAnsi="Aptos"/>
                <w:color w:val="1F2937"/>
                <w:sz w:val="17"/>
              </w:rPr>
              <w:t>Planned receipts covering forecast within required date</w:t>
            </w:r>
          </w:p>
        </w:tc>
        <w:tc>
          <w:tcPr>
            <w:tcW w:type="dxa" w:w="1728"/>
            <w:vAlign w:val="center"/>
            <w:tcMar>
              <w:top w:w="80" w:type="dxa"/>
              <w:start w:w="90" w:type="dxa"/>
              <w:bottom w:w="80" w:type="dxa"/>
              <w:end w:w="90" w:type="dxa"/>
            </w:tcMar>
          </w:tcPr>
          <w:p>
            <w:pPr>
              <w:spacing w:after="0"/>
            </w:pPr>
            <w:r>
              <w:rPr>
                <w:rFonts w:ascii="Aptos" w:hAnsi="Aptos"/>
                <w:color w:val="1F2937"/>
                <w:sz w:val="17"/>
              </w:rPr>
              <w:t>&gt;=98% near term</w:t>
            </w:r>
          </w:p>
        </w:tc>
        <w:tc>
          <w:tcPr>
            <w:tcW w:type="dxa" w:w="2880"/>
            <w:vAlign w:val="center"/>
            <w:tcMar>
              <w:top w:w="80" w:type="dxa"/>
              <w:start w:w="90" w:type="dxa"/>
              <w:bottom w:w="80" w:type="dxa"/>
              <w:end w:w="90" w:type="dxa"/>
            </w:tcMar>
          </w:tcPr>
          <w:p>
            <w:pPr>
              <w:spacing w:after="0"/>
            </w:pPr>
            <w:r>
              <w:rPr>
                <w:rFonts w:ascii="Aptos" w:hAnsi="Aptos"/>
                <w:color w:val="1F2937"/>
                <w:sz w:val="17"/>
              </w:rPr>
              <w:t>Detect supply gaps before execution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Plant utilization</w:t>
            </w:r>
          </w:p>
        </w:tc>
        <w:tc>
          <w:tcPr>
            <w:tcW w:type="dxa" w:w="3600"/>
            <w:vAlign w:val="center"/>
            <w:tcMar>
              <w:top w:w="80" w:type="dxa"/>
              <w:start w:w="90" w:type="dxa"/>
              <w:bottom w:w="80" w:type="dxa"/>
              <w:end w:w="90" w:type="dxa"/>
            </w:tcMar>
          </w:tcPr>
          <w:p>
            <w:pPr>
              <w:spacing w:after="0"/>
            </w:pPr>
            <w:r>
              <w:rPr>
                <w:rFonts w:ascii="Aptos" w:hAnsi="Aptos"/>
                <w:color w:val="1F2937"/>
                <w:sz w:val="17"/>
              </w:rPr>
              <w:t>Planned production / available capacity</w:t>
            </w:r>
          </w:p>
        </w:tc>
        <w:tc>
          <w:tcPr>
            <w:tcW w:type="dxa" w:w="1728"/>
            <w:vAlign w:val="center"/>
            <w:tcMar>
              <w:top w:w="80" w:type="dxa"/>
              <w:start w:w="90" w:type="dxa"/>
              <w:bottom w:w="80" w:type="dxa"/>
              <w:end w:w="90" w:type="dxa"/>
            </w:tcMar>
          </w:tcPr>
          <w:p>
            <w:pPr>
              <w:spacing w:after="0"/>
            </w:pPr>
            <w:r>
              <w:rPr>
                <w:rFonts w:ascii="Aptos" w:hAnsi="Aptos"/>
                <w:color w:val="1F2937"/>
                <w:sz w:val="17"/>
              </w:rPr>
              <w:t>80-90% preferred</w:t>
            </w:r>
          </w:p>
        </w:tc>
        <w:tc>
          <w:tcPr>
            <w:tcW w:type="dxa" w:w="2880"/>
            <w:vAlign w:val="center"/>
            <w:tcMar>
              <w:top w:w="80" w:type="dxa"/>
              <w:start w:w="90" w:type="dxa"/>
              <w:bottom w:w="80" w:type="dxa"/>
              <w:end w:w="90" w:type="dxa"/>
            </w:tcMar>
          </w:tcPr>
          <w:p>
            <w:pPr>
              <w:spacing w:after="0"/>
            </w:pPr>
            <w:r>
              <w:rPr>
                <w:rFonts w:ascii="Aptos" w:hAnsi="Aptos"/>
                <w:color w:val="1F2937"/>
                <w:sz w:val="17"/>
              </w:rPr>
              <w:t>Balance efficiency and recovery headroom</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Supplier concentration</w:t>
            </w:r>
          </w:p>
        </w:tc>
        <w:tc>
          <w:tcPr>
            <w:tcW w:type="dxa" w:w="3600"/>
            <w:vAlign w:val="center"/>
            <w:tcMar>
              <w:top w:w="80" w:type="dxa"/>
              <w:start w:w="90" w:type="dxa"/>
              <w:bottom w:w="80" w:type="dxa"/>
              <w:end w:w="90" w:type="dxa"/>
            </w:tcMar>
          </w:tcPr>
          <w:p>
            <w:pPr>
              <w:spacing w:after="0"/>
            </w:pPr>
            <w:r>
              <w:rPr>
                <w:rFonts w:ascii="Aptos" w:hAnsi="Aptos"/>
                <w:color w:val="1F2937"/>
                <w:sz w:val="17"/>
              </w:rPr>
              <w:t>Share sourced from largest supplier</w:t>
            </w:r>
          </w:p>
        </w:tc>
        <w:tc>
          <w:tcPr>
            <w:tcW w:type="dxa" w:w="1728"/>
            <w:vAlign w:val="center"/>
            <w:tcMar>
              <w:top w:w="80" w:type="dxa"/>
              <w:start w:w="90" w:type="dxa"/>
              <w:bottom w:w="80" w:type="dxa"/>
              <w:end w:w="90" w:type="dxa"/>
            </w:tcMar>
          </w:tcPr>
          <w:p>
            <w:pPr>
              <w:spacing w:after="0"/>
            </w:pPr>
            <w:r>
              <w:rPr>
                <w:rFonts w:ascii="Aptos" w:hAnsi="Aptos"/>
                <w:color w:val="1F2937"/>
                <w:sz w:val="17"/>
              </w:rPr>
              <w:t>&lt;=70% normal</w:t>
            </w:r>
          </w:p>
        </w:tc>
        <w:tc>
          <w:tcPr>
            <w:tcW w:type="dxa" w:w="2880"/>
            <w:vAlign w:val="center"/>
            <w:tcMar>
              <w:top w:w="80" w:type="dxa"/>
              <w:start w:w="90" w:type="dxa"/>
              <w:bottom w:w="80" w:type="dxa"/>
              <w:end w:w="90" w:type="dxa"/>
            </w:tcMar>
          </w:tcPr>
          <w:p>
            <w:pPr>
              <w:spacing w:after="0"/>
            </w:pPr>
            <w:r>
              <w:rPr>
                <w:rFonts w:ascii="Aptos" w:hAnsi="Aptos"/>
                <w:color w:val="1F2937"/>
                <w:sz w:val="17"/>
              </w:rPr>
              <w:t>Control dependency risk</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DC days of supply</w:t>
            </w:r>
          </w:p>
        </w:tc>
        <w:tc>
          <w:tcPr>
            <w:tcW w:type="dxa" w:w="3600"/>
            <w:vAlign w:val="center"/>
            <w:tcMar>
              <w:top w:w="80" w:type="dxa"/>
              <w:start w:w="90" w:type="dxa"/>
              <w:bottom w:w="80" w:type="dxa"/>
              <w:end w:w="90" w:type="dxa"/>
            </w:tcMar>
          </w:tcPr>
          <w:p>
            <w:pPr>
              <w:spacing w:after="0"/>
            </w:pPr>
            <w:r>
              <w:rPr>
                <w:rFonts w:ascii="Aptos" w:hAnsi="Aptos"/>
                <w:color w:val="1F2937"/>
                <w:sz w:val="17"/>
              </w:rPr>
              <w:t>Projected stock / average daily demand</w:t>
            </w:r>
          </w:p>
        </w:tc>
        <w:tc>
          <w:tcPr>
            <w:tcW w:type="dxa" w:w="1728"/>
            <w:vAlign w:val="center"/>
            <w:tcMar>
              <w:top w:w="80" w:type="dxa"/>
              <w:start w:w="90" w:type="dxa"/>
              <w:bottom w:w="80" w:type="dxa"/>
              <w:end w:w="90" w:type="dxa"/>
            </w:tcMar>
          </w:tcPr>
          <w:p>
            <w:pPr>
              <w:spacing w:after="0"/>
            </w:pPr>
            <w:r>
              <w:rPr>
                <w:rFonts w:ascii="Aptos" w:hAnsi="Aptos"/>
                <w:color w:val="1F2937"/>
                <w:sz w:val="17"/>
              </w:rPr>
              <w:t>7-10 days depending DC</w:t>
            </w:r>
          </w:p>
        </w:tc>
        <w:tc>
          <w:tcPr>
            <w:tcW w:type="dxa" w:w="2880"/>
            <w:vAlign w:val="center"/>
            <w:tcMar>
              <w:top w:w="80" w:type="dxa"/>
              <w:start w:w="90" w:type="dxa"/>
              <w:bottom w:w="80" w:type="dxa"/>
              <w:end w:w="90" w:type="dxa"/>
            </w:tcMar>
          </w:tcPr>
          <w:p>
            <w:pPr>
              <w:spacing w:after="0"/>
            </w:pPr>
            <w:r>
              <w:rPr>
                <w:rFonts w:ascii="Aptos" w:hAnsi="Aptos"/>
                <w:color w:val="1F2937"/>
                <w:sz w:val="17"/>
              </w:rPr>
              <w:t>Prevent both shortage and excess stock</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Transport load utilization</w:t>
            </w:r>
          </w:p>
        </w:tc>
        <w:tc>
          <w:tcPr>
            <w:tcW w:type="dxa" w:w="3600"/>
            <w:vAlign w:val="center"/>
            <w:tcMar>
              <w:top w:w="80" w:type="dxa"/>
              <w:start w:w="90" w:type="dxa"/>
              <w:bottom w:w="80" w:type="dxa"/>
              <w:end w:w="90" w:type="dxa"/>
            </w:tcMar>
          </w:tcPr>
          <w:p>
            <w:pPr>
              <w:spacing w:after="0"/>
            </w:pPr>
            <w:r>
              <w:rPr>
                <w:rFonts w:ascii="Aptos" w:hAnsi="Aptos"/>
                <w:color w:val="1F2937"/>
                <w:sz w:val="17"/>
              </w:rPr>
              <w:t>Weight/volume used / truck capacity</w:t>
            </w:r>
          </w:p>
        </w:tc>
        <w:tc>
          <w:tcPr>
            <w:tcW w:type="dxa" w:w="1728"/>
            <w:vAlign w:val="center"/>
            <w:tcMar>
              <w:top w:w="80" w:type="dxa"/>
              <w:start w:w="90" w:type="dxa"/>
              <w:bottom w:w="80" w:type="dxa"/>
              <w:end w:w="90" w:type="dxa"/>
            </w:tcMar>
          </w:tcPr>
          <w:p>
            <w:pPr>
              <w:spacing w:after="0"/>
            </w:pPr>
            <w:r>
              <w:rPr>
                <w:rFonts w:ascii="Aptos" w:hAnsi="Aptos"/>
                <w:color w:val="1F2937"/>
                <w:sz w:val="17"/>
              </w:rPr>
              <w:t>&gt;=85% on long-haul lanes</w:t>
            </w:r>
          </w:p>
        </w:tc>
        <w:tc>
          <w:tcPr>
            <w:tcW w:type="dxa" w:w="2880"/>
            <w:vAlign w:val="center"/>
            <w:tcMar>
              <w:top w:w="80" w:type="dxa"/>
              <w:start w:w="90" w:type="dxa"/>
              <w:bottom w:w="80" w:type="dxa"/>
              <w:end w:w="90" w:type="dxa"/>
            </w:tcMar>
          </w:tcPr>
          <w:p>
            <w:pPr>
              <w:spacing w:after="0"/>
            </w:pPr>
            <w:r>
              <w:rPr>
                <w:rFonts w:ascii="Aptos" w:hAnsi="Aptos"/>
                <w:color w:val="1F2937"/>
                <w:sz w:val="17"/>
              </w:rPr>
              <w:t>Control logistics cost</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Plan stability</w:t>
            </w:r>
          </w:p>
        </w:tc>
        <w:tc>
          <w:tcPr>
            <w:tcW w:type="dxa" w:w="3600"/>
            <w:vAlign w:val="center"/>
            <w:tcMar>
              <w:top w:w="80" w:type="dxa"/>
              <w:start w:w="90" w:type="dxa"/>
              <w:bottom w:w="80" w:type="dxa"/>
              <w:end w:w="90" w:type="dxa"/>
            </w:tcMar>
          </w:tcPr>
          <w:p>
            <w:pPr>
              <w:spacing w:after="0"/>
            </w:pPr>
            <w:r>
              <w:rPr>
                <w:rFonts w:ascii="Aptos" w:hAnsi="Aptos"/>
                <w:color w:val="1F2937"/>
                <w:sz w:val="17"/>
              </w:rPr>
              <w:t>Change in near-term plan vs prior cycle</w:t>
            </w:r>
          </w:p>
        </w:tc>
        <w:tc>
          <w:tcPr>
            <w:tcW w:type="dxa" w:w="1728"/>
            <w:vAlign w:val="center"/>
            <w:tcMar>
              <w:top w:w="80" w:type="dxa"/>
              <w:start w:w="90" w:type="dxa"/>
              <w:bottom w:w="80" w:type="dxa"/>
              <w:end w:w="90" w:type="dxa"/>
            </w:tcMar>
          </w:tcPr>
          <w:p>
            <w:pPr>
              <w:spacing w:after="0"/>
            </w:pPr>
            <w:r>
              <w:rPr>
                <w:rFonts w:ascii="Aptos" w:hAnsi="Aptos"/>
                <w:color w:val="1F2937"/>
                <w:sz w:val="17"/>
              </w:rPr>
              <w:t>Minimize within frozen horizon</w:t>
            </w:r>
          </w:p>
        </w:tc>
        <w:tc>
          <w:tcPr>
            <w:tcW w:type="dxa" w:w="2880"/>
            <w:vAlign w:val="center"/>
            <w:tcMar>
              <w:top w:w="80" w:type="dxa"/>
              <w:start w:w="90" w:type="dxa"/>
              <w:bottom w:w="80" w:type="dxa"/>
              <w:end w:w="90" w:type="dxa"/>
            </w:tcMar>
          </w:tcPr>
          <w:p>
            <w:pPr>
              <w:spacing w:after="0"/>
            </w:pPr>
            <w:r>
              <w:rPr>
                <w:rFonts w:ascii="Aptos" w:hAnsi="Aptos"/>
                <w:color w:val="1F2937"/>
                <w:sz w:val="17"/>
              </w:rPr>
              <w:t>Reduce execution disruption</w:t>
            </w:r>
          </w:p>
        </w:tc>
      </w:tr>
      <w:tr>
        <w:trPr>
          <w:cantSplit/>
        </w:trPr>
        <w:tc>
          <w:tcPr>
            <w:tcW w:type="dxa" w:w="2232"/>
            <w:vAlign w:val="center"/>
            <w:tcMar>
              <w:top w:w="80" w:type="dxa"/>
              <w:start w:w="90" w:type="dxa"/>
              <w:bottom w:w="80" w:type="dxa"/>
              <w:end w:w="90" w:type="dxa"/>
            </w:tcMar>
          </w:tcPr>
          <w:p>
            <w:pPr>
              <w:spacing w:after="0"/>
            </w:pPr>
            <w:r>
              <w:rPr>
                <w:rFonts w:ascii="Aptos" w:hAnsi="Aptos"/>
                <w:color w:val="1F2937"/>
                <w:sz w:val="17"/>
              </w:rPr>
              <w:t>Exception closure time</w:t>
            </w:r>
          </w:p>
        </w:tc>
        <w:tc>
          <w:tcPr>
            <w:tcW w:type="dxa" w:w="3600"/>
            <w:vAlign w:val="center"/>
            <w:tcMar>
              <w:top w:w="80" w:type="dxa"/>
              <w:start w:w="90" w:type="dxa"/>
              <w:bottom w:w="80" w:type="dxa"/>
              <w:end w:w="90" w:type="dxa"/>
            </w:tcMar>
          </w:tcPr>
          <w:p>
            <w:pPr>
              <w:spacing w:after="0"/>
            </w:pPr>
            <w:r>
              <w:rPr>
                <w:rFonts w:ascii="Aptos" w:hAnsi="Aptos"/>
                <w:color w:val="1F2937"/>
                <w:sz w:val="17"/>
              </w:rPr>
              <w:t>Time to resolve high-priority planning alerts</w:t>
            </w:r>
          </w:p>
        </w:tc>
        <w:tc>
          <w:tcPr>
            <w:tcW w:type="dxa" w:w="1728"/>
            <w:vAlign w:val="center"/>
            <w:tcMar>
              <w:top w:w="80" w:type="dxa"/>
              <w:start w:w="90" w:type="dxa"/>
              <w:bottom w:w="80" w:type="dxa"/>
              <w:end w:w="90" w:type="dxa"/>
            </w:tcMar>
          </w:tcPr>
          <w:p>
            <w:pPr>
              <w:spacing w:after="0"/>
            </w:pPr>
            <w:r>
              <w:rPr>
                <w:rFonts w:ascii="Aptos" w:hAnsi="Aptos"/>
                <w:color w:val="1F2937"/>
                <w:sz w:val="17"/>
              </w:rPr>
              <w:t>&lt;1 business day</w:t>
            </w:r>
          </w:p>
        </w:tc>
        <w:tc>
          <w:tcPr>
            <w:tcW w:type="dxa" w:w="2880"/>
            <w:vAlign w:val="center"/>
            <w:tcMar>
              <w:top w:w="80" w:type="dxa"/>
              <w:start w:w="90" w:type="dxa"/>
              <w:bottom w:w="80" w:type="dxa"/>
              <w:end w:w="90" w:type="dxa"/>
            </w:tcMar>
          </w:tcPr>
          <w:p>
            <w:pPr>
              <w:spacing w:after="0"/>
            </w:pPr>
            <w:r>
              <w:rPr>
                <w:rFonts w:ascii="Aptos" w:hAnsi="Aptos"/>
                <w:color w:val="1F2937"/>
                <w:sz w:val="17"/>
              </w:rPr>
              <w:t>Improve planner responsiveness</w:t>
            </w:r>
          </w:p>
        </w:tc>
      </w:tr>
    </w:tbl>
    <w:p>
      <w:pPr>
        <w:spacing w:after="20"/>
      </w:pPr>
    </w:p>
    <w:p>
      <w:pPr>
        <w:pStyle w:val="Heading2"/>
        <w:keepNext/>
        <w:keepLines/>
      </w:pPr>
      <w:r>
        <w:rPr>
          <w:rFonts w:ascii="Aptos" w:hAnsi="Aptos"/>
          <w:b/>
          <w:color w:val="365F91"/>
          <w:sz w:val="24"/>
        </w:rPr>
        <w:t>6.2 Expected business outcomes</w:t>
      </w:r>
    </w:p>
    <w:p>
      <w:pPr>
        <w:pStyle w:val="ListBullet"/>
        <w:spacing w:after="60"/>
        <w:ind w:left="0"/>
      </w:pPr>
      <w:r>
        <w:rPr>
          <w:rFonts w:ascii="Aptos" w:hAnsi="Aptos"/>
          <w:color w:val="1F2937"/>
          <w:sz w:val="20"/>
        </w:rPr>
        <w:t>Improved visibility of demand, inventory, capacity, and transport dependencies in one network model.</w:t>
      </w:r>
    </w:p>
    <w:p>
      <w:pPr>
        <w:pStyle w:val="ListBullet"/>
        <w:spacing w:after="60"/>
        <w:ind w:left="0"/>
      </w:pPr>
      <w:r>
        <w:rPr>
          <w:rFonts w:ascii="Aptos" w:hAnsi="Aptos"/>
          <w:color w:val="1F2937"/>
          <w:sz w:val="20"/>
        </w:rPr>
        <w:t>Lower risk of a complete raw-material stoppage because an alternate supplier is pre-qualified and represented in planning.</w:t>
      </w:r>
    </w:p>
    <w:p>
      <w:pPr>
        <w:pStyle w:val="ListBullet"/>
        <w:spacing w:after="60"/>
        <w:ind w:left="0"/>
      </w:pPr>
      <w:r>
        <w:rPr>
          <w:rFonts w:ascii="Aptos" w:hAnsi="Aptos"/>
          <w:color w:val="1F2937"/>
          <w:sz w:val="20"/>
        </w:rPr>
        <w:t>More balanced inventory across regional DCs through systematic net-requirement planning and deployment.</w:t>
      </w:r>
    </w:p>
    <w:p>
      <w:pPr>
        <w:pStyle w:val="ListBullet"/>
        <w:spacing w:after="60"/>
        <w:ind w:left="0"/>
      </w:pPr>
      <w:r>
        <w:rPr>
          <w:rFonts w:ascii="Aptos" w:hAnsi="Aptos"/>
          <w:color w:val="1F2937"/>
          <w:sz w:val="20"/>
        </w:rPr>
        <w:t>Fewer expensive emergency shipments because lane lead times, quotas, and safety stock are planned before execution.</w:t>
      </w:r>
    </w:p>
    <w:p>
      <w:pPr>
        <w:pStyle w:val="ListBullet"/>
        <w:spacing w:after="60"/>
        <w:ind w:left="0"/>
      </w:pPr>
      <w:r>
        <w:rPr>
          <w:rFonts w:ascii="Aptos" w:hAnsi="Aptos"/>
          <w:color w:val="1F2937"/>
          <w:sz w:val="20"/>
        </w:rPr>
        <w:t>Ability to compare “what-if” scenarios such as supplier outage, demand surge, or plant downtime using a separate planning version.</w:t>
      </w:r>
    </w:p>
    <w:p>
      <w:pPr>
        <w:pStyle w:val="ListBullet"/>
        <w:spacing w:after="60"/>
        <w:ind w:left="0"/>
      </w:pPr>
      <w:r>
        <w:rPr>
          <w:rFonts w:ascii="Aptos" w:hAnsi="Aptos"/>
          <w:color w:val="1F2937"/>
          <w:sz w:val="20"/>
        </w:rPr>
        <w:t>Better governance: every network change can be linked to master-data ownership, planner review, model consistency check, and KPI impact.</w:t>
      </w:r>
    </w:p>
    <w:p>
      <w:pPr>
        <w:pStyle w:val="Heading1"/>
        <w:keepNext/>
        <w:keepLines/>
      </w:pPr>
      <w:r>
        <w:rPr>
          <w:rFonts w:ascii="Aptos" w:hAnsi="Aptos"/>
          <w:b/>
          <w:color w:val="365F91"/>
          <w:sz w:val="30"/>
        </w:rPr>
        <w:t>7. Risk Analysis and Contingency Plan</w:t>
      </w:r>
    </w:p>
    <w:p>
      <w:pPr>
        <w:pStyle w:val="Heading2"/>
        <w:keepNext/>
        <w:keepLines/>
      </w:pPr>
      <w:r>
        <w:rPr>
          <w:rFonts w:ascii="Aptos" w:hAnsi="Aptos"/>
          <w:b/>
          <w:color w:val="365F91"/>
          <w:sz w:val="24"/>
        </w:rPr>
        <w:t>7.1 Risk register</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800"/>
            <w:shd w:fill="365F91"/>
            <w:vAlign w:val="center"/>
            <w:tcMar>
              <w:top w:w="80" w:type="dxa"/>
              <w:start w:w="90" w:type="dxa"/>
              <w:bottom w:w="80" w:type="dxa"/>
              <w:end w:w="90" w:type="dxa"/>
            </w:tcMar>
          </w:tcPr>
          <w:p>
            <w:pPr>
              <w:jc w:val="center"/>
            </w:pPr>
            <w:r>
              <w:rPr>
                <w:rFonts w:ascii="Aptos" w:hAnsi="Aptos"/>
                <w:b/>
                <w:color w:val="FFFFFF"/>
                <w:sz w:val="17"/>
              </w:rPr>
              <w:t>Risk</w:t>
            </w:r>
          </w:p>
        </w:tc>
        <w:tc>
          <w:tcPr>
            <w:tcW w:type="dxa" w:w="1008"/>
            <w:shd w:fill="365F91"/>
            <w:vAlign w:val="center"/>
            <w:tcMar>
              <w:top w:w="80" w:type="dxa"/>
              <w:start w:w="90" w:type="dxa"/>
              <w:bottom w:w="80" w:type="dxa"/>
              <w:end w:w="90" w:type="dxa"/>
            </w:tcMar>
          </w:tcPr>
          <w:p>
            <w:pPr>
              <w:jc w:val="center"/>
            </w:pPr>
            <w:r>
              <w:rPr>
                <w:rFonts w:ascii="Aptos" w:hAnsi="Aptos"/>
                <w:b/>
                <w:color w:val="FFFFFF"/>
                <w:sz w:val="17"/>
              </w:rPr>
              <w:t>Likelihood</w:t>
            </w:r>
          </w:p>
        </w:tc>
        <w:tc>
          <w:tcPr>
            <w:tcW w:type="dxa" w:w="1152"/>
            <w:shd w:fill="365F91"/>
            <w:vAlign w:val="center"/>
            <w:tcMar>
              <w:top w:w="80" w:type="dxa"/>
              <w:start w:w="90" w:type="dxa"/>
              <w:bottom w:w="80" w:type="dxa"/>
              <w:end w:w="90" w:type="dxa"/>
            </w:tcMar>
          </w:tcPr>
          <w:p>
            <w:pPr>
              <w:jc w:val="center"/>
            </w:pPr>
            <w:r>
              <w:rPr>
                <w:rFonts w:ascii="Aptos" w:hAnsi="Aptos"/>
                <w:b/>
                <w:color w:val="FFFFFF"/>
                <w:sz w:val="17"/>
              </w:rPr>
              <w:t>Impact</w:t>
            </w:r>
          </w:p>
        </w:tc>
        <w:tc>
          <w:tcPr>
            <w:tcW w:type="dxa" w:w="2592"/>
            <w:shd w:fill="365F91"/>
            <w:vAlign w:val="center"/>
            <w:tcMar>
              <w:top w:w="80" w:type="dxa"/>
              <w:start w:w="90" w:type="dxa"/>
              <w:bottom w:w="80" w:type="dxa"/>
              <w:end w:w="90" w:type="dxa"/>
            </w:tcMar>
          </w:tcPr>
          <w:p>
            <w:pPr>
              <w:jc w:val="center"/>
            </w:pPr>
            <w:r>
              <w:rPr>
                <w:rFonts w:ascii="Aptos" w:hAnsi="Aptos"/>
                <w:b/>
                <w:color w:val="FFFFFF"/>
                <w:sz w:val="17"/>
              </w:rPr>
              <w:t>Early indicator</w:t>
            </w:r>
          </w:p>
        </w:tc>
        <w:tc>
          <w:tcPr>
            <w:tcW w:type="dxa" w:w="3816"/>
            <w:shd w:fill="365F91"/>
            <w:vAlign w:val="center"/>
            <w:tcMar>
              <w:top w:w="80" w:type="dxa"/>
              <w:start w:w="90" w:type="dxa"/>
              <w:bottom w:w="80" w:type="dxa"/>
              <w:end w:w="90" w:type="dxa"/>
            </w:tcMar>
          </w:tcPr>
          <w:p>
            <w:pPr>
              <w:jc w:val="center"/>
            </w:pPr>
            <w:r>
              <w:rPr>
                <w:rFonts w:ascii="Aptos" w:hAnsi="Aptos"/>
                <w:b/>
                <w:color w:val="FFFFFF"/>
                <w:sz w:val="17"/>
              </w:rPr>
              <w:t>Contingency / SAP planning response</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Nizamabad supplier disruption</w:t>
            </w:r>
          </w:p>
        </w:tc>
        <w:tc>
          <w:tcPr>
            <w:tcW w:type="dxa" w:w="1008"/>
            <w:vAlign w:val="center"/>
            <w:tcMar>
              <w:top w:w="80" w:type="dxa"/>
              <w:start w:w="90" w:type="dxa"/>
              <w:bottom w:w="80" w:type="dxa"/>
              <w:end w:w="90" w:type="dxa"/>
            </w:tcMar>
          </w:tcPr>
          <w:p>
            <w:pPr>
              <w:spacing w:after="0"/>
            </w:pPr>
            <w:r>
              <w:rPr>
                <w:rFonts w:ascii="Aptos" w:hAnsi="Aptos"/>
                <w:color w:val="1F2937"/>
                <w:sz w:val="16"/>
              </w:rPr>
              <w:t>Medium</w:t>
            </w:r>
          </w:p>
        </w:tc>
        <w:tc>
          <w:tcPr>
            <w:tcW w:type="dxa" w:w="1152"/>
            <w:vAlign w:val="center"/>
            <w:tcMar>
              <w:top w:w="80" w:type="dxa"/>
              <w:start w:w="90" w:type="dxa"/>
              <w:bottom w:w="80" w:type="dxa"/>
              <w:end w:w="90" w:type="dxa"/>
            </w:tcMar>
          </w:tcPr>
          <w:p>
            <w:pPr>
              <w:spacing w:after="0"/>
            </w:pPr>
            <w:r>
              <w:rPr>
                <w:rFonts w:ascii="Aptos" w:hAnsi="Aptos"/>
                <w:color w:val="1F2937"/>
                <w:sz w:val="16"/>
              </w:rPr>
              <w:t>High</w:t>
            </w:r>
          </w:p>
        </w:tc>
        <w:tc>
          <w:tcPr>
            <w:tcW w:type="dxa" w:w="2592"/>
            <w:vAlign w:val="center"/>
            <w:tcMar>
              <w:top w:w="80" w:type="dxa"/>
              <w:start w:w="90" w:type="dxa"/>
              <w:bottom w:w="80" w:type="dxa"/>
              <w:end w:w="90" w:type="dxa"/>
            </w:tcMar>
          </w:tcPr>
          <w:p>
            <w:pPr>
              <w:spacing w:after="0"/>
            </w:pPr>
            <w:r>
              <w:rPr>
                <w:rFonts w:ascii="Aptos" w:hAnsi="Aptos"/>
                <w:color w:val="1F2937"/>
                <w:sz w:val="16"/>
              </w:rPr>
              <w:t>Capacity confirmation falls below 70% share; missed ASN/PO dates</w:t>
            </w:r>
          </w:p>
        </w:tc>
        <w:tc>
          <w:tcPr>
            <w:tcW w:type="dxa" w:w="3816"/>
            <w:vAlign w:val="center"/>
            <w:tcMar>
              <w:top w:w="80" w:type="dxa"/>
              <w:start w:w="90" w:type="dxa"/>
              <w:bottom w:w="80" w:type="dxa"/>
              <w:end w:w="90" w:type="dxa"/>
            </w:tcMar>
          </w:tcPr>
          <w:p>
            <w:pPr>
              <w:spacing w:after="0"/>
            </w:pPr>
            <w:r>
              <w:rPr>
                <w:rFonts w:ascii="Aptos" w:hAnsi="Aptos"/>
                <w:color w:val="1F2937"/>
                <w:sz w:val="16"/>
              </w:rPr>
              <w:t>Increase Nagpur quota, use optimizer scenario, activate spot source if approved, prioritize production by service impact</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Medchal plant breakdown</w:t>
            </w:r>
          </w:p>
        </w:tc>
        <w:tc>
          <w:tcPr>
            <w:tcW w:type="dxa" w:w="1008"/>
            <w:vAlign w:val="center"/>
            <w:tcMar>
              <w:top w:w="80" w:type="dxa"/>
              <w:start w:w="90" w:type="dxa"/>
              <w:bottom w:w="80" w:type="dxa"/>
              <w:end w:w="90" w:type="dxa"/>
            </w:tcMar>
          </w:tcPr>
          <w:p>
            <w:pPr>
              <w:spacing w:after="0"/>
            </w:pPr>
            <w:r>
              <w:rPr>
                <w:rFonts w:ascii="Aptos" w:hAnsi="Aptos"/>
                <w:color w:val="1F2937"/>
                <w:sz w:val="16"/>
              </w:rPr>
              <w:t>Low-Medium</w:t>
            </w:r>
          </w:p>
        </w:tc>
        <w:tc>
          <w:tcPr>
            <w:tcW w:type="dxa" w:w="1152"/>
            <w:vAlign w:val="center"/>
            <w:tcMar>
              <w:top w:w="80" w:type="dxa"/>
              <w:start w:w="90" w:type="dxa"/>
              <w:bottom w:w="80" w:type="dxa"/>
              <w:end w:w="90" w:type="dxa"/>
            </w:tcMar>
          </w:tcPr>
          <w:p>
            <w:pPr>
              <w:spacing w:after="0"/>
            </w:pPr>
            <w:r>
              <w:rPr>
                <w:rFonts w:ascii="Aptos" w:hAnsi="Aptos"/>
                <w:color w:val="1F2937"/>
                <w:sz w:val="16"/>
              </w:rPr>
              <w:t>Very High</w:t>
            </w:r>
          </w:p>
        </w:tc>
        <w:tc>
          <w:tcPr>
            <w:tcW w:type="dxa" w:w="2592"/>
            <w:vAlign w:val="center"/>
            <w:tcMar>
              <w:top w:w="80" w:type="dxa"/>
              <w:start w:w="90" w:type="dxa"/>
              <w:bottom w:w="80" w:type="dxa"/>
              <w:end w:w="90" w:type="dxa"/>
            </w:tcMar>
          </w:tcPr>
          <w:p>
            <w:pPr>
              <w:spacing w:after="0"/>
            </w:pPr>
            <w:r>
              <w:rPr>
                <w:rFonts w:ascii="Aptos" w:hAnsi="Aptos"/>
                <w:color w:val="1F2937"/>
                <w:sz w:val="16"/>
              </w:rPr>
              <w:t>Resource downtime, utilization &gt;100%, maintenance alert</w:t>
            </w:r>
          </w:p>
        </w:tc>
        <w:tc>
          <w:tcPr>
            <w:tcW w:type="dxa" w:w="3816"/>
            <w:vAlign w:val="center"/>
            <w:tcMar>
              <w:top w:w="80" w:type="dxa"/>
              <w:start w:w="90" w:type="dxa"/>
              <w:bottom w:w="80" w:type="dxa"/>
              <w:end w:w="90" w:type="dxa"/>
            </w:tcMar>
          </w:tcPr>
          <w:p>
            <w:pPr>
              <w:spacing w:after="0"/>
            </w:pPr>
            <w:r>
              <w:rPr>
                <w:rFonts w:ascii="Aptos" w:hAnsi="Aptos"/>
                <w:color w:val="1F2937"/>
                <w:sz w:val="16"/>
              </w:rPr>
              <w:t>Activate Sangareddy contract packer up to 40 t/week; use recovery shifts; protect high-priority markets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Demand surge / promotion</w:t>
            </w:r>
          </w:p>
        </w:tc>
        <w:tc>
          <w:tcPr>
            <w:tcW w:type="dxa" w:w="1008"/>
            <w:vAlign w:val="center"/>
            <w:tcMar>
              <w:top w:w="80" w:type="dxa"/>
              <w:start w:w="90" w:type="dxa"/>
              <w:bottom w:w="80" w:type="dxa"/>
              <w:end w:w="90" w:type="dxa"/>
            </w:tcMar>
          </w:tcPr>
          <w:p>
            <w:pPr>
              <w:spacing w:after="0"/>
            </w:pPr>
            <w:r>
              <w:rPr>
                <w:rFonts w:ascii="Aptos" w:hAnsi="Aptos"/>
                <w:color w:val="1F2937"/>
                <w:sz w:val="16"/>
              </w:rPr>
              <w:t>High seasonal</w:t>
            </w:r>
          </w:p>
        </w:tc>
        <w:tc>
          <w:tcPr>
            <w:tcW w:type="dxa" w:w="1152"/>
            <w:vAlign w:val="center"/>
            <w:tcMar>
              <w:top w:w="80" w:type="dxa"/>
              <w:start w:w="90" w:type="dxa"/>
              <w:bottom w:w="80" w:type="dxa"/>
              <w:end w:w="90" w:type="dxa"/>
            </w:tcMar>
          </w:tcPr>
          <w:p>
            <w:pPr>
              <w:spacing w:after="0"/>
            </w:pPr>
            <w:r>
              <w:rPr>
                <w:rFonts w:ascii="Aptos" w:hAnsi="Aptos"/>
                <w:color w:val="1F2937"/>
                <w:sz w:val="16"/>
              </w:rPr>
              <w:t>High</w:t>
            </w:r>
          </w:p>
        </w:tc>
        <w:tc>
          <w:tcPr>
            <w:tcW w:type="dxa" w:w="2592"/>
            <w:vAlign w:val="center"/>
            <w:tcMar>
              <w:top w:w="80" w:type="dxa"/>
              <w:start w:w="90" w:type="dxa"/>
              <w:bottom w:w="80" w:type="dxa"/>
              <w:end w:w="90" w:type="dxa"/>
            </w:tcMar>
          </w:tcPr>
          <w:p>
            <w:pPr>
              <w:spacing w:after="0"/>
            </w:pPr>
            <w:r>
              <w:rPr>
                <w:rFonts w:ascii="Aptos" w:hAnsi="Aptos"/>
                <w:color w:val="1F2937"/>
                <w:sz w:val="16"/>
              </w:rPr>
              <w:t>Forecast error, orders exceed baseline by &gt;15%</w:t>
            </w:r>
          </w:p>
        </w:tc>
        <w:tc>
          <w:tcPr>
            <w:tcW w:type="dxa" w:w="3816"/>
            <w:vAlign w:val="center"/>
            <w:tcMar>
              <w:top w:w="80" w:type="dxa"/>
              <w:start w:w="90" w:type="dxa"/>
              <w:bottom w:w="80" w:type="dxa"/>
              <w:end w:w="90" w:type="dxa"/>
            </w:tcMar>
          </w:tcPr>
          <w:p>
            <w:pPr>
              <w:spacing w:after="0"/>
            </w:pPr>
            <w:r>
              <w:rPr>
                <w:rFonts w:ascii="Aptos" w:hAnsi="Aptos"/>
                <w:color w:val="1F2937"/>
                <w:sz w:val="16"/>
              </w:rPr>
              <w:t>Run scenario with uplift, consume safety stock, add capacity, expedite only where service penalty justifies cost</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Transport disruption</w:t>
            </w:r>
          </w:p>
        </w:tc>
        <w:tc>
          <w:tcPr>
            <w:tcW w:type="dxa" w:w="1008"/>
            <w:vAlign w:val="center"/>
            <w:tcMar>
              <w:top w:w="80" w:type="dxa"/>
              <w:start w:w="90" w:type="dxa"/>
              <w:bottom w:w="80" w:type="dxa"/>
              <w:end w:w="90" w:type="dxa"/>
            </w:tcMar>
          </w:tcPr>
          <w:p>
            <w:pPr>
              <w:spacing w:after="0"/>
            </w:pPr>
            <w:r>
              <w:rPr>
                <w:rFonts w:ascii="Aptos" w:hAnsi="Aptos"/>
                <w:color w:val="1F2937"/>
                <w:sz w:val="16"/>
              </w:rPr>
              <w:t>Medium</w:t>
            </w:r>
          </w:p>
        </w:tc>
        <w:tc>
          <w:tcPr>
            <w:tcW w:type="dxa" w:w="1152"/>
            <w:vAlign w:val="center"/>
            <w:tcMar>
              <w:top w:w="80" w:type="dxa"/>
              <w:start w:w="90" w:type="dxa"/>
              <w:bottom w:w="80" w:type="dxa"/>
              <w:end w:w="90" w:type="dxa"/>
            </w:tcMar>
          </w:tcPr>
          <w:p>
            <w:pPr>
              <w:spacing w:after="0"/>
            </w:pPr>
            <w:r>
              <w:rPr>
                <w:rFonts w:ascii="Aptos" w:hAnsi="Aptos"/>
                <w:color w:val="1F2937"/>
                <w:sz w:val="16"/>
              </w:rPr>
              <w:t>Medium-High</w:t>
            </w:r>
          </w:p>
        </w:tc>
        <w:tc>
          <w:tcPr>
            <w:tcW w:type="dxa" w:w="2592"/>
            <w:vAlign w:val="center"/>
            <w:tcMar>
              <w:top w:w="80" w:type="dxa"/>
              <w:start w:w="90" w:type="dxa"/>
              <w:bottom w:w="80" w:type="dxa"/>
              <w:end w:w="90" w:type="dxa"/>
            </w:tcMar>
          </w:tcPr>
          <w:p>
            <w:pPr>
              <w:spacing w:after="0"/>
            </w:pPr>
            <w:r>
              <w:rPr>
                <w:rFonts w:ascii="Aptos" w:hAnsi="Aptos"/>
                <w:color w:val="1F2937"/>
                <w:sz w:val="16"/>
              </w:rPr>
              <w:t>Carrier rejection, route closure, transit-time variance</w:t>
            </w:r>
          </w:p>
        </w:tc>
        <w:tc>
          <w:tcPr>
            <w:tcW w:type="dxa" w:w="3816"/>
            <w:vAlign w:val="center"/>
            <w:tcMar>
              <w:top w:w="80" w:type="dxa"/>
              <w:start w:w="90" w:type="dxa"/>
              <w:bottom w:w="80" w:type="dxa"/>
              <w:end w:w="90" w:type="dxa"/>
            </w:tcMar>
          </w:tcPr>
          <w:p>
            <w:pPr>
              <w:spacing w:after="0"/>
            </w:pPr>
            <w:r>
              <w:rPr>
                <w:rFonts w:ascii="Aptos" w:hAnsi="Aptos"/>
                <w:color w:val="1F2937"/>
                <w:sz w:val="16"/>
              </w:rPr>
              <w:t>Use alternate carrier/route, cross-DC stock transfer, prioritize full truckloads and critical orders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Packaging shortage</w:t>
            </w:r>
          </w:p>
        </w:tc>
        <w:tc>
          <w:tcPr>
            <w:tcW w:type="dxa" w:w="1008"/>
            <w:vAlign w:val="center"/>
            <w:tcMar>
              <w:top w:w="80" w:type="dxa"/>
              <w:start w:w="90" w:type="dxa"/>
              <w:bottom w:w="80" w:type="dxa"/>
              <w:end w:w="90" w:type="dxa"/>
            </w:tcMar>
          </w:tcPr>
          <w:p>
            <w:pPr>
              <w:spacing w:after="0"/>
            </w:pPr>
            <w:r>
              <w:rPr>
                <w:rFonts w:ascii="Aptos" w:hAnsi="Aptos"/>
                <w:color w:val="1F2937"/>
                <w:sz w:val="16"/>
              </w:rPr>
              <w:t>Medium</w:t>
            </w:r>
          </w:p>
        </w:tc>
        <w:tc>
          <w:tcPr>
            <w:tcW w:type="dxa" w:w="1152"/>
            <w:vAlign w:val="center"/>
            <w:tcMar>
              <w:top w:w="80" w:type="dxa"/>
              <w:start w:w="90" w:type="dxa"/>
              <w:bottom w:w="80" w:type="dxa"/>
              <w:end w:w="90" w:type="dxa"/>
            </w:tcMar>
          </w:tcPr>
          <w:p>
            <w:pPr>
              <w:spacing w:after="0"/>
            </w:pPr>
            <w:r>
              <w:rPr>
                <w:rFonts w:ascii="Aptos" w:hAnsi="Aptos"/>
                <w:color w:val="1F2937"/>
                <w:sz w:val="16"/>
              </w:rPr>
              <w:t>High</w:t>
            </w:r>
          </w:p>
        </w:tc>
        <w:tc>
          <w:tcPr>
            <w:tcW w:type="dxa" w:w="2592"/>
            <w:vAlign w:val="center"/>
            <w:tcMar>
              <w:top w:w="80" w:type="dxa"/>
              <w:start w:w="90" w:type="dxa"/>
              <w:bottom w:w="80" w:type="dxa"/>
              <w:end w:w="90" w:type="dxa"/>
            </w:tcMar>
          </w:tcPr>
          <w:p>
            <w:pPr>
              <w:spacing w:after="0"/>
            </w:pPr>
            <w:r>
              <w:rPr>
                <w:rFonts w:ascii="Aptos" w:hAnsi="Aptos"/>
                <w:color w:val="1F2937"/>
                <w:sz w:val="16"/>
              </w:rPr>
              <w:t>Packaging days-of-cover &lt;10 days</w:t>
            </w:r>
          </w:p>
        </w:tc>
        <w:tc>
          <w:tcPr>
            <w:tcW w:type="dxa" w:w="3816"/>
            <w:vAlign w:val="center"/>
            <w:tcMar>
              <w:top w:w="80" w:type="dxa"/>
              <w:start w:w="90" w:type="dxa"/>
              <w:bottom w:w="80" w:type="dxa"/>
              <w:end w:w="90" w:type="dxa"/>
            </w:tcMar>
          </w:tcPr>
          <w:p>
            <w:pPr>
              <w:spacing w:after="0"/>
            </w:pPr>
            <w:r>
              <w:rPr>
                <w:rFonts w:ascii="Aptos" w:hAnsi="Aptos"/>
                <w:color w:val="1F2937"/>
                <w:sz w:val="16"/>
              </w:rPr>
              <w:t>Increase packaging safety cover, dual-source packaging, prioritize common pack sizes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Excess inventory / slow demand</w:t>
            </w:r>
          </w:p>
        </w:tc>
        <w:tc>
          <w:tcPr>
            <w:tcW w:type="dxa" w:w="1008"/>
            <w:vAlign w:val="center"/>
            <w:tcMar>
              <w:top w:w="80" w:type="dxa"/>
              <w:start w:w="90" w:type="dxa"/>
              <w:bottom w:w="80" w:type="dxa"/>
              <w:end w:w="90" w:type="dxa"/>
            </w:tcMar>
          </w:tcPr>
          <w:p>
            <w:pPr>
              <w:spacing w:after="0"/>
            </w:pPr>
            <w:r>
              <w:rPr>
                <w:rFonts w:ascii="Aptos" w:hAnsi="Aptos"/>
                <w:color w:val="1F2937"/>
                <w:sz w:val="16"/>
              </w:rPr>
              <w:t>Medium</w:t>
            </w:r>
          </w:p>
        </w:tc>
        <w:tc>
          <w:tcPr>
            <w:tcW w:type="dxa" w:w="1152"/>
            <w:vAlign w:val="center"/>
            <w:tcMar>
              <w:top w:w="80" w:type="dxa"/>
              <w:start w:w="90" w:type="dxa"/>
              <w:bottom w:w="80" w:type="dxa"/>
              <w:end w:w="90" w:type="dxa"/>
            </w:tcMar>
          </w:tcPr>
          <w:p>
            <w:pPr>
              <w:spacing w:after="0"/>
            </w:pPr>
            <w:r>
              <w:rPr>
                <w:rFonts w:ascii="Aptos" w:hAnsi="Aptos"/>
                <w:color w:val="1F2937"/>
                <w:sz w:val="16"/>
              </w:rPr>
              <w:t>Medium</w:t>
            </w:r>
          </w:p>
        </w:tc>
        <w:tc>
          <w:tcPr>
            <w:tcW w:type="dxa" w:w="2592"/>
            <w:vAlign w:val="center"/>
            <w:tcMar>
              <w:top w:w="80" w:type="dxa"/>
              <w:start w:w="90" w:type="dxa"/>
              <w:bottom w:w="80" w:type="dxa"/>
              <w:end w:w="90" w:type="dxa"/>
            </w:tcMar>
          </w:tcPr>
          <w:p>
            <w:pPr>
              <w:spacing w:after="0"/>
            </w:pPr>
            <w:r>
              <w:rPr>
                <w:rFonts w:ascii="Aptos" w:hAnsi="Aptos"/>
                <w:color w:val="1F2937"/>
                <w:sz w:val="16"/>
              </w:rPr>
              <w:t>Projected DOS &gt;14 days or aging stock rises</w:t>
            </w:r>
          </w:p>
        </w:tc>
        <w:tc>
          <w:tcPr>
            <w:tcW w:type="dxa" w:w="3816"/>
            <w:vAlign w:val="center"/>
            <w:tcMar>
              <w:top w:w="80" w:type="dxa"/>
              <w:start w:w="90" w:type="dxa"/>
              <w:bottom w:w="80" w:type="dxa"/>
              <w:end w:w="90" w:type="dxa"/>
            </w:tcMar>
          </w:tcPr>
          <w:p>
            <w:pPr>
              <w:spacing w:after="0"/>
            </w:pPr>
            <w:r>
              <w:rPr>
                <w:rFonts w:ascii="Aptos" w:hAnsi="Aptos"/>
                <w:color w:val="1F2937"/>
                <w:sz w:val="16"/>
              </w:rPr>
              <w:t>Reduce production, rebalance between DCs, lower future receipts, review forecast bias</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Master-data error</w:t>
            </w:r>
          </w:p>
        </w:tc>
        <w:tc>
          <w:tcPr>
            <w:tcW w:type="dxa" w:w="1008"/>
            <w:vAlign w:val="center"/>
            <w:tcMar>
              <w:top w:w="80" w:type="dxa"/>
              <w:start w:w="90" w:type="dxa"/>
              <w:bottom w:w="80" w:type="dxa"/>
              <w:end w:w="90" w:type="dxa"/>
            </w:tcMar>
          </w:tcPr>
          <w:p>
            <w:pPr>
              <w:spacing w:after="0"/>
            </w:pPr>
            <w:r>
              <w:rPr>
                <w:rFonts w:ascii="Aptos" w:hAnsi="Aptos"/>
                <w:color w:val="1F2937"/>
                <w:sz w:val="16"/>
              </w:rPr>
              <w:t>Medium</w:t>
            </w:r>
          </w:p>
        </w:tc>
        <w:tc>
          <w:tcPr>
            <w:tcW w:type="dxa" w:w="1152"/>
            <w:vAlign w:val="center"/>
            <w:tcMar>
              <w:top w:w="80" w:type="dxa"/>
              <w:start w:w="90" w:type="dxa"/>
              <w:bottom w:w="80" w:type="dxa"/>
              <w:end w:w="90" w:type="dxa"/>
            </w:tcMar>
          </w:tcPr>
          <w:p>
            <w:pPr>
              <w:spacing w:after="0"/>
            </w:pPr>
            <w:r>
              <w:rPr>
                <w:rFonts w:ascii="Aptos" w:hAnsi="Aptos"/>
                <w:color w:val="1F2937"/>
                <w:sz w:val="16"/>
              </w:rPr>
              <w:t>High</w:t>
            </w:r>
          </w:p>
        </w:tc>
        <w:tc>
          <w:tcPr>
            <w:tcW w:type="dxa" w:w="2592"/>
            <w:vAlign w:val="center"/>
            <w:tcMar>
              <w:top w:w="80" w:type="dxa"/>
              <w:start w:w="90" w:type="dxa"/>
              <w:bottom w:w="80" w:type="dxa"/>
              <w:end w:w="90" w:type="dxa"/>
            </w:tcMar>
          </w:tcPr>
          <w:p>
            <w:pPr>
              <w:spacing w:after="0"/>
            </w:pPr>
            <w:r>
              <w:rPr>
                <w:rFonts w:ascii="Aptos" w:hAnsi="Aptos"/>
                <w:color w:val="1F2937"/>
                <w:sz w:val="16"/>
              </w:rPr>
              <w:t>Infeasible/unexpected plan, missing source, invalid lane</w:t>
            </w:r>
          </w:p>
        </w:tc>
        <w:tc>
          <w:tcPr>
            <w:tcW w:type="dxa" w:w="3816"/>
            <w:vAlign w:val="center"/>
            <w:tcMar>
              <w:top w:w="80" w:type="dxa"/>
              <w:start w:w="90" w:type="dxa"/>
              <w:bottom w:w="80" w:type="dxa"/>
              <w:end w:w="90" w:type="dxa"/>
            </w:tcMar>
          </w:tcPr>
          <w:p>
            <w:pPr>
              <w:spacing w:after="0"/>
            </w:pPr>
            <w:r>
              <w:rPr>
                <w:rFonts w:ascii="Aptos" w:hAnsi="Aptos"/>
                <w:color w:val="1F2937"/>
                <w:sz w:val="16"/>
              </w:rPr>
              <w:t>Run model consistency check, use change governance, verify CIF/master-data queues before replanning</w:t>
            </w:r>
          </w:p>
        </w:tc>
      </w:tr>
      <w:tr>
        <w:trPr>
          <w:cantSplit/>
        </w:trPr>
        <w:tc>
          <w:tcPr>
            <w:tcW w:type="dxa" w:w="1800"/>
            <w:vAlign w:val="center"/>
            <w:tcMar>
              <w:top w:w="80" w:type="dxa"/>
              <w:start w:w="90" w:type="dxa"/>
              <w:bottom w:w="80" w:type="dxa"/>
              <w:end w:w="90" w:type="dxa"/>
            </w:tcMar>
          </w:tcPr>
          <w:p>
            <w:pPr>
              <w:spacing w:after="0"/>
            </w:pPr>
            <w:r>
              <w:rPr>
                <w:rFonts w:ascii="Aptos" w:hAnsi="Aptos"/>
                <w:color w:val="1F2937"/>
                <w:sz w:val="16"/>
              </w:rPr>
              <w:t>CIF/interface disruption</w:t>
            </w:r>
          </w:p>
        </w:tc>
        <w:tc>
          <w:tcPr>
            <w:tcW w:type="dxa" w:w="1008"/>
            <w:vAlign w:val="center"/>
            <w:tcMar>
              <w:top w:w="80" w:type="dxa"/>
              <w:start w:w="90" w:type="dxa"/>
              <w:bottom w:w="80" w:type="dxa"/>
              <w:end w:w="90" w:type="dxa"/>
            </w:tcMar>
          </w:tcPr>
          <w:p>
            <w:pPr>
              <w:spacing w:after="0"/>
            </w:pPr>
            <w:r>
              <w:rPr>
                <w:rFonts w:ascii="Aptos" w:hAnsi="Aptos"/>
                <w:color w:val="1F2937"/>
                <w:sz w:val="16"/>
              </w:rPr>
              <w:t>Low-Medium</w:t>
            </w:r>
          </w:p>
        </w:tc>
        <w:tc>
          <w:tcPr>
            <w:tcW w:type="dxa" w:w="1152"/>
            <w:vAlign w:val="center"/>
            <w:tcMar>
              <w:top w:w="80" w:type="dxa"/>
              <w:start w:w="90" w:type="dxa"/>
              <w:bottom w:w="80" w:type="dxa"/>
              <w:end w:w="90" w:type="dxa"/>
            </w:tcMar>
          </w:tcPr>
          <w:p>
            <w:pPr>
              <w:spacing w:after="0"/>
            </w:pPr>
            <w:r>
              <w:rPr>
                <w:rFonts w:ascii="Aptos" w:hAnsi="Aptos"/>
                <w:color w:val="1F2937"/>
                <w:sz w:val="16"/>
              </w:rPr>
              <w:t>High</w:t>
            </w:r>
          </w:p>
        </w:tc>
        <w:tc>
          <w:tcPr>
            <w:tcW w:type="dxa" w:w="2592"/>
            <w:vAlign w:val="center"/>
            <w:tcMar>
              <w:top w:w="80" w:type="dxa"/>
              <w:start w:w="90" w:type="dxa"/>
              <w:bottom w:w="80" w:type="dxa"/>
              <w:end w:w="90" w:type="dxa"/>
            </w:tcMar>
          </w:tcPr>
          <w:p>
            <w:pPr>
              <w:spacing w:after="0"/>
            </w:pPr>
            <w:r>
              <w:rPr>
                <w:rFonts w:ascii="Aptos" w:hAnsi="Aptos"/>
                <w:color w:val="1F2937"/>
                <w:sz w:val="16"/>
              </w:rPr>
              <w:t>Data latency, queue backlog, stale stock/orders</w:t>
            </w:r>
          </w:p>
        </w:tc>
        <w:tc>
          <w:tcPr>
            <w:tcW w:type="dxa" w:w="3816"/>
            <w:vAlign w:val="center"/>
            <w:tcMar>
              <w:top w:w="80" w:type="dxa"/>
              <w:start w:w="90" w:type="dxa"/>
              <w:bottom w:w="80" w:type="dxa"/>
              <w:end w:w="90" w:type="dxa"/>
            </w:tcMar>
          </w:tcPr>
          <w:p>
            <w:pPr>
              <w:spacing w:after="0"/>
            </w:pPr>
            <w:r>
              <w:rPr>
                <w:rFonts w:ascii="Aptos" w:hAnsi="Aptos"/>
                <w:color w:val="1F2937"/>
                <w:sz w:val="16"/>
              </w:rPr>
              <w:t>Monitor integration queues, freeze manual changes, reconcile data, re-run plan after synchronization</w:t>
            </w:r>
          </w:p>
        </w:tc>
      </w:tr>
    </w:tbl>
    <w:p>
      <w:pPr>
        <w:spacing w:after="20"/>
      </w:pPr>
    </w:p>
    <w:p>
      <w:pPr>
        <w:pStyle w:val="Heading2"/>
        <w:keepNext/>
        <w:keepLines/>
      </w:pPr>
      <w:r>
        <w:rPr>
          <w:rFonts w:ascii="Aptos" w:hAnsi="Aptos"/>
          <w:b/>
          <w:color w:val="365F91"/>
          <w:sz w:val="24"/>
        </w:rPr>
        <w:t>7.2 Scenario tests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016"/>
            <w:shd w:fill="365F91"/>
            <w:vAlign w:val="center"/>
            <w:tcMar>
              <w:top w:w="80" w:type="dxa"/>
              <w:start w:w="90" w:type="dxa"/>
              <w:bottom w:w="80" w:type="dxa"/>
              <w:end w:w="90" w:type="dxa"/>
            </w:tcMar>
          </w:tcPr>
          <w:p>
            <w:pPr>
              <w:jc w:val="center"/>
            </w:pPr>
            <w:r>
              <w:rPr>
                <w:rFonts w:ascii="Aptos" w:hAnsi="Aptos"/>
                <w:b/>
                <w:color w:val="FFFFFF"/>
                <w:sz w:val="17"/>
              </w:rPr>
              <w:t>Scenario</w:t>
            </w:r>
          </w:p>
        </w:tc>
        <w:tc>
          <w:tcPr>
            <w:tcW w:type="dxa" w:w="3096"/>
            <w:shd w:fill="365F91"/>
            <w:vAlign w:val="center"/>
            <w:tcMar>
              <w:top w:w="80" w:type="dxa"/>
              <w:start w:w="90" w:type="dxa"/>
              <w:bottom w:w="80" w:type="dxa"/>
              <w:end w:w="90" w:type="dxa"/>
            </w:tcMar>
          </w:tcPr>
          <w:p>
            <w:pPr>
              <w:jc w:val="center"/>
            </w:pPr>
            <w:r>
              <w:rPr>
                <w:rFonts w:ascii="Aptos" w:hAnsi="Aptos"/>
                <w:b/>
                <w:color w:val="FFFFFF"/>
                <w:sz w:val="17"/>
              </w:rPr>
              <w:t>Change applied in simulation</w:t>
            </w:r>
          </w:p>
        </w:tc>
        <w:tc>
          <w:tcPr>
            <w:tcW w:type="dxa" w:w="3096"/>
            <w:shd w:fill="365F91"/>
            <w:vAlign w:val="center"/>
            <w:tcMar>
              <w:top w:w="80" w:type="dxa"/>
              <w:start w:w="90" w:type="dxa"/>
              <w:bottom w:w="80" w:type="dxa"/>
              <w:end w:w="90" w:type="dxa"/>
            </w:tcMar>
          </w:tcPr>
          <w:p>
            <w:pPr>
              <w:jc w:val="center"/>
            </w:pPr>
            <w:r>
              <w:rPr>
                <w:rFonts w:ascii="Aptos" w:hAnsi="Aptos"/>
                <w:b/>
                <w:color w:val="FFFFFF"/>
                <w:sz w:val="17"/>
              </w:rPr>
              <w:t>Expected planner action</w:t>
            </w:r>
          </w:p>
        </w:tc>
        <w:tc>
          <w:tcPr>
            <w:tcW w:type="dxa" w:w="2376"/>
            <w:shd w:fill="365F91"/>
            <w:vAlign w:val="center"/>
            <w:tcMar>
              <w:top w:w="80" w:type="dxa"/>
              <w:start w:w="90" w:type="dxa"/>
              <w:bottom w:w="80" w:type="dxa"/>
              <w:end w:w="90" w:type="dxa"/>
            </w:tcMar>
          </w:tcPr>
          <w:p>
            <w:pPr>
              <w:jc w:val="center"/>
            </w:pPr>
            <w:r>
              <w:rPr>
                <w:rFonts w:ascii="Aptos" w:hAnsi="Aptos"/>
                <w:b/>
                <w:color w:val="FFFFFF"/>
                <w:sz w:val="17"/>
              </w:rPr>
              <w:t>Success criterion</w:t>
            </w:r>
          </w:p>
        </w:tc>
      </w:tr>
      <w:tr>
        <w:trPr>
          <w:cantSplit/>
        </w:trPr>
        <w:tc>
          <w:tcPr>
            <w:tcW w:type="dxa" w:w="2016"/>
            <w:vAlign w:val="center"/>
            <w:tcMar>
              <w:top w:w="80" w:type="dxa"/>
              <w:start w:w="90" w:type="dxa"/>
              <w:bottom w:w="80" w:type="dxa"/>
              <w:end w:w="90" w:type="dxa"/>
            </w:tcMar>
          </w:tcPr>
          <w:p>
            <w:pPr>
              <w:spacing w:after="0"/>
            </w:pPr>
            <w:r>
              <w:rPr>
                <w:rFonts w:ascii="Aptos" w:hAnsi="Aptos"/>
                <w:color w:val="1F2937"/>
                <w:sz w:val="17"/>
              </w:rPr>
              <w:t>S1 unavailable for 2 weeks</w:t>
            </w:r>
          </w:p>
        </w:tc>
        <w:tc>
          <w:tcPr>
            <w:tcW w:type="dxa" w:w="3096"/>
            <w:vAlign w:val="center"/>
            <w:tcMar>
              <w:top w:w="80" w:type="dxa"/>
              <w:start w:w="90" w:type="dxa"/>
              <w:bottom w:w="80" w:type="dxa"/>
              <w:end w:w="90" w:type="dxa"/>
            </w:tcMar>
          </w:tcPr>
          <w:p>
            <w:pPr>
              <w:spacing w:after="0"/>
            </w:pPr>
            <w:r>
              <w:rPr>
                <w:rFonts w:ascii="Aptos" w:hAnsi="Aptos"/>
                <w:color w:val="1F2937"/>
                <w:sz w:val="17"/>
              </w:rPr>
              <w:t>Set S1 capacity to zero / invalidate lane or source for scenario period</w:t>
            </w:r>
          </w:p>
        </w:tc>
        <w:tc>
          <w:tcPr>
            <w:tcW w:type="dxa" w:w="3096"/>
            <w:vAlign w:val="center"/>
            <w:tcMar>
              <w:top w:w="80" w:type="dxa"/>
              <w:start w:w="90" w:type="dxa"/>
              <w:bottom w:w="80" w:type="dxa"/>
              <w:end w:w="90" w:type="dxa"/>
            </w:tcMar>
          </w:tcPr>
          <w:p>
            <w:pPr>
              <w:spacing w:after="0"/>
            </w:pPr>
            <w:r>
              <w:rPr>
                <w:rFonts w:ascii="Aptos" w:hAnsi="Aptos"/>
                <w:color w:val="1F2937"/>
                <w:sz w:val="17"/>
              </w:rPr>
              <w:t>Shift supply to S2, review available capacity and service impacts</w:t>
            </w:r>
          </w:p>
        </w:tc>
        <w:tc>
          <w:tcPr>
            <w:tcW w:type="dxa" w:w="2376"/>
            <w:vAlign w:val="center"/>
            <w:tcMar>
              <w:top w:w="80" w:type="dxa"/>
              <w:start w:w="90" w:type="dxa"/>
              <w:bottom w:w="80" w:type="dxa"/>
              <w:end w:w="90" w:type="dxa"/>
            </w:tcMar>
          </w:tcPr>
          <w:p>
            <w:pPr>
              <w:spacing w:after="0"/>
            </w:pPr>
            <w:r>
              <w:rPr>
                <w:rFonts w:ascii="Aptos" w:hAnsi="Aptos"/>
                <w:color w:val="1F2937"/>
                <w:sz w:val="17"/>
              </w:rPr>
              <w:t>No stockout in D1/D2; service remains &gt;=95% overall</w:t>
            </w:r>
          </w:p>
        </w:tc>
      </w:tr>
      <w:tr>
        <w:trPr>
          <w:cantSplit/>
        </w:trPr>
        <w:tc>
          <w:tcPr>
            <w:tcW w:type="dxa" w:w="2016"/>
            <w:vAlign w:val="center"/>
            <w:tcMar>
              <w:top w:w="80" w:type="dxa"/>
              <w:start w:w="90" w:type="dxa"/>
              <w:bottom w:w="80" w:type="dxa"/>
              <w:end w:w="90" w:type="dxa"/>
            </w:tcMar>
          </w:tcPr>
          <w:p>
            <w:pPr>
              <w:spacing w:after="0"/>
            </w:pPr>
            <w:r>
              <w:rPr>
                <w:rFonts w:ascii="Aptos" w:hAnsi="Aptos"/>
                <w:color w:val="1F2937"/>
                <w:sz w:val="17"/>
              </w:rPr>
              <w:t>20% demand spike</w:t>
            </w:r>
          </w:p>
        </w:tc>
        <w:tc>
          <w:tcPr>
            <w:tcW w:type="dxa" w:w="3096"/>
            <w:vAlign w:val="center"/>
            <w:tcMar>
              <w:top w:w="80" w:type="dxa"/>
              <w:start w:w="90" w:type="dxa"/>
              <w:bottom w:w="80" w:type="dxa"/>
              <w:end w:w="90" w:type="dxa"/>
            </w:tcMar>
          </w:tcPr>
          <w:p>
            <w:pPr>
              <w:spacing w:after="0"/>
            </w:pPr>
            <w:r>
              <w:rPr>
                <w:rFonts w:ascii="Aptos" w:hAnsi="Aptos"/>
                <w:color w:val="1F2937"/>
                <w:sz w:val="17"/>
              </w:rPr>
              <w:t>Increase weekly demand from 145 t to 174 t</w:t>
            </w:r>
          </w:p>
        </w:tc>
        <w:tc>
          <w:tcPr>
            <w:tcW w:type="dxa" w:w="3096"/>
            <w:vAlign w:val="center"/>
            <w:tcMar>
              <w:top w:w="80" w:type="dxa"/>
              <w:start w:w="90" w:type="dxa"/>
              <w:bottom w:w="80" w:type="dxa"/>
              <w:end w:w="90" w:type="dxa"/>
            </w:tcMar>
          </w:tcPr>
          <w:p>
            <w:pPr>
              <w:spacing w:after="0"/>
            </w:pPr>
            <w:r>
              <w:rPr>
                <w:rFonts w:ascii="Aptos" w:hAnsi="Aptos"/>
                <w:color w:val="1F2937"/>
                <w:sz w:val="17"/>
              </w:rPr>
              <w:t>Use plant headroom, reduce noncritical stock build, evaluate overtime/contract packer</w:t>
            </w:r>
          </w:p>
        </w:tc>
        <w:tc>
          <w:tcPr>
            <w:tcW w:type="dxa" w:w="2376"/>
            <w:vAlign w:val="center"/>
            <w:tcMar>
              <w:top w:w="80" w:type="dxa"/>
              <w:start w:w="90" w:type="dxa"/>
              <w:bottom w:w="80" w:type="dxa"/>
              <w:end w:w="90" w:type="dxa"/>
            </w:tcMar>
          </w:tcPr>
          <w:p>
            <w:pPr>
              <w:spacing w:after="0"/>
            </w:pPr>
            <w:r>
              <w:rPr>
                <w:rFonts w:ascii="Aptos" w:hAnsi="Aptos"/>
                <w:color w:val="1F2937"/>
                <w:sz w:val="17"/>
              </w:rPr>
              <w:t>No sustained overload beyond approved capacity</w:t>
            </w:r>
          </w:p>
        </w:tc>
      </w:tr>
      <w:tr>
        <w:trPr>
          <w:cantSplit/>
        </w:trPr>
        <w:tc>
          <w:tcPr>
            <w:tcW w:type="dxa" w:w="2016"/>
            <w:vAlign w:val="center"/>
            <w:tcMar>
              <w:top w:w="80" w:type="dxa"/>
              <w:start w:w="90" w:type="dxa"/>
              <w:bottom w:w="80" w:type="dxa"/>
              <w:end w:w="90" w:type="dxa"/>
            </w:tcMar>
          </w:tcPr>
          <w:p>
            <w:pPr>
              <w:spacing w:after="0"/>
            </w:pPr>
            <w:r>
              <w:rPr>
                <w:rFonts w:ascii="Aptos" w:hAnsi="Aptos"/>
                <w:color w:val="1F2937"/>
                <w:sz w:val="17"/>
              </w:rPr>
              <w:t>Plant output -50% for 1 week</w:t>
            </w:r>
          </w:p>
        </w:tc>
        <w:tc>
          <w:tcPr>
            <w:tcW w:type="dxa" w:w="3096"/>
            <w:vAlign w:val="center"/>
            <w:tcMar>
              <w:top w:w="80" w:type="dxa"/>
              <w:start w:w="90" w:type="dxa"/>
              <w:bottom w:w="80" w:type="dxa"/>
              <w:end w:w="90" w:type="dxa"/>
            </w:tcMar>
          </w:tcPr>
          <w:p>
            <w:pPr>
              <w:spacing w:after="0"/>
            </w:pPr>
            <w:r>
              <w:rPr>
                <w:rFonts w:ascii="Aptos" w:hAnsi="Aptos"/>
                <w:color w:val="1F2937"/>
                <w:sz w:val="17"/>
              </w:rPr>
              <w:t>Reduce RES_MED_PACK capacity to 90 t</w:t>
            </w:r>
          </w:p>
        </w:tc>
        <w:tc>
          <w:tcPr>
            <w:tcW w:type="dxa" w:w="3096"/>
            <w:vAlign w:val="center"/>
            <w:tcMar>
              <w:top w:w="80" w:type="dxa"/>
              <w:start w:w="90" w:type="dxa"/>
              <w:bottom w:w="80" w:type="dxa"/>
              <w:end w:w="90" w:type="dxa"/>
            </w:tcMar>
          </w:tcPr>
          <w:p>
            <w:pPr>
              <w:spacing w:after="0"/>
            </w:pPr>
            <w:r>
              <w:rPr>
                <w:rFonts w:ascii="Aptos" w:hAnsi="Aptos"/>
                <w:color w:val="1F2937"/>
                <w:sz w:val="17"/>
              </w:rPr>
              <w:t>Deploy existing stock, activate contract packer, prioritize high-service markets</w:t>
            </w:r>
          </w:p>
        </w:tc>
        <w:tc>
          <w:tcPr>
            <w:tcW w:type="dxa" w:w="2376"/>
            <w:vAlign w:val="center"/>
            <w:tcMar>
              <w:top w:w="80" w:type="dxa"/>
              <w:start w:w="90" w:type="dxa"/>
              <w:bottom w:w="80" w:type="dxa"/>
              <w:end w:w="90" w:type="dxa"/>
            </w:tcMar>
          </w:tcPr>
          <w:p>
            <w:pPr>
              <w:spacing w:after="0"/>
            </w:pPr>
            <w:r>
              <w:rPr>
                <w:rFonts w:ascii="Aptos" w:hAnsi="Aptos"/>
                <w:color w:val="1F2937"/>
                <w:sz w:val="17"/>
              </w:rPr>
              <w:t>Backlog cleared within 2 planning cycles</w:t>
            </w:r>
          </w:p>
        </w:tc>
      </w:tr>
      <w:tr>
        <w:trPr>
          <w:cantSplit/>
        </w:trPr>
        <w:tc>
          <w:tcPr>
            <w:tcW w:type="dxa" w:w="2016"/>
            <w:vAlign w:val="center"/>
            <w:tcMar>
              <w:top w:w="80" w:type="dxa"/>
              <w:start w:w="90" w:type="dxa"/>
              <w:bottom w:w="80" w:type="dxa"/>
              <w:end w:w="90" w:type="dxa"/>
            </w:tcMar>
          </w:tcPr>
          <w:p>
            <w:pPr>
              <w:spacing w:after="0"/>
            </w:pPr>
            <w:r>
              <w:rPr>
                <w:rFonts w:ascii="Aptos" w:hAnsi="Aptos"/>
                <w:color w:val="1F2937"/>
                <w:sz w:val="17"/>
              </w:rPr>
              <w:t>Bengaluru lane delayed +1 day</w:t>
            </w:r>
          </w:p>
        </w:tc>
        <w:tc>
          <w:tcPr>
            <w:tcW w:type="dxa" w:w="3096"/>
            <w:vAlign w:val="center"/>
            <w:tcMar>
              <w:top w:w="80" w:type="dxa"/>
              <w:start w:w="90" w:type="dxa"/>
              <w:bottom w:w="80" w:type="dxa"/>
              <w:end w:w="90" w:type="dxa"/>
            </w:tcMar>
          </w:tcPr>
          <w:p>
            <w:pPr>
              <w:spacing w:after="0"/>
            </w:pPr>
            <w:r>
              <w:rPr>
                <w:rFonts w:ascii="Aptos" w:hAnsi="Aptos"/>
                <w:color w:val="1F2937"/>
                <w:sz w:val="17"/>
              </w:rPr>
              <w:t>Increase P1-&gt;D3 transit time to 3 days</w:t>
            </w:r>
          </w:p>
        </w:tc>
        <w:tc>
          <w:tcPr>
            <w:tcW w:type="dxa" w:w="3096"/>
            <w:vAlign w:val="center"/>
            <w:tcMar>
              <w:top w:w="80" w:type="dxa"/>
              <w:start w:w="90" w:type="dxa"/>
              <w:bottom w:w="80" w:type="dxa"/>
              <w:end w:w="90" w:type="dxa"/>
            </w:tcMar>
          </w:tcPr>
          <w:p>
            <w:pPr>
              <w:spacing w:after="0"/>
            </w:pPr>
            <w:r>
              <w:rPr>
                <w:rFonts w:ascii="Aptos" w:hAnsi="Aptos"/>
                <w:color w:val="1F2937"/>
                <w:sz w:val="17"/>
              </w:rPr>
              <w:t>Increase temporary target stock / expedite selected loads</w:t>
            </w:r>
          </w:p>
        </w:tc>
        <w:tc>
          <w:tcPr>
            <w:tcW w:type="dxa" w:w="2376"/>
            <w:vAlign w:val="center"/>
            <w:tcMar>
              <w:top w:w="80" w:type="dxa"/>
              <w:start w:w="90" w:type="dxa"/>
              <w:bottom w:w="80" w:type="dxa"/>
              <w:end w:w="90" w:type="dxa"/>
            </w:tcMar>
          </w:tcPr>
          <w:p>
            <w:pPr>
              <w:spacing w:after="0"/>
            </w:pPr>
            <w:r>
              <w:rPr>
                <w:rFonts w:ascii="Aptos" w:hAnsi="Aptos"/>
                <w:color w:val="1F2937"/>
                <w:sz w:val="17"/>
              </w:rPr>
              <w:t>Karnataka service maintained without excessive emergency freight</w:t>
            </w:r>
          </w:p>
        </w:tc>
      </w:tr>
    </w:tbl>
    <w:p>
      <w:pPr>
        <w:spacing w:after="20"/>
      </w:pPr>
    </w:p>
    <w:p>
      <w:pPr>
        <w:pStyle w:val="Heading2"/>
        <w:keepNext/>
        <w:keepLines/>
      </w:pPr>
      <w:r>
        <w:rPr>
          <w:rFonts w:ascii="Aptos" w:hAnsi="Aptos"/>
          <w:b/>
          <w:color w:val="365F91"/>
          <w:sz w:val="24"/>
        </w:rPr>
        <w:t>7.3 Business continuity principles</w:t>
      </w:r>
    </w:p>
    <w:p>
      <w:pPr>
        <w:pStyle w:val="ListBullet"/>
        <w:spacing w:after="60"/>
        <w:ind w:left="0"/>
      </w:pPr>
      <w:r>
        <w:rPr>
          <w:rFonts w:ascii="Aptos" w:hAnsi="Aptos"/>
          <w:color w:val="1F2937"/>
          <w:sz w:val="20"/>
        </w:rPr>
        <w:t>Maintain at least one qualified alternate source for critical raw material and packaging.</w:t>
      </w:r>
    </w:p>
    <w:p>
      <w:pPr>
        <w:pStyle w:val="ListBullet"/>
        <w:spacing w:after="60"/>
        <w:ind w:left="0"/>
      </w:pPr>
      <w:r>
        <w:rPr>
          <w:rFonts w:ascii="Aptos" w:hAnsi="Aptos"/>
          <w:color w:val="1F2937"/>
          <w:sz w:val="20"/>
        </w:rPr>
        <w:t>Use time-valid master data so temporary contingency rules do not remain active after the disruption ends.</w:t>
      </w:r>
    </w:p>
    <w:p>
      <w:pPr>
        <w:pStyle w:val="ListBullet"/>
        <w:spacing w:after="60"/>
        <w:ind w:left="0"/>
      </w:pPr>
      <w:r>
        <w:rPr>
          <w:rFonts w:ascii="Aptos" w:hAnsi="Aptos"/>
          <w:color w:val="1F2937"/>
          <w:sz w:val="20"/>
        </w:rPr>
        <w:t>Keep disruption scenarios in a simulation planning version until planner and business owners approve activation.</w:t>
      </w:r>
    </w:p>
    <w:p>
      <w:pPr>
        <w:pStyle w:val="ListBullet"/>
        <w:spacing w:after="60"/>
        <w:ind w:left="0"/>
      </w:pPr>
      <w:r>
        <w:rPr>
          <w:rFonts w:ascii="Aptos" w:hAnsi="Aptos"/>
          <w:color w:val="1F2937"/>
          <w:sz w:val="20"/>
        </w:rPr>
        <w:t>Use service priorities explicitly during shortage; do not rely on informal manual allocation outside the planning system.</w:t>
      </w:r>
    </w:p>
    <w:p>
      <w:pPr>
        <w:pStyle w:val="ListBullet"/>
        <w:spacing w:after="60"/>
        <w:ind w:left="0"/>
      </w:pPr>
      <w:r>
        <w:rPr>
          <w:rFonts w:ascii="Aptos" w:hAnsi="Aptos"/>
          <w:color w:val="1F2937"/>
          <w:sz w:val="20"/>
        </w:rPr>
        <w:t>After every disruption, compare actual recovery performance with the scenario assumptions and update lead times, capacities, and risk thresholds.</w:t>
      </w:r>
    </w:p>
    <w:p>
      <w:pPr>
        <w:pStyle w:val="Heading1"/>
        <w:keepNext/>
        <w:keepLines/>
      </w:pPr>
      <w:r>
        <w:rPr>
          <w:rFonts w:ascii="Aptos" w:hAnsi="Aptos"/>
          <w:b/>
          <w:color w:val="365F91"/>
          <w:sz w:val="30"/>
        </w:rPr>
        <w:t>8. Testing, Governance and Implementation Work Plan</w:t>
      </w:r>
    </w:p>
    <w:p>
      <w:pPr>
        <w:pStyle w:val="Heading2"/>
        <w:keepNext/>
        <w:keepLines/>
      </w:pPr>
      <w:r>
        <w:rPr>
          <w:rFonts w:ascii="Aptos" w:hAnsi="Aptos"/>
          <w:b/>
          <w:color w:val="365F91"/>
          <w:sz w:val="24"/>
        </w:rPr>
        <w:t>8.1 Configuration and planning validation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864"/>
            <w:shd w:fill="365F91"/>
            <w:vAlign w:val="center"/>
            <w:tcMar>
              <w:top w:w="80" w:type="dxa"/>
              <w:start w:w="90" w:type="dxa"/>
              <w:bottom w:w="80" w:type="dxa"/>
              <w:end w:w="90" w:type="dxa"/>
            </w:tcMar>
          </w:tcPr>
          <w:p>
            <w:pPr>
              <w:jc w:val="center"/>
            </w:pPr>
            <w:r>
              <w:rPr>
                <w:rFonts w:ascii="Aptos" w:hAnsi="Aptos"/>
                <w:b/>
                <w:color w:val="FFFFFF"/>
                <w:sz w:val="17"/>
              </w:rPr>
              <w:t>Test ID</w:t>
            </w:r>
          </w:p>
        </w:tc>
        <w:tc>
          <w:tcPr>
            <w:tcW w:type="dxa" w:w="2304"/>
            <w:shd w:fill="365F91"/>
            <w:vAlign w:val="center"/>
            <w:tcMar>
              <w:top w:w="80" w:type="dxa"/>
              <w:start w:w="90" w:type="dxa"/>
              <w:bottom w:w="80" w:type="dxa"/>
              <w:end w:w="90" w:type="dxa"/>
            </w:tcMar>
          </w:tcPr>
          <w:p>
            <w:pPr>
              <w:jc w:val="center"/>
            </w:pPr>
            <w:r>
              <w:rPr>
                <w:rFonts w:ascii="Aptos" w:hAnsi="Aptos"/>
                <w:b/>
                <w:color w:val="FFFFFF"/>
                <w:sz w:val="17"/>
              </w:rPr>
              <w:t>Test objective</w:t>
            </w:r>
          </w:p>
        </w:tc>
        <w:tc>
          <w:tcPr>
            <w:tcW w:type="dxa" w:w="4320"/>
            <w:shd w:fill="365F91"/>
            <w:vAlign w:val="center"/>
            <w:tcMar>
              <w:top w:w="80" w:type="dxa"/>
              <w:start w:w="90" w:type="dxa"/>
              <w:bottom w:w="80" w:type="dxa"/>
              <w:end w:w="90" w:type="dxa"/>
            </w:tcMar>
          </w:tcPr>
          <w:p>
            <w:r>
              <w:t>Proposed test procedure</w:t>
            </w:r>
          </w:p>
        </w:tc>
        <w:tc>
          <w:tcPr>
            <w:tcW w:type="dxa" w:w="3168"/>
            <w:shd w:fill="365F91"/>
            <w:vAlign w:val="center"/>
            <w:tcMar>
              <w:top w:w="80" w:type="dxa"/>
              <w:start w:w="90" w:type="dxa"/>
              <w:bottom w:w="80" w:type="dxa"/>
              <w:end w:w="90" w:type="dxa"/>
            </w:tcMar>
          </w:tcPr>
          <w:p>
            <w:pPr>
              <w:jc w:val="center"/>
            </w:pPr>
            <w:r>
              <w:rPr>
                <w:rFonts w:ascii="Aptos" w:hAnsi="Aptos"/>
                <w:b/>
                <w:color w:val="FFFFFF"/>
                <w:sz w:val="17"/>
              </w:rPr>
              <w:t>Expected result</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T01</w:t>
            </w:r>
          </w:p>
        </w:tc>
        <w:tc>
          <w:tcPr>
            <w:tcW w:type="dxa" w:w="2304"/>
            <w:vAlign w:val="center"/>
            <w:tcMar>
              <w:top w:w="80" w:type="dxa"/>
              <w:start w:w="90" w:type="dxa"/>
              <w:bottom w:w="80" w:type="dxa"/>
              <w:end w:w="90" w:type="dxa"/>
            </w:tcMar>
          </w:tcPr>
          <w:p>
            <w:pPr>
              <w:spacing w:after="0"/>
            </w:pPr>
            <w:r>
              <w:rPr>
                <w:rFonts w:ascii="Aptos" w:hAnsi="Aptos"/>
                <w:color w:val="1F2937"/>
                <w:sz w:val="16"/>
              </w:rPr>
              <w:t>Master-data completeness</w:t>
            </w:r>
          </w:p>
        </w:tc>
        <w:tc>
          <w:tcPr>
            <w:tcW w:type="dxa" w:w="4320"/>
            <w:vAlign w:val="center"/>
            <w:tcMar>
              <w:top w:w="80" w:type="dxa"/>
              <w:start w:w="90" w:type="dxa"/>
              <w:bottom w:w="80" w:type="dxa"/>
              <w:end w:w="90" w:type="dxa"/>
            </w:tcMar>
          </w:tcPr>
          <w:p>
            <w:pPr>
              <w:spacing w:after="0"/>
            </w:pPr>
            <w:r>
              <w:rPr>
                <w:rFonts w:ascii="Aptos" w:hAnsi="Aptos"/>
                <w:color w:val="1F2937"/>
                <w:sz w:val="16"/>
              </w:rPr>
              <w:t>Run model consistency checks after assigning products, locations, resources, PDS/PPM, and lanes</w:t>
            </w:r>
          </w:p>
        </w:tc>
        <w:tc>
          <w:tcPr>
            <w:tcW w:type="dxa" w:w="3168"/>
            <w:vAlign w:val="center"/>
            <w:tcMar>
              <w:top w:w="80" w:type="dxa"/>
              <w:start w:w="90" w:type="dxa"/>
              <w:bottom w:w="80" w:type="dxa"/>
              <w:end w:w="90" w:type="dxa"/>
            </w:tcMar>
          </w:tcPr>
          <w:p>
            <w:pPr>
              <w:spacing w:after="0"/>
            </w:pPr>
            <w:r>
              <w:rPr>
                <w:rFonts w:ascii="Aptos" w:hAnsi="Aptos"/>
                <w:color w:val="1F2937"/>
                <w:sz w:val="16"/>
              </w:rPr>
              <w:t>No critical missing-source or invalid-assignment errors</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T02</w:t>
            </w:r>
          </w:p>
        </w:tc>
        <w:tc>
          <w:tcPr>
            <w:tcW w:type="dxa" w:w="2304"/>
            <w:vAlign w:val="center"/>
            <w:tcMar>
              <w:top w:w="80" w:type="dxa"/>
              <w:start w:w="90" w:type="dxa"/>
              <w:bottom w:w="80" w:type="dxa"/>
              <w:end w:w="90" w:type="dxa"/>
            </w:tcMar>
          </w:tcPr>
          <w:p>
            <w:pPr>
              <w:spacing w:after="0"/>
            </w:pPr>
            <w:r>
              <w:rPr>
                <w:rFonts w:ascii="Aptos" w:hAnsi="Aptos"/>
                <w:color w:val="1F2937"/>
                <w:sz w:val="16"/>
              </w:rPr>
              <w:t>Quota sourcing</w:t>
            </w:r>
          </w:p>
        </w:tc>
        <w:tc>
          <w:tcPr>
            <w:tcW w:type="dxa" w:w="4320"/>
            <w:vAlign w:val="center"/>
            <w:tcMar>
              <w:top w:w="80" w:type="dxa"/>
              <w:start w:w="90" w:type="dxa"/>
              <w:bottom w:w="80" w:type="dxa"/>
              <w:end w:w="90" w:type="dxa"/>
            </w:tcMar>
          </w:tcPr>
          <w:p>
            <w:pPr>
              <w:spacing w:after="0"/>
            </w:pPr>
            <w:r>
              <w:rPr>
                <w:rFonts w:ascii="Aptos" w:hAnsi="Aptos"/>
                <w:color w:val="1F2937"/>
                <w:sz w:val="16"/>
              </w:rPr>
              <w:t>Create demand and run planning with 70/30 inbound source policy</w:t>
            </w:r>
          </w:p>
        </w:tc>
        <w:tc>
          <w:tcPr>
            <w:tcW w:type="dxa" w:w="3168"/>
            <w:vAlign w:val="center"/>
            <w:tcMar>
              <w:top w:w="80" w:type="dxa"/>
              <w:start w:w="90" w:type="dxa"/>
              <w:bottom w:w="80" w:type="dxa"/>
              <w:end w:w="90" w:type="dxa"/>
            </w:tcMar>
          </w:tcPr>
          <w:p>
            <w:pPr>
              <w:spacing w:after="0"/>
            </w:pPr>
            <w:r>
              <w:rPr>
                <w:rFonts w:ascii="Aptos" w:hAnsi="Aptos"/>
                <w:color w:val="1F2937"/>
                <w:sz w:val="16"/>
              </w:rPr>
              <w:t>Sourcing follows quota within valid capacity/settings</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T03</w:t>
            </w:r>
          </w:p>
        </w:tc>
        <w:tc>
          <w:tcPr>
            <w:tcW w:type="dxa" w:w="2304"/>
            <w:vAlign w:val="center"/>
            <w:tcMar>
              <w:top w:w="80" w:type="dxa"/>
              <w:start w:w="90" w:type="dxa"/>
              <w:bottom w:w="80" w:type="dxa"/>
              <w:end w:w="90" w:type="dxa"/>
            </w:tcMar>
          </w:tcPr>
          <w:p>
            <w:pPr>
              <w:spacing w:after="0"/>
            </w:pPr>
            <w:r>
              <w:rPr>
                <w:rFonts w:ascii="Aptos" w:hAnsi="Aptos"/>
                <w:color w:val="1F2937"/>
                <w:sz w:val="16"/>
              </w:rPr>
              <w:t>Capacity constraint</w:t>
            </w:r>
          </w:p>
        </w:tc>
        <w:tc>
          <w:tcPr>
            <w:tcW w:type="dxa" w:w="4320"/>
            <w:vAlign w:val="center"/>
            <w:tcMar>
              <w:top w:w="80" w:type="dxa"/>
              <w:start w:w="90" w:type="dxa"/>
              <w:bottom w:w="80" w:type="dxa"/>
              <w:end w:w="90" w:type="dxa"/>
            </w:tcMar>
          </w:tcPr>
          <w:p>
            <w:pPr>
              <w:spacing w:after="0"/>
            </w:pPr>
            <w:r>
              <w:rPr>
                <w:rFonts w:ascii="Aptos" w:hAnsi="Aptos"/>
                <w:color w:val="1F2937"/>
                <w:sz w:val="16"/>
              </w:rPr>
              <w:t>Reduce resource capacity below demand and rerun plan</w:t>
            </w:r>
          </w:p>
        </w:tc>
        <w:tc>
          <w:tcPr>
            <w:tcW w:type="dxa" w:w="3168"/>
            <w:vAlign w:val="center"/>
            <w:tcMar>
              <w:top w:w="80" w:type="dxa"/>
              <w:start w:w="90" w:type="dxa"/>
              <w:bottom w:w="80" w:type="dxa"/>
              <w:end w:w="90" w:type="dxa"/>
            </w:tcMar>
          </w:tcPr>
          <w:p>
            <w:pPr>
              <w:spacing w:after="0"/>
            </w:pPr>
            <w:r>
              <w:rPr>
                <w:rFonts w:ascii="Aptos" w:hAnsi="Aptos"/>
                <w:color w:val="1F2937"/>
                <w:sz w:val="16"/>
              </w:rPr>
              <w:t>System exposes shortage/overload or optimizer chooses valid alternative</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T04</w:t>
            </w:r>
          </w:p>
        </w:tc>
        <w:tc>
          <w:tcPr>
            <w:tcW w:type="dxa" w:w="2304"/>
            <w:vAlign w:val="center"/>
            <w:tcMar>
              <w:top w:w="80" w:type="dxa"/>
              <w:start w:w="90" w:type="dxa"/>
              <w:bottom w:w="80" w:type="dxa"/>
              <w:end w:w="90" w:type="dxa"/>
            </w:tcMar>
          </w:tcPr>
          <w:p>
            <w:pPr>
              <w:spacing w:after="0"/>
            </w:pPr>
            <w:r>
              <w:rPr>
                <w:rFonts w:ascii="Aptos" w:hAnsi="Aptos"/>
                <w:color w:val="1F2937"/>
                <w:sz w:val="16"/>
              </w:rPr>
              <w:t>Safety-stock protection</w:t>
            </w:r>
          </w:p>
        </w:tc>
        <w:tc>
          <w:tcPr>
            <w:tcW w:type="dxa" w:w="4320"/>
            <w:vAlign w:val="center"/>
            <w:tcMar>
              <w:top w:w="80" w:type="dxa"/>
              <w:start w:w="90" w:type="dxa"/>
              <w:bottom w:w="80" w:type="dxa"/>
              <w:end w:w="90" w:type="dxa"/>
            </w:tcMar>
          </w:tcPr>
          <w:p>
            <w:pPr>
              <w:spacing w:after="0"/>
            </w:pPr>
            <w:r>
              <w:rPr>
                <w:rFonts w:ascii="Aptos" w:hAnsi="Aptos"/>
                <w:color w:val="1F2937"/>
                <w:sz w:val="16"/>
              </w:rPr>
              <w:t>Start with DC stock below target and run SNP</w:t>
            </w:r>
          </w:p>
        </w:tc>
        <w:tc>
          <w:tcPr>
            <w:tcW w:type="dxa" w:w="3168"/>
            <w:vAlign w:val="center"/>
            <w:tcMar>
              <w:top w:w="80" w:type="dxa"/>
              <w:start w:w="90" w:type="dxa"/>
              <w:bottom w:w="80" w:type="dxa"/>
              <w:end w:w="90" w:type="dxa"/>
            </w:tcMar>
          </w:tcPr>
          <w:p>
            <w:pPr>
              <w:spacing w:after="0"/>
            </w:pPr>
            <w:r>
              <w:rPr>
                <w:rFonts w:ascii="Aptos" w:hAnsi="Aptos"/>
                <w:color w:val="1F2937"/>
                <w:sz w:val="16"/>
              </w:rPr>
              <w:t>Planned replenishment restores target over planning horizon</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T05</w:t>
            </w:r>
          </w:p>
        </w:tc>
        <w:tc>
          <w:tcPr>
            <w:tcW w:type="dxa" w:w="2304"/>
            <w:vAlign w:val="center"/>
            <w:tcMar>
              <w:top w:w="80" w:type="dxa"/>
              <w:start w:w="90" w:type="dxa"/>
              <w:bottom w:w="80" w:type="dxa"/>
              <w:end w:w="90" w:type="dxa"/>
            </w:tcMar>
          </w:tcPr>
          <w:p>
            <w:pPr>
              <w:spacing w:after="0"/>
            </w:pPr>
            <w:r>
              <w:rPr>
                <w:rFonts w:ascii="Aptos" w:hAnsi="Aptos"/>
                <w:color w:val="1F2937"/>
                <w:sz w:val="16"/>
              </w:rPr>
              <w:t>Deployment shortage</w:t>
            </w:r>
          </w:p>
        </w:tc>
        <w:tc>
          <w:tcPr>
            <w:tcW w:type="dxa" w:w="4320"/>
            <w:vAlign w:val="center"/>
            <w:tcMar>
              <w:top w:w="80" w:type="dxa"/>
              <w:start w:w="90" w:type="dxa"/>
              <w:bottom w:w="80" w:type="dxa"/>
              <w:end w:w="90" w:type="dxa"/>
            </w:tcMar>
          </w:tcPr>
          <w:p>
            <w:pPr>
              <w:spacing w:after="0"/>
            </w:pPr>
            <w:r>
              <w:rPr>
                <w:rFonts w:ascii="Aptos" w:hAnsi="Aptos"/>
                <w:color w:val="1F2937"/>
                <w:sz w:val="16"/>
              </w:rPr>
              <w:t>Make total available supply lower than downstream demand</w:t>
            </w:r>
          </w:p>
        </w:tc>
        <w:tc>
          <w:tcPr>
            <w:tcW w:type="dxa" w:w="3168"/>
            <w:vAlign w:val="center"/>
            <w:tcMar>
              <w:top w:w="80" w:type="dxa"/>
              <w:start w:w="90" w:type="dxa"/>
              <w:bottom w:w="80" w:type="dxa"/>
              <w:end w:w="90" w:type="dxa"/>
            </w:tcMar>
          </w:tcPr>
          <w:p>
            <w:pPr>
              <w:spacing w:after="0"/>
            </w:pPr>
            <w:r>
              <w:rPr>
                <w:rFonts w:ascii="Aptos" w:hAnsi="Aptos"/>
                <w:color w:val="1F2937"/>
                <w:sz w:val="16"/>
              </w:rPr>
              <w:t>Deployment allocates limited supply according to configured business rules</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T06</w:t>
            </w:r>
          </w:p>
        </w:tc>
        <w:tc>
          <w:tcPr>
            <w:tcW w:type="dxa" w:w="2304"/>
            <w:vAlign w:val="center"/>
            <w:tcMar>
              <w:top w:w="80" w:type="dxa"/>
              <w:start w:w="90" w:type="dxa"/>
              <w:bottom w:w="80" w:type="dxa"/>
              <w:end w:w="90" w:type="dxa"/>
            </w:tcMar>
          </w:tcPr>
          <w:p>
            <w:pPr>
              <w:spacing w:after="0"/>
            </w:pPr>
            <w:r>
              <w:rPr>
                <w:rFonts w:ascii="Aptos" w:hAnsi="Aptos"/>
                <w:color w:val="1F2937"/>
                <w:sz w:val="16"/>
              </w:rPr>
              <w:t>Transport lead time</w:t>
            </w:r>
          </w:p>
        </w:tc>
        <w:tc>
          <w:tcPr>
            <w:tcW w:type="dxa" w:w="4320"/>
            <w:vAlign w:val="center"/>
            <w:tcMar>
              <w:top w:w="80" w:type="dxa"/>
              <w:start w:w="90" w:type="dxa"/>
              <w:bottom w:w="80" w:type="dxa"/>
              <w:end w:w="90" w:type="dxa"/>
            </w:tcMar>
          </w:tcPr>
          <w:p>
            <w:pPr>
              <w:spacing w:after="0"/>
            </w:pPr>
            <w:r>
              <w:rPr>
                <w:rFonts w:ascii="Aptos" w:hAnsi="Aptos"/>
                <w:color w:val="1F2937"/>
                <w:sz w:val="16"/>
              </w:rPr>
              <w:t>Change Bengaluru transit time from 2 to 3 days</w:t>
            </w:r>
          </w:p>
        </w:tc>
        <w:tc>
          <w:tcPr>
            <w:tcW w:type="dxa" w:w="3168"/>
            <w:vAlign w:val="center"/>
            <w:tcMar>
              <w:top w:w="80" w:type="dxa"/>
              <w:start w:w="90" w:type="dxa"/>
              <w:bottom w:w="80" w:type="dxa"/>
              <w:end w:w="90" w:type="dxa"/>
            </w:tcMar>
          </w:tcPr>
          <w:p>
            <w:pPr>
              <w:spacing w:after="0"/>
            </w:pPr>
            <w:r>
              <w:rPr>
                <w:rFonts w:ascii="Aptos" w:hAnsi="Aptos"/>
                <w:color w:val="1F2937"/>
                <w:sz w:val="16"/>
              </w:rPr>
              <w:t>Arrival dates and projected stock reflect revised lane duration</w:t>
            </w:r>
          </w:p>
        </w:tc>
      </w:tr>
      <w:tr>
        <w:trPr>
          <w:cantSplit/>
        </w:trPr>
        <w:tc>
          <w:tcPr>
            <w:tcW w:type="dxa" w:w="864"/>
            <w:vAlign w:val="center"/>
            <w:tcMar>
              <w:top w:w="80" w:type="dxa"/>
              <w:start w:w="90" w:type="dxa"/>
              <w:bottom w:w="80" w:type="dxa"/>
              <w:end w:w="90" w:type="dxa"/>
            </w:tcMar>
          </w:tcPr>
          <w:p>
            <w:pPr>
              <w:spacing w:after="0"/>
            </w:pPr>
            <w:r>
              <w:rPr>
                <w:rFonts w:ascii="Aptos" w:hAnsi="Aptos"/>
                <w:color w:val="1F2937"/>
                <w:sz w:val="16"/>
              </w:rPr>
              <w:t>T07</w:t>
            </w:r>
          </w:p>
        </w:tc>
        <w:tc>
          <w:tcPr>
            <w:tcW w:type="dxa" w:w="2304"/>
            <w:vAlign w:val="center"/>
            <w:tcMar>
              <w:top w:w="80" w:type="dxa"/>
              <w:start w:w="90" w:type="dxa"/>
              <w:bottom w:w="80" w:type="dxa"/>
              <w:end w:w="90" w:type="dxa"/>
            </w:tcMar>
          </w:tcPr>
          <w:p>
            <w:pPr>
              <w:spacing w:after="0"/>
            </w:pPr>
            <w:r>
              <w:rPr>
                <w:rFonts w:ascii="Aptos" w:hAnsi="Aptos"/>
                <w:color w:val="1F2937"/>
                <w:sz w:val="16"/>
              </w:rPr>
              <w:t>Simulation version isolation</w:t>
            </w:r>
          </w:p>
        </w:tc>
        <w:tc>
          <w:tcPr>
            <w:tcW w:type="dxa" w:w="4320"/>
            <w:vAlign w:val="center"/>
            <w:tcMar>
              <w:top w:w="80" w:type="dxa"/>
              <w:start w:w="90" w:type="dxa"/>
              <w:bottom w:w="80" w:type="dxa"/>
              <w:end w:w="90" w:type="dxa"/>
            </w:tcMar>
          </w:tcPr>
          <w:p>
            <w:pPr>
              <w:spacing w:after="0"/>
            </w:pPr>
            <w:r>
              <w:rPr>
                <w:rFonts w:ascii="Aptos" w:hAnsi="Aptos"/>
                <w:color w:val="1F2937"/>
                <w:sz w:val="16"/>
              </w:rPr>
              <w:t>Change supplier quota only in Z01</w:t>
            </w:r>
          </w:p>
        </w:tc>
        <w:tc>
          <w:tcPr>
            <w:tcW w:type="dxa" w:w="3168"/>
            <w:vAlign w:val="center"/>
            <w:tcMar>
              <w:top w:w="80" w:type="dxa"/>
              <w:start w:w="90" w:type="dxa"/>
              <w:bottom w:w="80" w:type="dxa"/>
              <w:end w:w="90" w:type="dxa"/>
            </w:tcMar>
          </w:tcPr>
          <w:p>
            <w:pPr>
              <w:spacing w:after="0"/>
            </w:pPr>
            <w:r>
              <w:rPr>
                <w:rFonts w:ascii="Aptos" w:hAnsi="Aptos"/>
                <w:color w:val="1F2937"/>
                <w:sz w:val="16"/>
              </w:rPr>
              <w:t>Active planning version remains unchanged until promotion</w:t>
            </w:r>
          </w:p>
        </w:tc>
      </w:tr>
    </w:tbl>
    <w:p>
      <w:pPr>
        <w:spacing w:after="20"/>
      </w:pPr>
    </w:p>
    <w:p>
      <w:pPr>
        <w:pStyle w:val="Heading2"/>
        <w:keepNext/>
        <w:keepLines/>
      </w:pPr>
      <w:r>
        <w:rPr>
          <w:rFonts w:ascii="Aptos" w:hAnsi="Aptos"/>
          <w:b/>
          <w:color w:val="365F91"/>
          <w:sz w:val="24"/>
        </w:rPr>
        <w:t>8.2 Data governance controls</w:t>
      </w:r>
    </w:p>
    <w:p>
      <w:pPr>
        <w:pStyle w:val="ListBullet"/>
        <w:spacing w:after="60"/>
        <w:ind w:left="0"/>
      </w:pPr>
      <w:r>
        <w:rPr>
          <w:rFonts w:ascii="Aptos" w:hAnsi="Aptos"/>
          <w:color w:val="1F2937"/>
          <w:sz w:val="20"/>
        </w:rPr>
        <w:t>Assign ownership for every planning object: Procurement owns supplier/quota data; Logistics owns lanes; Plant Planning owns resource capacity; Master Data owns core object quality.</w:t>
      </w:r>
    </w:p>
    <w:p>
      <w:pPr>
        <w:pStyle w:val="ListBullet"/>
        <w:spacing w:after="60"/>
        <w:ind w:left="0"/>
      </w:pPr>
      <w:r>
        <w:rPr>
          <w:rFonts w:ascii="Aptos" w:hAnsi="Aptos"/>
          <w:color w:val="1F2937"/>
          <w:sz w:val="20"/>
        </w:rPr>
        <w:t>Use effective-from/effective-to dates for lane, quota, and source changes whenever the business change is temporary.</w:t>
      </w:r>
    </w:p>
    <w:p>
      <w:pPr>
        <w:pStyle w:val="ListBullet"/>
        <w:spacing w:after="60"/>
        <w:ind w:left="0"/>
      </w:pPr>
      <w:r>
        <w:rPr>
          <w:rFonts w:ascii="Aptos" w:hAnsi="Aptos"/>
          <w:color w:val="1F2937"/>
          <w:sz w:val="20"/>
        </w:rPr>
        <w:t>Require a model consistency check after structural changes and before major planning runs.</w:t>
      </w:r>
    </w:p>
    <w:p>
      <w:pPr>
        <w:pStyle w:val="ListBullet"/>
        <w:spacing w:after="60"/>
        <w:ind w:left="0"/>
      </w:pPr>
      <w:r>
        <w:rPr>
          <w:rFonts w:ascii="Aptos" w:hAnsi="Aptos"/>
          <w:color w:val="1F2937"/>
          <w:sz w:val="20"/>
        </w:rPr>
        <w:t>Document optimizer cost and penalty assumptions because incorrect cost weights can produce a mathematically optimal but operationally poor plan.</w:t>
      </w:r>
    </w:p>
    <w:p>
      <w:pPr>
        <w:pStyle w:val="ListBullet"/>
        <w:spacing w:after="60"/>
        <w:ind w:left="0"/>
      </w:pPr>
      <w:r>
        <w:rPr>
          <w:rFonts w:ascii="Aptos" w:hAnsi="Aptos"/>
          <w:color w:val="1F2937"/>
          <w:sz w:val="20"/>
        </w:rPr>
        <w:t>Maintain a change log for safety stock, capacity, source quota, lead time, and planning horizon parameters.</w:t>
      </w:r>
    </w:p>
    <w:p>
      <w:pPr>
        <w:pStyle w:val="Heading2"/>
        <w:keepNext/>
        <w:keepLines/>
      </w:pPr>
      <w:r>
        <w:rPr>
          <w:rFonts w:ascii="Aptos" w:hAnsi="Aptos"/>
          <w:b/>
          <w:color w:val="365F91"/>
          <w:sz w:val="24"/>
        </w:rPr>
        <w:t>8.3 Estimated effort plan for the 30-35 hour assignment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320"/>
            <w:shd w:fill="365F91"/>
            <w:vAlign w:val="center"/>
            <w:tcMar>
              <w:top w:w="80" w:type="dxa"/>
              <w:start w:w="90" w:type="dxa"/>
              <w:bottom w:w="80" w:type="dxa"/>
              <w:end w:w="90" w:type="dxa"/>
            </w:tcMar>
          </w:tcPr>
          <w:p>
            <w:pPr>
              <w:jc w:val="center"/>
            </w:pPr>
            <w:r>
              <w:rPr>
                <w:rFonts w:ascii="Aptos" w:hAnsi="Aptos"/>
                <w:b/>
                <w:color w:val="FFFFFF"/>
                <w:sz w:val="17"/>
              </w:rPr>
              <w:t>Work package</w:t>
            </w:r>
          </w:p>
        </w:tc>
        <w:tc>
          <w:tcPr>
            <w:tcW w:type="dxa" w:w="1584"/>
            <w:shd w:fill="365F91"/>
            <w:vAlign w:val="center"/>
            <w:tcMar>
              <w:top w:w="80" w:type="dxa"/>
              <w:start w:w="90" w:type="dxa"/>
              <w:bottom w:w="80" w:type="dxa"/>
              <w:end w:w="90" w:type="dxa"/>
            </w:tcMar>
          </w:tcPr>
          <w:p>
            <w:r>
              <w:t>Planned hours</w:t>
            </w:r>
          </w:p>
        </w:tc>
        <w:tc>
          <w:tcPr>
            <w:tcW w:type="dxa" w:w="3456"/>
            <w:shd w:fill="365F91"/>
            <w:vAlign w:val="center"/>
            <w:tcMar>
              <w:top w:w="80" w:type="dxa"/>
              <w:start w:w="90" w:type="dxa"/>
              <w:bottom w:w="80" w:type="dxa"/>
              <w:end w:w="90" w:type="dxa"/>
            </w:tcMar>
          </w:tcPr>
          <w:p>
            <w:r>
              <w:t>Planned output</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Research SAP SCM/SNP concepts and source documentation</w:t>
            </w:r>
          </w:p>
        </w:tc>
        <w:tc>
          <w:tcPr>
            <w:tcW w:type="dxa" w:w="1584"/>
            <w:vAlign w:val="center"/>
            <w:tcMar>
              <w:top w:w="80" w:type="dxa"/>
              <w:start w:w="90" w:type="dxa"/>
              <w:bottom w:w="80" w:type="dxa"/>
              <w:end w:w="90" w:type="dxa"/>
            </w:tcMar>
          </w:tcPr>
          <w:p>
            <w:pPr>
              <w:spacing w:after="0"/>
            </w:pPr>
            <w:r>
              <w:rPr>
                <w:rFonts w:ascii="Aptos" w:hAnsi="Aptos"/>
                <w:color w:val="1F2937"/>
                <w:sz w:val="17"/>
              </w:rPr>
              <w:t>5</w:t>
            </w:r>
          </w:p>
        </w:tc>
        <w:tc>
          <w:tcPr>
            <w:tcW w:type="dxa" w:w="3456"/>
            <w:vAlign w:val="center"/>
            <w:tcMar>
              <w:top w:w="80" w:type="dxa"/>
              <w:start w:w="90" w:type="dxa"/>
              <w:bottom w:w="80" w:type="dxa"/>
              <w:end w:w="90" w:type="dxa"/>
            </w:tcMar>
          </w:tcPr>
          <w:p>
            <w:pPr>
              <w:spacing w:after="0"/>
            </w:pPr>
            <w:r>
              <w:rPr>
                <w:rFonts w:ascii="Aptos" w:hAnsi="Aptos"/>
                <w:color w:val="1F2937"/>
                <w:sz w:val="17"/>
              </w:rPr>
              <w:t>Research notes and reference list</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Define fictional scenario, assumptions, stakeholders, and demand</w:t>
            </w:r>
          </w:p>
        </w:tc>
        <w:tc>
          <w:tcPr>
            <w:tcW w:type="dxa" w:w="1584"/>
            <w:vAlign w:val="center"/>
            <w:tcMar>
              <w:top w:w="80" w:type="dxa"/>
              <w:start w:w="90" w:type="dxa"/>
              <w:bottom w:w="80" w:type="dxa"/>
              <w:end w:w="90" w:type="dxa"/>
            </w:tcMar>
          </w:tcPr>
          <w:p>
            <w:pPr>
              <w:spacing w:after="0"/>
            </w:pPr>
            <w:r>
              <w:rPr>
                <w:rFonts w:ascii="Aptos" w:hAnsi="Aptos"/>
                <w:color w:val="1F2937"/>
                <w:sz w:val="17"/>
              </w:rPr>
              <w:t>4</w:t>
            </w:r>
          </w:p>
        </w:tc>
        <w:tc>
          <w:tcPr>
            <w:tcW w:type="dxa" w:w="3456"/>
            <w:vAlign w:val="center"/>
            <w:tcMar>
              <w:top w:w="80" w:type="dxa"/>
              <w:start w:w="90" w:type="dxa"/>
              <w:bottom w:w="80" w:type="dxa"/>
              <w:end w:w="90" w:type="dxa"/>
            </w:tcMar>
          </w:tcPr>
          <w:p>
            <w:pPr>
              <w:spacing w:after="0"/>
            </w:pPr>
            <w:r>
              <w:rPr>
                <w:rFonts w:ascii="Aptos" w:hAnsi="Aptos"/>
                <w:color w:val="1F2937"/>
                <w:sz w:val="17"/>
              </w:rPr>
              <w:t>Scenario tables and assumptions</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Design nodes, lanes, sourcing, inventory, and capacity model</w:t>
            </w:r>
          </w:p>
        </w:tc>
        <w:tc>
          <w:tcPr>
            <w:tcW w:type="dxa" w:w="1584"/>
            <w:vAlign w:val="center"/>
            <w:tcMar>
              <w:top w:w="80" w:type="dxa"/>
              <w:start w:w="90" w:type="dxa"/>
              <w:bottom w:w="80" w:type="dxa"/>
              <w:end w:w="90" w:type="dxa"/>
            </w:tcMar>
          </w:tcPr>
          <w:p>
            <w:pPr>
              <w:spacing w:after="0"/>
            </w:pPr>
            <w:r>
              <w:rPr>
                <w:rFonts w:ascii="Aptos" w:hAnsi="Aptos"/>
                <w:color w:val="1F2937"/>
                <w:sz w:val="17"/>
              </w:rPr>
              <w:t>6</w:t>
            </w:r>
          </w:p>
        </w:tc>
        <w:tc>
          <w:tcPr>
            <w:tcW w:type="dxa" w:w="3456"/>
            <w:vAlign w:val="center"/>
            <w:tcMar>
              <w:top w:w="80" w:type="dxa"/>
              <w:start w:w="90" w:type="dxa"/>
              <w:bottom w:w="80" w:type="dxa"/>
              <w:end w:w="90" w:type="dxa"/>
            </w:tcMar>
          </w:tcPr>
          <w:p>
            <w:pPr>
              <w:spacing w:after="0"/>
            </w:pPr>
            <w:r>
              <w:rPr>
                <w:rFonts w:ascii="Aptos" w:hAnsi="Aptos"/>
                <w:color w:val="1F2937"/>
                <w:sz w:val="17"/>
              </w:rPr>
              <w:t>Network diagram and lane/source design</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Document SAP master-data and configuration sequence</w:t>
            </w:r>
          </w:p>
        </w:tc>
        <w:tc>
          <w:tcPr>
            <w:tcW w:type="dxa" w:w="1584"/>
            <w:vAlign w:val="center"/>
            <w:tcMar>
              <w:top w:w="80" w:type="dxa"/>
              <w:start w:w="90" w:type="dxa"/>
              <w:bottom w:w="80" w:type="dxa"/>
              <w:end w:w="90" w:type="dxa"/>
            </w:tcMar>
          </w:tcPr>
          <w:p>
            <w:pPr>
              <w:spacing w:after="0"/>
            </w:pPr>
            <w:r>
              <w:rPr>
                <w:rFonts w:ascii="Aptos" w:hAnsi="Aptos"/>
                <w:color w:val="1F2937"/>
                <w:sz w:val="17"/>
              </w:rPr>
              <w:t>7</w:t>
            </w:r>
          </w:p>
        </w:tc>
        <w:tc>
          <w:tcPr>
            <w:tcW w:type="dxa" w:w="3456"/>
            <w:vAlign w:val="center"/>
            <w:tcMar>
              <w:top w:w="80" w:type="dxa"/>
              <w:start w:w="90" w:type="dxa"/>
              <w:bottom w:w="80" w:type="dxa"/>
              <w:end w:w="90" w:type="dxa"/>
            </w:tcMar>
          </w:tcPr>
          <w:p>
            <w:pPr>
              <w:spacing w:after="0"/>
            </w:pPr>
            <w:r>
              <w:rPr>
                <w:rFonts w:ascii="Aptos" w:hAnsi="Aptos"/>
                <w:color w:val="1F2937"/>
                <w:sz w:val="17"/>
              </w:rPr>
              <w:t>Configuration section and object checklist</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Planning methodology, KPI, deployment, and optimizer logic</w:t>
            </w:r>
          </w:p>
        </w:tc>
        <w:tc>
          <w:tcPr>
            <w:tcW w:type="dxa" w:w="1584"/>
            <w:vAlign w:val="center"/>
            <w:tcMar>
              <w:top w:w="80" w:type="dxa"/>
              <w:start w:w="90" w:type="dxa"/>
              <w:bottom w:w="80" w:type="dxa"/>
              <w:end w:w="90" w:type="dxa"/>
            </w:tcMar>
          </w:tcPr>
          <w:p>
            <w:pPr>
              <w:spacing w:after="0"/>
            </w:pPr>
            <w:r>
              <w:rPr>
                <w:rFonts w:ascii="Aptos" w:hAnsi="Aptos"/>
                <w:color w:val="1F2937"/>
                <w:sz w:val="17"/>
              </w:rPr>
              <w:t>4</w:t>
            </w:r>
          </w:p>
        </w:tc>
        <w:tc>
          <w:tcPr>
            <w:tcW w:type="dxa" w:w="3456"/>
            <w:vAlign w:val="center"/>
            <w:tcMar>
              <w:top w:w="80" w:type="dxa"/>
              <w:start w:w="90" w:type="dxa"/>
              <w:bottom w:w="80" w:type="dxa"/>
              <w:end w:w="90" w:type="dxa"/>
            </w:tcMar>
          </w:tcPr>
          <w:p>
            <w:pPr>
              <w:spacing w:after="0"/>
            </w:pPr>
            <w:r>
              <w:rPr>
                <w:rFonts w:ascii="Aptos" w:hAnsi="Aptos"/>
                <w:color w:val="1F2937"/>
                <w:sz w:val="17"/>
              </w:rPr>
              <w:t>Planning flow and KPI framework</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Risk scenarios, contingency design, and test cases</w:t>
            </w:r>
          </w:p>
        </w:tc>
        <w:tc>
          <w:tcPr>
            <w:tcW w:type="dxa" w:w="1584"/>
            <w:vAlign w:val="center"/>
            <w:tcMar>
              <w:top w:w="80" w:type="dxa"/>
              <w:start w:w="90" w:type="dxa"/>
              <w:bottom w:w="80" w:type="dxa"/>
              <w:end w:w="90" w:type="dxa"/>
            </w:tcMar>
          </w:tcPr>
          <w:p>
            <w:pPr>
              <w:spacing w:after="0"/>
            </w:pPr>
            <w:r>
              <w:rPr>
                <w:rFonts w:ascii="Aptos" w:hAnsi="Aptos"/>
                <w:color w:val="1F2937"/>
                <w:sz w:val="17"/>
              </w:rPr>
              <w:t>4</w:t>
            </w:r>
          </w:p>
        </w:tc>
        <w:tc>
          <w:tcPr>
            <w:tcW w:type="dxa" w:w="3456"/>
            <w:vAlign w:val="center"/>
            <w:tcMar>
              <w:top w:w="80" w:type="dxa"/>
              <w:start w:w="90" w:type="dxa"/>
              <w:bottom w:w="80" w:type="dxa"/>
              <w:end w:w="90" w:type="dxa"/>
            </w:tcMar>
          </w:tcPr>
          <w:p>
            <w:pPr>
              <w:spacing w:after="0"/>
            </w:pPr>
            <w:r>
              <w:rPr>
                <w:rFonts w:ascii="Aptos" w:hAnsi="Aptos"/>
                <w:color w:val="1F2937"/>
                <w:sz w:val="17"/>
              </w:rPr>
              <w:t>Risk register and validation matrix</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Editing, formatting, review, and final submission description</w:t>
            </w:r>
          </w:p>
        </w:tc>
        <w:tc>
          <w:tcPr>
            <w:tcW w:type="dxa" w:w="1584"/>
            <w:vAlign w:val="center"/>
            <w:tcMar>
              <w:top w:w="80" w:type="dxa"/>
              <w:start w:w="90" w:type="dxa"/>
              <w:bottom w:w="80" w:type="dxa"/>
              <w:end w:w="90" w:type="dxa"/>
            </w:tcMar>
          </w:tcPr>
          <w:p>
            <w:pPr>
              <w:spacing w:after="0"/>
            </w:pPr>
            <w:r>
              <w:rPr>
                <w:rFonts w:ascii="Aptos" w:hAnsi="Aptos"/>
                <w:color w:val="1F2937"/>
                <w:sz w:val="17"/>
              </w:rPr>
              <w:t>3</w:t>
            </w:r>
          </w:p>
        </w:tc>
        <w:tc>
          <w:tcPr>
            <w:tcW w:type="dxa" w:w="3456"/>
            <w:vAlign w:val="center"/>
            <w:tcMar>
              <w:top w:w="80" w:type="dxa"/>
              <w:start w:w="90" w:type="dxa"/>
              <w:bottom w:w="80" w:type="dxa"/>
              <w:end w:w="90" w:type="dxa"/>
            </w:tcMar>
          </w:tcPr>
          <w:p>
            <w:pPr>
              <w:spacing w:after="0"/>
            </w:pPr>
            <w:r>
              <w:rPr>
                <w:rFonts w:ascii="Aptos" w:hAnsi="Aptos"/>
                <w:color w:val="1F2937"/>
                <w:sz w:val="17"/>
              </w:rPr>
              <w:t>Final Word document and portal description</w:t>
            </w:r>
          </w:p>
        </w:tc>
      </w:tr>
      <w:tr>
        <w:trPr>
          <w:cantSplit/>
        </w:trPr>
        <w:tc>
          <w:tcPr>
            <w:tcW w:type="dxa" w:w="4320"/>
            <w:vAlign w:val="center"/>
            <w:tcMar>
              <w:top w:w="80" w:type="dxa"/>
              <w:start w:w="90" w:type="dxa"/>
              <w:bottom w:w="80" w:type="dxa"/>
              <w:end w:w="90" w:type="dxa"/>
            </w:tcMar>
          </w:tcPr>
          <w:p>
            <w:pPr>
              <w:spacing w:after="0"/>
            </w:pPr>
            <w:r>
              <w:rPr>
                <w:rFonts w:ascii="Aptos" w:hAnsi="Aptos"/>
                <w:color w:val="1F2937"/>
                <w:sz w:val="17"/>
              </w:rPr>
              <w:t>Total</w:t>
            </w:r>
          </w:p>
        </w:tc>
        <w:tc>
          <w:tcPr>
            <w:tcW w:type="dxa" w:w="1584"/>
            <w:vAlign w:val="center"/>
            <w:tcMar>
              <w:top w:w="80" w:type="dxa"/>
              <w:start w:w="90" w:type="dxa"/>
              <w:bottom w:w="80" w:type="dxa"/>
              <w:end w:w="90" w:type="dxa"/>
            </w:tcMar>
          </w:tcPr>
          <w:p>
            <w:pPr>
              <w:spacing w:after="0"/>
            </w:pPr>
            <w:r>
              <w:rPr>
                <w:rFonts w:ascii="Aptos" w:hAnsi="Aptos"/>
                <w:color w:val="1F2937"/>
                <w:sz w:val="17"/>
              </w:rPr>
              <w:t>33</w:t>
            </w:r>
          </w:p>
        </w:tc>
        <w:tc>
          <w:tcPr>
            <w:tcW w:type="dxa" w:w="3456"/>
            <w:vAlign w:val="center"/>
            <w:tcMar>
              <w:top w:w="80" w:type="dxa"/>
              <w:start w:w="90" w:type="dxa"/>
              <w:bottom w:w="80" w:type="dxa"/>
              <w:end w:w="90" w:type="dxa"/>
            </w:tcMar>
          </w:tcPr>
          <w:p>
            <w:pPr>
              <w:spacing w:after="0"/>
            </w:pPr>
            <w:r>
              <w:rPr>
                <w:rFonts w:ascii="Aptos" w:hAnsi="Aptos"/>
                <w:color w:val="1F2937"/>
                <w:sz w:val="17"/>
              </w:rPr>
              <w:t>Within stated 30-35 hour task range</w:t>
            </w:r>
          </w:p>
        </w:tc>
      </w:tr>
    </w:tbl>
    <w:p>
      <w:pPr>
        <w:spacing w:after="20"/>
      </w:pPr>
    </w:p>
    <w:p>
      <w:pPr>
        <w:pStyle w:val="Heading2"/>
        <w:keepNext/>
        <w:keepLines/>
      </w:pPr>
      <w:r>
        <w:rPr>
          <w:rFonts w:ascii="Aptos" w:hAnsi="Aptos"/>
          <w:b/>
          <w:color w:val="365F91"/>
          <w:sz w:val="24"/>
        </w:rPr>
        <w:t>8.4 Configuration checklist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080"/>
            <w:shd w:fill="365F91"/>
            <w:vAlign w:val="center"/>
            <w:tcMar>
              <w:top w:w="80" w:type="dxa"/>
              <w:start w:w="90" w:type="dxa"/>
              <w:bottom w:w="80" w:type="dxa"/>
              <w:end w:w="90" w:type="dxa"/>
            </w:tcMar>
          </w:tcPr>
          <w:p>
            <w:pPr>
              <w:jc w:val="center"/>
            </w:pPr>
            <w:r>
              <w:rPr>
                <w:rFonts w:ascii="Aptos" w:hAnsi="Aptos"/>
                <w:b/>
                <w:color w:val="FFFFFF"/>
                <w:sz w:val="17"/>
              </w:rPr>
              <w:t>Status</w:t>
            </w:r>
          </w:p>
        </w:tc>
        <w:tc>
          <w:tcPr>
            <w:tcW w:type="dxa" w:w="8352"/>
            <w:shd w:fill="365F91"/>
            <w:vAlign w:val="center"/>
            <w:tcMar>
              <w:top w:w="80" w:type="dxa"/>
              <w:start w:w="90" w:type="dxa"/>
              <w:bottom w:w="80" w:type="dxa"/>
              <w:end w:w="90" w:type="dxa"/>
            </w:tcMar>
          </w:tcPr>
          <w:p>
            <w:pPr>
              <w:jc w:val="center"/>
            </w:pPr>
            <w:r>
              <w:rPr>
                <w:rFonts w:ascii="Aptos" w:hAnsi="Aptos"/>
                <w:b/>
                <w:color w:val="FFFFFF"/>
                <w:sz w:val="17"/>
              </w:rPr>
              <w:t>Configuration check</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All locations created/integrated and assigned to model/version</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Finished good and raw-material location-products complete</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Resource capacity and calendar validated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PDS/PPM production source valid for the planning horizon</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Transportation lanes valid and product assignments complete</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Inbound supplier quota arrangement maintained and valid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Planning area/book/time buckets selected and initialized as required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Demand and initial stock loaded/released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Model consistency check completed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Heuristic baseline reviewed</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Optimizer scenario reviewed where applicable</w:t>
            </w:r>
          </w:p>
        </w:tc>
      </w:tr>
      <w:tr>
        <w:trPr>
          <w:cantSplit/>
        </w:trPr>
        <w:tc>
          <w:tcPr>
            <w:tcW w:type="dxa" w:w="1080"/>
            <w:vAlign w:val="center"/>
            <w:tcMar>
              <w:top w:w="80" w:type="dxa"/>
              <w:start w:w="90" w:type="dxa"/>
              <w:bottom w:w="80" w:type="dxa"/>
              <w:end w:w="90" w:type="dxa"/>
            </w:tcMar>
          </w:tcPr>
          <w:p>
            <w:pPr>
              <w:spacing w:after="0"/>
            </w:pPr>
            <w:r>
              <w:rPr>
                <w:rFonts w:ascii="Aptos" w:hAnsi="Aptos"/>
                <w:color w:val="1F2937"/>
                <w:sz w:val="17"/>
              </w:rPr>
              <w:t>☐</w:t>
            </w:r>
          </w:p>
        </w:tc>
        <w:tc>
          <w:tcPr>
            <w:tcW w:type="dxa" w:w="8352"/>
            <w:vAlign w:val="center"/>
            <w:tcMar>
              <w:top w:w="80" w:type="dxa"/>
              <w:start w:w="90" w:type="dxa"/>
              <w:bottom w:w="80" w:type="dxa"/>
              <w:end w:w="90" w:type="dxa"/>
            </w:tcMar>
          </w:tcPr>
          <w:p>
            <w:pPr>
              <w:spacing w:after="0"/>
            </w:pPr>
            <w:r>
              <w:rPr>
                <w:rFonts w:ascii="Aptos" w:hAnsi="Aptos"/>
                <w:color w:val="1F2937"/>
                <w:sz w:val="17"/>
              </w:rPr>
              <w:t>Deployment/TLB result reviewed before release</w:t>
            </w:r>
          </w:p>
        </w:tc>
      </w:tr>
    </w:tbl>
    <w:p>
      <w:pPr>
        <w:spacing w:after="20"/>
      </w:pPr>
    </w:p>
    <w:p>
      <w:pPr>
        <w:pStyle w:val="Heading1"/>
        <w:keepNext/>
        <w:keepLines/>
      </w:pPr>
      <w:r>
        <w:rPr>
          <w:rFonts w:ascii="Aptos" w:hAnsi="Aptos"/>
          <w:b/>
          <w:color w:val="365F91"/>
          <w:sz w:val="30"/>
        </w:rPr>
        <w:t>9. Conclusion</w:t>
      </w:r>
    </w:p>
    <w:p>
      <w:pPr>
        <w:spacing w:after="120" w:line="259" w:lineRule="auto"/>
      </w:pPr>
      <w:r>
        <w:rPr>
          <w:rFonts w:ascii="Aptos" w:hAnsi="Aptos"/>
          <w:color w:val="1F2937"/>
          <w:sz w:val="20"/>
        </w:rPr>
        <w:t>From this exercise, I understood more clearly that supply chain network planning is not only about drawing suppliers, plants, and warehouses. The planning model becomes useful only when sourcing rules, production capacity, inventory parameters, transportation lanes, service targets, and contingency options are connected to the same set of master data. SAP APO SNP provides that common planning structure.</w:t>
      </w:r>
    </w:p>
    <w:p>
      <w:pPr>
        <w:spacing w:after="120" w:line="259" w:lineRule="auto"/>
      </w:pPr>
      <w:r>
        <w:rPr>
          <w:rFonts w:ascii="Aptos" w:hAnsi="Aptos"/>
          <w:color w:val="1F2937"/>
          <w:sz w:val="20"/>
        </w:rPr>
        <w:t>The normal-week check is straightforward: 145 t of demand uses about 80.6% of the 180 t/week Medchal capacity. A 70/30 source split gives about 101.5 t to the Nizamabad source and 43.5 t to the Nagpur source, both within the assumed supplier capacities. This leaves some headroom in the base case. I then use separate disruption scenarios to see what changes when a supplier is unavailable, demand rises, plant capacity falls, or a lane takes longer.</w:t>
      </w:r>
    </w:p>
    <w:p>
      <w:pPr>
        <w:spacing w:after="120" w:line="259" w:lineRule="auto"/>
      </w:pPr>
      <w:r>
        <w:rPr>
          <w:rFonts w:ascii="Aptos" w:hAnsi="Aptos"/>
          <w:color w:val="1F2937"/>
          <w:sz w:val="20"/>
        </w:rPr>
        <w:t>My main learning from the task is that master-data quality has a direct effect on planning quality. A missing lane, wrong lead time, unrealistic resource capacity, or incorrect quota can change the plan even when the planning method itself is correct. For that reason, I would treat consistency checks, simulation versions, and planner review as part of the planning process, not as optional administration. The figures in this report are illustrative assumptions; they should be replaced by validated business data in a real implementation.</w:t>
      </w:r>
    </w:p>
    <w:p>
      <w:pPr>
        <w:pStyle w:val="Heading1"/>
        <w:keepNext/>
        <w:keepLines/>
      </w:pPr>
      <w:r>
        <w:rPr>
          <w:rFonts w:ascii="Aptos" w:hAnsi="Aptos"/>
          <w:b/>
          <w:color w:val="365F91"/>
          <w:sz w:val="30"/>
        </w:rPr>
        <w:t>References</w:t>
      </w:r>
    </w:p>
    <w:p>
      <w:pPr>
        <w:spacing w:after="100"/>
        <w:ind w:left="144"/>
      </w:pPr>
      <w:r>
        <w:rPr>
          <w:rFonts w:ascii="Aptos" w:hAnsi="Aptos"/>
          <w:color w:val="1F2937"/>
          <w:sz w:val="18"/>
        </w:rPr>
        <w:t xml:space="preserve">1. SAP Help Portal - Supply Network Planning, SAP APO 7.0 EHP4 (accessed 6 September 2026). </w:t>
      </w:r>
      <w:hyperlink r:id="rId13">
        <w:r>
          <w:rPr>
            <w:color w:val="0563C1"/>
            <w:u w:val="single"/>
            <w:rFonts w:ascii="Aptos" w:hAnsi="Aptos"/>
          </w:rPr>
          <w:t>SAP Help Portal</w:t>
        </w:r>
      </w:hyperlink>
    </w:p>
    <w:p>
      <w:pPr>
        <w:spacing w:after="100"/>
        <w:ind w:left="144"/>
      </w:pPr>
      <w:r>
        <w:rPr>
          <w:rFonts w:ascii="Aptos" w:hAnsi="Aptos"/>
          <w:color w:val="1F2937"/>
          <w:sz w:val="18"/>
        </w:rPr>
        <w:t xml:space="preserve">2. SAP Help Portal - Supply Network Planning Process, SAP SCM 7.0 EHP1 (accessed 6 September 2026). </w:t>
      </w:r>
      <w:hyperlink r:id="rId14">
        <w:r>
          <w:rPr>
            <w:color w:val="0563C1"/>
            <w:u w:val="single"/>
            <w:rFonts w:ascii="Aptos" w:hAnsi="Aptos"/>
          </w:rPr>
          <w:t>SAP Help Portal</w:t>
        </w:r>
      </w:hyperlink>
    </w:p>
    <w:p>
      <w:pPr>
        <w:spacing w:after="100"/>
        <w:ind w:left="144"/>
      </w:pPr>
      <w:r>
        <w:rPr>
          <w:rFonts w:ascii="Aptos" w:hAnsi="Aptos"/>
          <w:color w:val="1F2937"/>
          <w:sz w:val="18"/>
        </w:rPr>
        <w:t xml:space="preserve">3. SAP Help Portal - Master Data for Supply Network Planning, SAP APO 7.0 EHP1 (accessed 6 September 2026). </w:t>
      </w:r>
      <w:hyperlink r:id="rId15">
        <w:r>
          <w:rPr>
            <w:color w:val="0563C1"/>
            <w:u w:val="single"/>
            <w:rFonts w:ascii="Aptos" w:hAnsi="Aptos"/>
          </w:rPr>
          <w:t>SAP Help Portal</w:t>
        </w:r>
      </w:hyperlink>
    </w:p>
    <w:p>
      <w:pPr>
        <w:spacing w:after="100"/>
        <w:ind w:left="144"/>
      </w:pPr>
      <w:r>
        <w:rPr>
          <w:rFonts w:ascii="Aptos" w:hAnsi="Aptos"/>
          <w:color w:val="1F2937"/>
          <w:sz w:val="18"/>
        </w:rPr>
        <w:t xml:space="preserve">4. SAP Help Portal - Supply Network Planning Run: heuristic, optimization, and supply-demand propagation (accessed 6 September 2026). </w:t>
      </w:r>
      <w:hyperlink r:id="rId16">
        <w:r>
          <w:rPr>
            <w:color w:val="0563C1"/>
            <w:u w:val="single"/>
            <w:rFonts w:ascii="Aptos" w:hAnsi="Aptos"/>
          </w:rPr>
          <w:t>SAP Help Portal</w:t>
        </w:r>
      </w:hyperlink>
    </w:p>
    <w:p>
      <w:pPr>
        <w:spacing w:after="100"/>
        <w:ind w:left="144"/>
      </w:pPr>
      <w:r>
        <w:rPr>
          <w:rFonts w:ascii="Aptos" w:hAnsi="Aptos"/>
          <w:color w:val="1F2937"/>
          <w:sz w:val="18"/>
        </w:rPr>
        <w:t xml:space="preserve">5. SAP Help Portal - Interactive Supply Network Planning Desktop, SAP APO 7.0 (accessed 6 September 2026). </w:t>
      </w:r>
      <w:hyperlink r:id="rId17">
        <w:r>
          <w:rPr>
            <w:color w:val="0563C1"/>
            <w:u w:val="single"/>
            <w:rFonts w:ascii="Aptos" w:hAnsi="Aptos"/>
          </w:rPr>
          <w:t>SAP Help Portal</w:t>
        </w:r>
      </w:hyperlink>
    </w:p>
    <w:p>
      <w:pPr>
        <w:spacing w:after="100"/>
        <w:ind w:left="144"/>
      </w:pPr>
      <w:r>
        <w:rPr>
          <w:rFonts w:ascii="Aptos" w:hAnsi="Aptos"/>
          <w:color w:val="1F2937"/>
          <w:sz w:val="18"/>
        </w:rPr>
        <w:t xml:space="preserve">6. SAP Help Portal - Quota Arrangements, SAP APO 7.0 EHP1 (accessed 6 September 2026). </w:t>
      </w:r>
      <w:hyperlink r:id="rId18">
        <w:r>
          <w:rPr>
            <w:color w:val="0563C1"/>
            <w:u w:val="single"/>
            <w:rFonts w:ascii="Aptos" w:hAnsi="Aptos"/>
          </w:rPr>
          <w:t>SAP Help Portal</w:t>
        </w:r>
      </w:hyperlink>
    </w:p>
    <w:p>
      <w:pPr>
        <w:spacing w:after="100"/>
        <w:ind w:left="144"/>
      </w:pPr>
      <w:r>
        <w:rPr>
          <w:rFonts w:ascii="Aptos" w:hAnsi="Aptos"/>
          <w:color w:val="1F2937"/>
          <w:sz w:val="18"/>
        </w:rPr>
        <w:t xml:space="preserve">7. SAP Help Portal - Definition of Transportation Lanes / transaction /SAPAPO/SCC_TL1 (accessed 6 September 2026). </w:t>
      </w:r>
      <w:hyperlink r:id="rId19">
        <w:r>
          <w:rPr>
            <w:color w:val="0563C1"/>
            <w:u w:val="single"/>
            <w:rFonts w:ascii="Aptos" w:hAnsi="Aptos"/>
          </w:rPr>
          <w:t>SAP Help Portal</w:t>
        </w:r>
      </w:hyperlink>
    </w:p>
    <w:p>
      <w:pPr>
        <w:spacing w:after="100"/>
        <w:ind w:left="144"/>
      </w:pPr>
      <w:r>
        <w:rPr>
          <w:rFonts w:ascii="Aptos" w:hAnsi="Aptos"/>
          <w:color w:val="1F2937"/>
          <w:sz w:val="18"/>
        </w:rPr>
        <w:t xml:space="preserve">8. SAP Help Portal - Source Determination (Optimizer), SAP APO 7.0 (accessed 6 September 2026). </w:t>
      </w:r>
      <w:hyperlink r:id="rId20">
        <w:r>
          <w:rPr>
            <w:color w:val="0563C1"/>
            <w:u w:val="single"/>
            <w:rFonts w:ascii="Aptos" w:hAnsi="Aptos"/>
          </w:rPr>
          <w:t>SAP Help Portal</w:t>
        </w:r>
      </w:hyperlink>
    </w:p>
    <w:p>
      <w:pPr>
        <w:spacing w:after="100"/>
        <w:ind w:left="144"/>
      </w:pPr>
      <w:r>
        <w:rPr>
          <w:rFonts w:ascii="Aptos" w:hAnsi="Aptos"/>
          <w:color w:val="1F2937"/>
          <w:sz w:val="18"/>
        </w:rPr>
        <w:t xml:space="preserve">9. SAP Help Portal - Optimization Profiles and cost weighting in SNP (accessed 6 September 2026). </w:t>
      </w:r>
      <w:hyperlink r:id="rId21">
        <w:r>
          <w:rPr>
            <w:color w:val="0563C1"/>
            <w:u w:val="single"/>
            <w:rFonts w:ascii="Aptos" w:hAnsi="Aptos"/>
          </w:rPr>
          <w:t>SAP Help Portal</w:t>
        </w:r>
      </w:hyperlink>
    </w:p>
    <w:p>
      <w:pPr>
        <w:spacing w:after="100"/>
        <w:ind w:left="144"/>
      </w:pPr>
      <w:r>
        <w:rPr>
          <w:rFonts w:ascii="Aptos" w:hAnsi="Aptos"/>
          <w:color w:val="1F2937"/>
          <w:sz w:val="18"/>
        </w:rPr>
        <w:t xml:space="preserve">10. SAP Help Portal - SCM APO Supply Network Planning overview and deployment resources (accessed 6 September 2026). </w:t>
      </w:r>
      <w:hyperlink r:id="rId22">
        <w:r>
          <w:rPr>
            <w:color w:val="0563C1"/>
            <w:u w:val="single"/>
            <w:rFonts w:ascii="Aptos" w:hAnsi="Aptos"/>
          </w:rPr>
          <w:t>SAP Help Portal</w:t>
        </w:r>
      </w:hyperlink>
    </w:p>
    <w:p>
      <w:pPr>
        <w:pStyle w:val="Heading1"/>
        <w:keepNext/>
        <w:keepLines/>
      </w:pPr>
      <w:r>
        <w:rPr>
          <w:rFonts w:ascii="Aptos" w:hAnsi="Aptos"/>
          <w:b/>
          <w:color w:val="365F91"/>
          <w:sz w:val="30"/>
        </w:rPr>
        <w:t>Appendices</w:t>
      </w:r>
    </w:p>
    <w:p>
      <w:pPr>
        <w:pStyle w:val="Heading2"/>
        <w:keepNext/>
        <w:keepLines/>
      </w:pPr>
      <w:r>
        <w:rPr>
          <w:rFonts w:ascii="Aptos" w:hAnsi="Aptos"/>
          <w:b/>
          <w:color w:val="365F91"/>
          <w:sz w:val="24"/>
        </w:rPr>
        <w:t>Appendix A - Master Data Snapshot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shd w:fill="365F91"/>
            <w:vAlign w:val="center"/>
            <w:tcMar>
              <w:top w:w="80" w:type="dxa"/>
              <w:start w:w="90" w:type="dxa"/>
              <w:bottom w:w="80" w:type="dxa"/>
              <w:end w:w="90" w:type="dxa"/>
            </w:tcMar>
          </w:tcPr>
          <w:p>
            <w:pPr>
              <w:jc w:val="center"/>
            </w:pPr>
            <w:r>
              <w:rPr>
                <w:rFonts w:ascii="Aptos" w:hAnsi="Aptos"/>
                <w:b/>
                <w:color w:val="FFFFFF"/>
                <w:sz w:val="17"/>
              </w:rPr>
              <w:t>Object</w:t>
            </w:r>
          </w:p>
        </w:tc>
        <w:tc>
          <w:tcPr>
            <w:tcW w:type="dxa" w:w="2448"/>
            <w:shd w:fill="365F91"/>
            <w:vAlign w:val="center"/>
            <w:tcMar>
              <w:top w:w="80" w:type="dxa"/>
              <w:start w:w="90" w:type="dxa"/>
              <w:bottom w:w="80" w:type="dxa"/>
              <w:end w:w="90" w:type="dxa"/>
            </w:tcMar>
          </w:tcPr>
          <w:p>
            <w:pPr>
              <w:jc w:val="center"/>
            </w:pPr>
            <w:r>
              <w:rPr>
                <w:rFonts w:ascii="Aptos" w:hAnsi="Aptos"/>
                <w:b/>
                <w:color w:val="FFFFFF"/>
                <w:sz w:val="17"/>
              </w:rPr>
              <w:t>ID</w:t>
            </w:r>
          </w:p>
        </w:tc>
        <w:tc>
          <w:tcPr>
            <w:tcW w:type="dxa" w:w="2880"/>
            <w:shd w:fill="365F91"/>
            <w:vAlign w:val="center"/>
            <w:tcMar>
              <w:top w:w="80" w:type="dxa"/>
              <w:start w:w="90" w:type="dxa"/>
              <w:bottom w:w="80" w:type="dxa"/>
              <w:end w:w="90" w:type="dxa"/>
            </w:tcMar>
          </w:tcPr>
          <w:p>
            <w:pPr>
              <w:jc w:val="center"/>
            </w:pPr>
            <w:r>
              <w:rPr>
                <w:rFonts w:ascii="Aptos" w:hAnsi="Aptos"/>
                <w:b/>
                <w:color w:val="FFFFFF"/>
                <w:sz w:val="17"/>
              </w:rPr>
              <w:t>Location / assignment</w:t>
            </w:r>
          </w:p>
        </w:tc>
        <w:tc>
          <w:tcPr>
            <w:tcW w:type="dxa" w:w="2952"/>
            <w:shd w:fill="365F91"/>
            <w:vAlign w:val="center"/>
            <w:tcMar>
              <w:top w:w="80" w:type="dxa"/>
              <w:start w:w="90" w:type="dxa"/>
              <w:bottom w:w="80" w:type="dxa"/>
              <w:end w:w="90" w:type="dxa"/>
            </w:tcMar>
          </w:tcPr>
          <w:p>
            <w:pPr>
              <w:jc w:val="center"/>
            </w:pPr>
            <w:r>
              <w:rPr>
                <w:rFonts w:ascii="Aptos" w:hAnsi="Aptos"/>
                <w:b/>
                <w:color w:val="FFFFFF"/>
                <w:sz w:val="17"/>
              </w:rPr>
              <w:t>Important planning value</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Finished good</w:t>
            </w:r>
          </w:p>
        </w:tc>
        <w:tc>
          <w:tcPr>
            <w:tcW w:type="dxa" w:w="2448"/>
            <w:vAlign w:val="center"/>
            <w:tcMar>
              <w:top w:w="80" w:type="dxa"/>
              <w:start w:w="90" w:type="dxa"/>
              <w:bottom w:w="80" w:type="dxa"/>
              <w:end w:w="90" w:type="dxa"/>
            </w:tcMar>
          </w:tcPr>
          <w:p>
            <w:pPr>
              <w:spacing w:after="0"/>
            </w:pPr>
            <w:r>
              <w:rPr>
                <w:rFonts w:ascii="Aptos" w:hAnsi="Aptos"/>
                <w:color w:val="1F2937"/>
                <w:sz w:val="17"/>
              </w:rPr>
              <w:t>DH-MILLET-MIX-1KG</w:t>
            </w:r>
          </w:p>
        </w:tc>
        <w:tc>
          <w:tcPr>
            <w:tcW w:type="dxa" w:w="2880"/>
            <w:vAlign w:val="center"/>
            <w:tcMar>
              <w:top w:w="80" w:type="dxa"/>
              <w:start w:w="90" w:type="dxa"/>
              <w:bottom w:w="80" w:type="dxa"/>
              <w:end w:w="90" w:type="dxa"/>
            </w:tcMar>
          </w:tcPr>
          <w:p>
            <w:pPr>
              <w:spacing w:after="0"/>
            </w:pPr>
            <w:r>
              <w:rPr>
                <w:rFonts w:ascii="Aptos" w:hAnsi="Aptos"/>
                <w:color w:val="1F2937"/>
                <w:sz w:val="17"/>
              </w:rPr>
              <w:t>PLT_MED, DC_HYD, DC_VJA, DC_BLR</w:t>
            </w:r>
          </w:p>
        </w:tc>
        <w:tc>
          <w:tcPr>
            <w:tcW w:type="dxa" w:w="2952"/>
            <w:vAlign w:val="center"/>
            <w:tcMar>
              <w:top w:w="80" w:type="dxa"/>
              <w:start w:w="90" w:type="dxa"/>
              <w:bottom w:w="80" w:type="dxa"/>
              <w:end w:w="90" w:type="dxa"/>
            </w:tcMar>
          </w:tcPr>
          <w:p>
            <w:pPr>
              <w:spacing w:after="0"/>
            </w:pPr>
            <w:r>
              <w:rPr>
                <w:rFonts w:ascii="Aptos" w:hAnsi="Aptos"/>
                <w:color w:val="1F2937"/>
                <w:sz w:val="17"/>
              </w:rPr>
              <w:t>Base UoM kg/t; safety stock by DC</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Raw material</w:t>
            </w:r>
          </w:p>
        </w:tc>
        <w:tc>
          <w:tcPr>
            <w:tcW w:type="dxa" w:w="2448"/>
            <w:vAlign w:val="center"/>
            <w:tcMar>
              <w:top w:w="80" w:type="dxa"/>
              <w:start w:w="90" w:type="dxa"/>
              <w:bottom w:w="80" w:type="dxa"/>
              <w:end w:w="90" w:type="dxa"/>
            </w:tcMar>
          </w:tcPr>
          <w:p>
            <w:pPr>
              <w:spacing w:after="0"/>
            </w:pPr>
            <w:r>
              <w:rPr>
                <w:rFonts w:ascii="Aptos" w:hAnsi="Aptos"/>
                <w:color w:val="1F2937"/>
                <w:sz w:val="17"/>
              </w:rPr>
              <w:t>RM-MILLET</w:t>
            </w:r>
          </w:p>
        </w:tc>
        <w:tc>
          <w:tcPr>
            <w:tcW w:type="dxa" w:w="2880"/>
            <w:vAlign w:val="center"/>
            <w:tcMar>
              <w:top w:w="80" w:type="dxa"/>
              <w:start w:w="90" w:type="dxa"/>
              <w:bottom w:w="80" w:type="dxa"/>
              <w:end w:w="90" w:type="dxa"/>
            </w:tcMar>
          </w:tcPr>
          <w:p>
            <w:pPr>
              <w:spacing w:after="0"/>
            </w:pPr>
            <w:r>
              <w:rPr>
                <w:rFonts w:ascii="Aptos" w:hAnsi="Aptos"/>
                <w:color w:val="1F2937"/>
                <w:sz w:val="17"/>
              </w:rPr>
              <w:t>PLT_MED</w:t>
            </w:r>
          </w:p>
        </w:tc>
        <w:tc>
          <w:tcPr>
            <w:tcW w:type="dxa" w:w="2952"/>
            <w:vAlign w:val="center"/>
            <w:tcMar>
              <w:top w:w="80" w:type="dxa"/>
              <w:start w:w="90" w:type="dxa"/>
              <w:bottom w:w="80" w:type="dxa"/>
              <w:end w:w="90" w:type="dxa"/>
            </w:tcMar>
          </w:tcPr>
          <w:p>
            <w:pPr>
              <w:spacing w:after="0"/>
            </w:pPr>
            <w:r>
              <w:rPr>
                <w:rFonts w:ascii="Aptos" w:hAnsi="Aptos"/>
                <w:color w:val="1F2937"/>
                <w:sz w:val="17"/>
              </w:rPr>
              <w:t>Dual source S1/S2; 70/30 base quota</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Packaging</w:t>
            </w:r>
          </w:p>
        </w:tc>
        <w:tc>
          <w:tcPr>
            <w:tcW w:type="dxa" w:w="2448"/>
            <w:vAlign w:val="center"/>
            <w:tcMar>
              <w:top w:w="80" w:type="dxa"/>
              <w:start w:w="90" w:type="dxa"/>
              <w:bottom w:w="80" w:type="dxa"/>
              <w:end w:w="90" w:type="dxa"/>
            </w:tcMar>
          </w:tcPr>
          <w:p>
            <w:pPr>
              <w:spacing w:after="0"/>
            </w:pPr>
            <w:r>
              <w:rPr>
                <w:rFonts w:ascii="Aptos" w:hAnsi="Aptos"/>
                <w:color w:val="1F2937"/>
                <w:sz w:val="17"/>
              </w:rPr>
              <w:t>PKG-1KG</w:t>
            </w:r>
          </w:p>
        </w:tc>
        <w:tc>
          <w:tcPr>
            <w:tcW w:type="dxa" w:w="2880"/>
            <w:vAlign w:val="center"/>
            <w:tcMar>
              <w:top w:w="80" w:type="dxa"/>
              <w:start w:w="90" w:type="dxa"/>
              <w:bottom w:w="80" w:type="dxa"/>
              <w:end w:w="90" w:type="dxa"/>
            </w:tcMar>
          </w:tcPr>
          <w:p>
            <w:pPr>
              <w:spacing w:after="0"/>
            </w:pPr>
            <w:r>
              <w:rPr>
                <w:rFonts w:ascii="Aptos" w:hAnsi="Aptos"/>
                <w:color w:val="1F2937"/>
                <w:sz w:val="17"/>
              </w:rPr>
              <w:t>PLT_MED</w:t>
            </w:r>
          </w:p>
        </w:tc>
        <w:tc>
          <w:tcPr>
            <w:tcW w:type="dxa" w:w="2952"/>
            <w:vAlign w:val="center"/>
            <w:tcMar>
              <w:top w:w="80" w:type="dxa"/>
              <w:start w:w="90" w:type="dxa"/>
              <w:bottom w:w="80" w:type="dxa"/>
              <w:end w:w="90" w:type="dxa"/>
            </w:tcMar>
          </w:tcPr>
          <w:p>
            <w:pPr>
              <w:spacing w:after="0"/>
            </w:pPr>
            <w:r>
              <w:rPr>
                <w:rFonts w:ascii="Aptos" w:hAnsi="Aptos"/>
                <w:color w:val="1F2937"/>
                <w:sz w:val="17"/>
              </w:rPr>
              <w:t>1-day supplier lead time; 2-week cover</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Production resource</w:t>
            </w:r>
          </w:p>
        </w:tc>
        <w:tc>
          <w:tcPr>
            <w:tcW w:type="dxa" w:w="2448"/>
            <w:vAlign w:val="center"/>
            <w:tcMar>
              <w:top w:w="80" w:type="dxa"/>
              <w:start w:w="90" w:type="dxa"/>
              <w:bottom w:w="80" w:type="dxa"/>
              <w:end w:w="90" w:type="dxa"/>
            </w:tcMar>
          </w:tcPr>
          <w:p>
            <w:pPr>
              <w:spacing w:after="0"/>
            </w:pPr>
            <w:r>
              <w:rPr>
                <w:rFonts w:ascii="Aptos" w:hAnsi="Aptos"/>
                <w:color w:val="1F2937"/>
                <w:sz w:val="17"/>
              </w:rPr>
              <w:t>RES_MED_PACK</w:t>
            </w:r>
          </w:p>
        </w:tc>
        <w:tc>
          <w:tcPr>
            <w:tcW w:type="dxa" w:w="2880"/>
            <w:vAlign w:val="center"/>
            <w:tcMar>
              <w:top w:w="80" w:type="dxa"/>
              <w:start w:w="90" w:type="dxa"/>
              <w:bottom w:w="80" w:type="dxa"/>
              <w:end w:w="90" w:type="dxa"/>
            </w:tcMar>
          </w:tcPr>
          <w:p>
            <w:pPr>
              <w:spacing w:after="0"/>
            </w:pPr>
            <w:r>
              <w:rPr>
                <w:rFonts w:ascii="Aptos" w:hAnsi="Aptos"/>
                <w:color w:val="1F2937"/>
                <w:sz w:val="17"/>
              </w:rPr>
              <w:t>PLT_MED</w:t>
            </w:r>
          </w:p>
        </w:tc>
        <w:tc>
          <w:tcPr>
            <w:tcW w:type="dxa" w:w="2952"/>
            <w:vAlign w:val="center"/>
            <w:tcMar>
              <w:top w:w="80" w:type="dxa"/>
              <w:start w:w="90" w:type="dxa"/>
              <w:bottom w:w="80" w:type="dxa"/>
              <w:end w:w="90" w:type="dxa"/>
            </w:tcMar>
          </w:tcPr>
          <w:p>
            <w:pPr>
              <w:spacing w:after="0"/>
            </w:pPr>
            <w:r>
              <w:rPr>
                <w:rFonts w:ascii="Aptos" w:hAnsi="Aptos"/>
                <w:color w:val="1F2937"/>
                <w:sz w:val="17"/>
              </w:rPr>
              <w:t>180 t/week capacity</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Model</w:t>
            </w:r>
          </w:p>
        </w:tc>
        <w:tc>
          <w:tcPr>
            <w:tcW w:type="dxa" w:w="2448"/>
            <w:vAlign w:val="center"/>
            <w:tcMar>
              <w:top w:w="80" w:type="dxa"/>
              <w:start w:w="90" w:type="dxa"/>
              <w:bottom w:w="80" w:type="dxa"/>
              <w:end w:w="90" w:type="dxa"/>
            </w:tcMar>
          </w:tcPr>
          <w:p>
            <w:pPr>
              <w:spacing w:after="0"/>
            </w:pPr>
            <w:r>
              <w:rPr>
                <w:rFonts w:ascii="Aptos" w:hAnsi="Aptos"/>
                <w:color w:val="1F2937"/>
                <w:sz w:val="17"/>
              </w:rPr>
              <w:t>ZDH_SNP</w:t>
            </w:r>
          </w:p>
        </w:tc>
        <w:tc>
          <w:tcPr>
            <w:tcW w:type="dxa" w:w="2880"/>
            <w:vAlign w:val="center"/>
            <w:tcMar>
              <w:top w:w="80" w:type="dxa"/>
              <w:start w:w="90" w:type="dxa"/>
              <w:bottom w:w="80" w:type="dxa"/>
              <w:end w:w="90" w:type="dxa"/>
            </w:tcMar>
          </w:tcPr>
          <w:p>
            <w:pPr>
              <w:spacing w:after="0"/>
            </w:pPr>
            <w:r>
              <w:rPr>
                <w:rFonts w:ascii="Aptos" w:hAnsi="Aptos"/>
                <w:color w:val="1F2937"/>
                <w:sz w:val="17"/>
              </w:rPr>
              <w:t>All scenario objects</w:t>
            </w:r>
          </w:p>
        </w:tc>
        <w:tc>
          <w:tcPr>
            <w:tcW w:type="dxa" w:w="2952"/>
            <w:vAlign w:val="center"/>
            <w:tcMar>
              <w:top w:w="80" w:type="dxa"/>
              <w:start w:w="90" w:type="dxa"/>
              <w:bottom w:w="80" w:type="dxa"/>
              <w:end w:w="90" w:type="dxa"/>
            </w:tcMar>
          </w:tcPr>
          <w:p>
            <w:pPr>
              <w:spacing w:after="0"/>
            </w:pPr>
            <w:r>
              <w:rPr>
                <w:rFonts w:ascii="Aptos" w:hAnsi="Aptos"/>
                <w:color w:val="1F2937"/>
                <w:sz w:val="17"/>
              </w:rPr>
              <w:t>Simulation network model</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Planning version</w:t>
            </w:r>
          </w:p>
        </w:tc>
        <w:tc>
          <w:tcPr>
            <w:tcW w:type="dxa" w:w="2448"/>
            <w:vAlign w:val="center"/>
            <w:tcMar>
              <w:top w:w="80" w:type="dxa"/>
              <w:start w:w="90" w:type="dxa"/>
              <w:bottom w:w="80" w:type="dxa"/>
              <w:end w:w="90" w:type="dxa"/>
            </w:tcMar>
          </w:tcPr>
          <w:p>
            <w:pPr>
              <w:spacing w:after="0"/>
            </w:pPr>
            <w:r>
              <w:rPr>
                <w:rFonts w:ascii="Aptos" w:hAnsi="Aptos"/>
                <w:color w:val="1F2937"/>
                <w:sz w:val="17"/>
              </w:rPr>
              <w:t>Z01</w:t>
            </w:r>
          </w:p>
        </w:tc>
        <w:tc>
          <w:tcPr>
            <w:tcW w:type="dxa" w:w="2880"/>
            <w:vAlign w:val="center"/>
            <w:tcMar>
              <w:top w:w="80" w:type="dxa"/>
              <w:start w:w="90" w:type="dxa"/>
              <w:bottom w:w="80" w:type="dxa"/>
              <w:end w:w="90" w:type="dxa"/>
            </w:tcMar>
          </w:tcPr>
          <w:p>
            <w:pPr>
              <w:spacing w:after="0"/>
            </w:pPr>
            <w:r>
              <w:rPr>
                <w:rFonts w:ascii="Aptos" w:hAnsi="Aptos"/>
                <w:color w:val="1F2937"/>
                <w:sz w:val="17"/>
              </w:rPr>
              <w:t>ZDH_SNP</w:t>
            </w:r>
          </w:p>
        </w:tc>
        <w:tc>
          <w:tcPr>
            <w:tcW w:type="dxa" w:w="2952"/>
            <w:vAlign w:val="center"/>
            <w:tcMar>
              <w:top w:w="80" w:type="dxa"/>
              <w:start w:w="90" w:type="dxa"/>
              <w:bottom w:w="80" w:type="dxa"/>
              <w:end w:w="90" w:type="dxa"/>
            </w:tcMar>
          </w:tcPr>
          <w:p>
            <w:pPr>
              <w:spacing w:after="0"/>
            </w:pPr>
            <w:r>
              <w:rPr>
                <w:rFonts w:ascii="Aptos" w:hAnsi="Aptos"/>
                <w:color w:val="1F2937"/>
                <w:sz w:val="17"/>
              </w:rPr>
              <w:t>Scenario version; isolate changes</w:t>
            </w:r>
          </w:p>
        </w:tc>
      </w:tr>
      <w:tr>
        <w:trPr>
          <w:cantSplit/>
        </w:trPr>
        <w:tc>
          <w:tcPr>
            <w:tcW w:type="dxa" w:w="1944"/>
            <w:vAlign w:val="center"/>
            <w:tcMar>
              <w:top w:w="80" w:type="dxa"/>
              <w:start w:w="90" w:type="dxa"/>
              <w:bottom w:w="80" w:type="dxa"/>
              <w:end w:w="90" w:type="dxa"/>
            </w:tcMar>
          </w:tcPr>
          <w:p>
            <w:pPr>
              <w:spacing w:after="0"/>
            </w:pPr>
            <w:r>
              <w:rPr>
                <w:rFonts w:ascii="Aptos" w:hAnsi="Aptos"/>
                <w:color w:val="1F2937"/>
                <w:sz w:val="17"/>
              </w:rPr>
              <w:t>Planning book</w:t>
            </w:r>
          </w:p>
        </w:tc>
        <w:tc>
          <w:tcPr>
            <w:tcW w:type="dxa" w:w="2448"/>
            <w:vAlign w:val="center"/>
            <w:tcMar>
              <w:top w:w="80" w:type="dxa"/>
              <w:start w:w="90" w:type="dxa"/>
              <w:bottom w:w="80" w:type="dxa"/>
              <w:end w:w="90" w:type="dxa"/>
            </w:tcMar>
          </w:tcPr>
          <w:p>
            <w:pPr>
              <w:spacing w:after="0"/>
            </w:pPr>
            <w:r>
              <w:rPr>
                <w:rFonts w:ascii="Aptos" w:hAnsi="Aptos"/>
                <w:color w:val="1F2937"/>
                <w:sz w:val="17"/>
              </w:rPr>
              <w:t>9ASNP94 / ZDH_SNP94</w:t>
            </w:r>
          </w:p>
        </w:tc>
        <w:tc>
          <w:tcPr>
            <w:tcW w:type="dxa" w:w="2880"/>
            <w:vAlign w:val="center"/>
            <w:tcMar>
              <w:top w:w="80" w:type="dxa"/>
              <w:start w:w="90" w:type="dxa"/>
              <w:bottom w:w="80" w:type="dxa"/>
              <w:end w:w="90" w:type="dxa"/>
            </w:tcMar>
          </w:tcPr>
          <w:p>
            <w:pPr>
              <w:spacing w:after="0"/>
            </w:pPr>
            <w:r>
              <w:rPr>
                <w:rFonts w:ascii="Aptos" w:hAnsi="Aptos"/>
                <w:color w:val="1F2937"/>
                <w:sz w:val="17"/>
              </w:rPr>
              <w:t>SNP planning</w:t>
            </w:r>
          </w:p>
        </w:tc>
        <w:tc>
          <w:tcPr>
            <w:tcW w:type="dxa" w:w="2952"/>
            <w:vAlign w:val="center"/>
            <w:tcMar>
              <w:top w:w="80" w:type="dxa"/>
              <w:start w:w="90" w:type="dxa"/>
              <w:bottom w:w="80" w:type="dxa"/>
              <w:end w:w="90" w:type="dxa"/>
            </w:tcMar>
          </w:tcPr>
          <w:p>
            <w:pPr>
              <w:spacing w:after="0"/>
            </w:pPr>
            <w:r>
              <w:rPr>
                <w:rFonts w:ascii="Aptos" w:hAnsi="Aptos"/>
                <w:color w:val="1F2937"/>
                <w:sz w:val="17"/>
              </w:rPr>
              <w:t>Interactive review and planning</w:t>
            </w:r>
          </w:p>
        </w:tc>
      </w:tr>
    </w:tbl>
    <w:p>
      <w:pPr>
        <w:spacing w:after="20"/>
      </w:pPr>
    </w:p>
    <w:p>
      <w:pPr>
        <w:pStyle w:val="Heading2"/>
        <w:keepNext/>
        <w:keepLines/>
      </w:pPr>
      <w:r>
        <w:rPr>
          <w:rFonts w:ascii="Aptos" w:hAnsi="Aptos"/>
          <w:b/>
          <w:color w:val="365F91"/>
          <w:sz w:val="24"/>
        </w:rPr>
        <w:t>Appendix B - Report Submission Description (200+ words)</w:t>
      </w:r>
    </w:p>
    <w:p>
      <w:pPr>
        <w:spacing w:after="120" w:line="259" w:lineRule="auto"/>
      </w:pPr>
      <w:r>
        <w:rPr>
          <w:rFonts w:ascii="Aptos" w:hAnsi="Aptos"/>
          <w:color w:val="1F2937"/>
          <w:sz w:val="20"/>
        </w:rPr>
        <w:t>For my Week 1 task, I designed a fictional supply chain network for Deccan Harvest Foods Pvt. Ltd., a manufacturer of packaged millet-based ready-to-cook products. I used SAP SCM concepts with emphasis on SAP APO Supply Network Planning (SNP). The scenario includes two raw-material sources, a packaging supplier, one manufacturing plant, three regional distribution centers, and markets in Telangana, Andhra Pradesh, and Karnataka. I selected this structure so the exercise could cover sourcing, capacity, inventory, transportation, and service-level decisions. The report explains the assumptions, 70/30 dual-source policy, plant and supplier capacities, safety-stock targets, transportation lanes, stakeholder responsibilities, and the reasoning behind the design.</w:t>
      </w:r>
    </w:p>
    <w:p>
      <w:pPr>
        <w:spacing w:after="120" w:line="259" w:lineRule="auto"/>
      </w:pPr>
      <w:r>
        <w:rPr>
          <w:rFonts w:ascii="Aptos" w:hAnsi="Aptos"/>
          <w:color w:val="1F2937"/>
          <w:sz w:val="20"/>
        </w:rPr>
        <w:t>The SAP section is presented as a configuration blueprint rather than as a claim of changes made in a live production system. It covers locations, products/location-products, resources, production sources, transportation lanes, quota arrangements, the supply chain model, planning version, planning area, and planning book. I explain why I would start with the SNP heuristic for a transparent baseline and use optimizer scenarios when sourcing, cost, or capacity trade-offs need comparison. I also cover deployment, Transport Load Builder, KPIs, test cases, and contingency planning. A normal-week feasibility check uses 145 t of demand against 180 t of plant capacity, or about 80.6% utilization, leaving recovery headroom. The risk analysis considers supplier disruption, plant downtime, demand spikes, transport delays, packaging shortages, master-data errors, and interface issues. My main learning is that reliable planning depends heavily on accurate master data and controlled scenario testing.</w:t>
      </w:r>
    </w:p>
    <w:sectPr w:rsidR="00FC693F" w:rsidRPr="0006063C" w:rsidSect="00034616">
      <w:headerReference w:type="default" r:id="rId9"/>
      <w:footerReference w:type="default" r:id="rId10"/>
      <w:pgSz w:w="12240" w:h="15840"/>
      <w:pgMar w:top="1080"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Week 1 | SAP SCM Supply Chain Network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help.sap.com/docs/SAP_SUPPLY_CHAIN_MANAGEMENT/5632d7cbffa04b21be22106e9a212038/8924fd50c827e95ee10000000a44538d.html" TargetMode="External"/><Relationship Id="rId14" Type="http://schemas.openxmlformats.org/officeDocument/2006/relationships/hyperlink" Target="https://help.sap.com/docs/SAP_SUPPLY_CHAIN_MANAGEMENT/49dd58c18be2493b80f84359d659f4a4/793fc95360267614e10000000a174cb4.html" TargetMode="External"/><Relationship Id="rId15" Type="http://schemas.openxmlformats.org/officeDocument/2006/relationships/hyperlink" Target="https://help.sap.com/docs/SAP_SUPPLY_CHAIN_MANAGEMENT/49dd58c18be2493b80f84359d659f4a4/bae50332-9532-449f-af7b-deb89630adee.html" TargetMode="External"/><Relationship Id="rId16" Type="http://schemas.openxmlformats.org/officeDocument/2006/relationships/hyperlink" Target="https://help.sap.com/docs/SAP_SUPPLY_CHAIN_MANAGEMENT/5632d7cbffa04b21be22106e9a212038/3847c95360267614e10000000a174cb4.html" TargetMode="External"/><Relationship Id="rId17" Type="http://schemas.openxmlformats.org/officeDocument/2006/relationships/hyperlink" Target="https://help.sap.com/docs/sap_supply_chain_management/d8a0d82aa9c041028502c8c175143205/fd78c95360267514e10000000a174cb4.html" TargetMode="External"/><Relationship Id="rId18" Type="http://schemas.openxmlformats.org/officeDocument/2006/relationships/hyperlink" Target="https://help.sap.com/docs/SUPPORT_CONTENT/sapo/3354622969.html" TargetMode="External"/><Relationship Id="rId19" Type="http://schemas.openxmlformats.org/officeDocument/2006/relationships/hyperlink" Target="https://help.sap.com/docs/SUPPORT_CONTENT/sapo/3354623251.html" TargetMode="External"/><Relationship Id="rId20" Type="http://schemas.openxmlformats.org/officeDocument/2006/relationships/hyperlink" Target="https://help.sap.com/docs/SAP_SUPPLY_CHAIN_MANAGEMENT/5632d7cbffa04b21be22106e9a212038/6437c95360267614e10000000a174cb4.html" TargetMode="External"/><Relationship Id="rId21" Type="http://schemas.openxmlformats.org/officeDocument/2006/relationships/hyperlink" Target="https://help.sap.com/docs/SAP_SUPPLY_CHAIN_MANAGEMENT/5632d7cbffa04b21be22106e9a212038/4d734426b08e1465e10000000a15822b.html" TargetMode="External"/><Relationship Id="rId22" Type="http://schemas.openxmlformats.org/officeDocument/2006/relationships/hyperlink" Target="https://help.sap.com/saphelp_SCM700_ehp01/helpdata/en/4a/a07012dbfb38dde10000000a42189b/conte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Task - Supply Chain Network Planning using SAP SCM</dc:title>
  <dc:subject>SAP APO Supply Network Planning internship report</dc:subject>
  <dc:creator>Hrudhai Prem Kumar Patwari</dc:creator>
  <cp:keywords>SAP SCM, SAP APO, SNP, Supply Network Planning, Logistics, Network Design, Internship</cp:keywords>
  <dc:description>Academic simulation using fictional business data.</dc:description>
  <cp:lastModifiedBy/>
  <cp:revision>1</cp:revision>
  <dcterms:created xsi:type="dcterms:W3CDTF">2013-12-23T23:15:00Z</dcterms:created>
  <dcterms:modified xsi:type="dcterms:W3CDTF">2013-12-23T23:15:00Z</dcterms:modified>
  <cp:category/>
</cp:coreProperties>
</file>