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1F3751"/>
          <w:sz w:val="40"/>
        </w:rPr>
        <w:t>SAP SCM - WEEK 4</w:t>
      </w:r>
    </w:p>
    <w:p>
      <w:pPr>
        <w:jc w:val="center"/>
      </w:pPr>
      <w:r>
        <w:rPr>
          <w:b/>
          <w:color w:val="1F3751"/>
          <w:sz w:val="60"/>
        </w:rPr>
        <w:t>Transportation Management and</w:t>
        <w:br/>
        <w:t>Warehouse Logistics</w:t>
      </w:r>
    </w:p>
    <w:p>
      <w:pPr>
        <w:spacing w:before="400"/>
        <w:jc w:val="center"/>
      </w:pPr>
      <w:r>
        <w:rPr>
          <w:i/>
          <w:sz w:val="30"/>
        </w:rPr>
        <w:t>Integrated SAP SCM / TM / EWM Planning Simulation</w:t>
      </w:r>
    </w:p>
    <w:p>
      <w:r>
        <w:br/>
      </w:r>
    </w:p>
    <w:tbl>
      <w:tblPr>
        <w:tblStyle w:val="TableGrid"/>
        <w:tblW w:type="auto" w:w="0"/>
        <w:jc w:val="center"/>
        <w:tblLook w:firstColumn="1" w:firstRow="1" w:lastColumn="0" w:lastRow="0" w:noHBand="0" w:noVBand="1" w:val="04A0"/>
      </w:tblPr>
      <w:tblGrid>
        <w:gridCol w:w="4975"/>
        <w:gridCol w:w="4975"/>
      </w:tblGrid>
      <w:tr>
        <w:trPr>
          <w:tblHeader w:val="true"/>
        </w:trPr>
        <w:tc>
          <w:tcPr>
            <w:tcW w:type="dxa" w:w="4975"/>
            <w:shd w:fill="EAF2F8"/>
            <w:tcMar>
              <w:top w:w="110" w:type="dxa"/>
              <w:start w:w="110" w:type="dxa"/>
              <w:bottom w:w="110" w:type="dxa"/>
              <w:end w:w="110" w:type="dxa"/>
            </w:tcMar>
          </w:tcPr>
          <w:p>
            <w:r>
              <w:rPr>
                <w:sz w:val="20"/>
              </w:rPr>
              <w:t>Prepared by</w:t>
            </w:r>
          </w:p>
        </w:tc>
        <w:tc>
          <w:tcPr>
            <w:tcW w:type="dxa" w:w="4975"/>
            <w:tcMar>
              <w:top w:w="110" w:type="dxa"/>
              <w:start w:w="110" w:type="dxa"/>
              <w:bottom w:w="110" w:type="dxa"/>
              <w:end w:w="110" w:type="dxa"/>
            </w:tcMar>
          </w:tcPr>
          <w:p>
            <w:r>
              <w:rPr>
                <w:sz w:val="20"/>
              </w:rPr>
              <w:t>Hrudhai Prem Kumar Patwari</w:t>
            </w:r>
          </w:p>
        </w:tc>
      </w:tr>
      <w:tr>
        <w:tc>
          <w:tcPr>
            <w:tcW w:type="dxa" w:w="4975"/>
            <w:shd w:fill="EAF2F8"/>
            <w:tcMar>
              <w:top w:w="110" w:type="dxa"/>
              <w:start w:w="110" w:type="dxa"/>
              <w:bottom w:w="110" w:type="dxa"/>
              <w:end w:w="110" w:type="dxa"/>
            </w:tcMar>
          </w:tcPr>
          <w:p>
            <w:r>
              <w:rPr>
                <w:sz w:val="20"/>
              </w:rPr>
              <w:t>Project</w:t>
            </w:r>
          </w:p>
        </w:tc>
        <w:tc>
          <w:tcPr>
            <w:tcW w:type="dxa" w:w="4975"/>
            <w:tcMar>
              <w:top w:w="110" w:type="dxa"/>
              <w:start w:w="110" w:type="dxa"/>
              <w:bottom w:w="110" w:type="dxa"/>
              <w:end w:w="110" w:type="dxa"/>
            </w:tcMar>
          </w:tcPr>
          <w:p>
            <w:r>
              <w:rPr>
                <w:sz w:val="20"/>
              </w:rPr>
              <w:t>Week 4 Internship Assignment</w:t>
            </w:r>
          </w:p>
        </w:tc>
      </w:tr>
      <w:tr>
        <w:tc>
          <w:tcPr>
            <w:tcW w:type="dxa" w:w="4975"/>
            <w:shd w:fill="EAF2F8"/>
            <w:tcMar>
              <w:top w:w="110" w:type="dxa"/>
              <w:start w:w="110" w:type="dxa"/>
              <w:bottom w:w="110" w:type="dxa"/>
              <w:end w:w="110" w:type="dxa"/>
            </w:tcMar>
          </w:tcPr>
          <w:p>
            <w:r>
              <w:rPr>
                <w:sz w:val="20"/>
              </w:rPr>
              <w:t>Scenario</w:t>
            </w:r>
          </w:p>
        </w:tc>
        <w:tc>
          <w:tcPr>
            <w:tcW w:type="dxa" w:w="4975"/>
            <w:tcMar>
              <w:top w:w="110" w:type="dxa"/>
              <w:start w:w="110" w:type="dxa"/>
              <w:bottom w:w="110" w:type="dxa"/>
              <w:end w:w="110" w:type="dxa"/>
            </w:tcMar>
          </w:tcPr>
          <w:p>
            <w:r>
              <w:rPr>
                <w:sz w:val="20"/>
              </w:rPr>
              <w:t>Deccan Harvest Foods Pvt. Ltd. (fictional)</w:t>
            </w:r>
          </w:p>
        </w:tc>
      </w:tr>
      <w:tr>
        <w:tc>
          <w:tcPr>
            <w:tcW w:type="dxa" w:w="4975"/>
            <w:shd w:fill="EAF2F8"/>
            <w:tcMar>
              <w:top w:w="110" w:type="dxa"/>
              <w:start w:w="110" w:type="dxa"/>
              <w:bottom w:w="110" w:type="dxa"/>
              <w:end w:w="110" w:type="dxa"/>
            </w:tcMar>
          </w:tcPr>
          <w:p>
            <w:r>
              <w:rPr>
                <w:sz w:val="20"/>
              </w:rPr>
              <w:t>Focus</w:t>
            </w:r>
          </w:p>
        </w:tc>
        <w:tc>
          <w:tcPr>
            <w:tcW w:type="dxa" w:w="4975"/>
            <w:tcMar>
              <w:top w:w="110" w:type="dxa"/>
              <w:start w:w="110" w:type="dxa"/>
              <w:bottom w:w="110" w:type="dxa"/>
              <w:end w:w="110" w:type="dxa"/>
            </w:tcMar>
          </w:tcPr>
          <w:p>
            <w:r>
              <w:rPr>
                <w:sz w:val="20"/>
              </w:rPr>
              <w:t>Transportation, warehouse execution, integration &amp; risk controls</w:t>
            </w:r>
          </w:p>
        </w:tc>
      </w:tr>
      <w:tr>
        <w:tc>
          <w:tcPr>
            <w:tcW w:type="dxa" w:w="4975"/>
            <w:shd w:fill="EAF2F8"/>
            <w:tcMar>
              <w:top w:w="110" w:type="dxa"/>
              <w:start w:w="110" w:type="dxa"/>
              <w:bottom w:w="110" w:type="dxa"/>
              <w:end w:w="110" w:type="dxa"/>
            </w:tcMar>
          </w:tcPr>
          <w:p>
            <w:r>
              <w:rPr>
                <w:sz w:val="20"/>
              </w:rPr>
              <w:t>Task duration</w:t>
            </w:r>
          </w:p>
        </w:tc>
        <w:tc>
          <w:tcPr>
            <w:tcW w:type="dxa" w:w="4975"/>
            <w:tcMar>
              <w:top w:w="110" w:type="dxa"/>
              <w:start w:w="110" w:type="dxa"/>
              <w:bottom w:w="110" w:type="dxa"/>
              <w:end w:w="110" w:type="dxa"/>
            </w:tcMar>
          </w:tcPr>
          <w:p>
            <w:r>
              <w:rPr>
                <w:sz w:val="20"/>
              </w:rPr>
              <w:t>30-35 hours (estimated plan: 33 hours)</w:t>
            </w:r>
          </w:p>
        </w:tc>
      </w:tr>
      <w:tr>
        <w:tc>
          <w:tcPr>
            <w:tcW w:type="dxa" w:w="4975"/>
            <w:shd w:fill="EAF2F8"/>
            <w:tcMar>
              <w:top w:w="110" w:type="dxa"/>
              <w:start w:w="110" w:type="dxa"/>
              <w:bottom w:w="110" w:type="dxa"/>
              <w:end w:w="110" w:type="dxa"/>
            </w:tcMar>
          </w:tcPr>
          <w:p>
            <w:r>
              <w:rPr>
                <w:sz w:val="20"/>
              </w:rPr>
              <w:t>Date</w:t>
            </w:r>
          </w:p>
        </w:tc>
        <w:tc>
          <w:tcPr>
            <w:tcW w:type="dxa" w:w="4975"/>
            <w:tcMar>
              <w:top w:w="110" w:type="dxa"/>
              <w:start w:w="110" w:type="dxa"/>
              <w:bottom w:w="110" w:type="dxa"/>
              <w:end w:w="110" w:type="dxa"/>
            </w:tcMar>
          </w:tcPr>
          <w:p>
            <w:r>
              <w:rPr>
                <w:sz w:val="20"/>
              </w:rPr>
              <w:t>7 September 2026</w:t>
            </w:r>
          </w:p>
        </w:tc>
      </w:tr>
    </w:tbl>
    <w:p>
      <w:pPr>
        <w:spacing w:before="440"/>
        <w:jc w:val="center"/>
      </w:pPr>
      <w:r>
        <w:rPr>
          <w:i/>
          <w:color w:val="5A5A5A"/>
          <w:sz w:val="18"/>
        </w:rPr>
        <w:t>Academic / internship simulation. The company, quantities, costs, routes and performance results are illustrative and do not represent a live SAP production implementation.</w:t>
      </w:r>
    </w:p>
    <w:p>
      <w:r>
        <w:br w:type="page"/>
      </w:r>
    </w:p>
    <w:p>
      <w:pPr>
        <w:pStyle w:val="Heading1"/>
      </w:pPr>
      <w:r>
        <w:t>Executive Summary</w:t>
      </w:r>
    </w:p>
    <w:p>
      <w:r>
        <w:t>This Week 4 project develops a transportation-management and warehouse-logistics framework for a fictional packaged-food supply chain. I continued the Deccan Harvest Foods scenario used in the earlier weeks so that network, inventory, production, transportation and warehouse decisions remain connected. The design combines SAP Supply Chain Management planning concepts with SAP Transportation Management (TM), SAP Extended Warehouse Management (EWM), ERP logistics integration and SNP Transport Load Builder (TLB) concepts.</w:t>
      </w:r>
    </w:p>
    <w:p>
      <w:r>
        <w:t>The scenario processes approximately 150 tonnes of finished goods per week from a Hyderabad manufacturing location to Hyderabad, Vijayawada and Bengaluru distribution channels. Primary movements use full-truckload road transport, a rail-linked option for stable Bengaluru volume, and LTL / milk-run delivery for local customers. The Hyderabad warehouse is modeled with 4,000 pallet positions, six dock doors and a peak occupancy risk of 92%.</w:t>
      </w:r>
    </w:p>
    <w:p>
      <w:r>
        <w:t>To make the analysis concrete, the report includes worked examples rather than only definitions. A Vijayawada consolidation case improves vehicle fill from 70.3% to 93.75%, avoids one 16-ton truck trip per week and gives an illustrative annual freight saving of ₹13.52 lakh at ₹26,000 per trip. A warehouse slotting example reduces modeled picker travel from 29.76 km/day to 21.12 km/day, a 29.0% reduction. The report also contains configuration guidelines, process diagrams, integration controls, validation tests, governance ownership, KPI targets and contingency plans.</w:t>
      </w:r>
    </w:p>
    <w:p>
      <w:r>
        <w:t>The objective is not to claim live SAP execution. It is to demonstrate how a planner can translate logistics requirements into SAP-relevant master data, planning parameters, warehouse processes and measurable operational controls.</w:t>
      </w:r>
    </w:p>
    <w:p>
      <w:pPr>
        <w:pStyle w:val="Heading2"/>
      </w:pPr>
      <w:r>
        <w:t>Report Structure</w:t>
      </w:r>
    </w:p>
    <w:tbl>
      <w:tblPr>
        <w:tblStyle w:val="TableGrid"/>
        <w:tblW w:type="auto" w:w="0"/>
        <w:jc w:val="center"/>
        <w:tblLook w:firstColumn="1" w:firstRow="1" w:lastColumn="0" w:lastRow="0" w:noHBand="0" w:noVBand="1" w:val="04A0"/>
      </w:tblPr>
      <w:tblGrid>
        <w:gridCol w:w="4975"/>
        <w:gridCol w:w="4975"/>
      </w:tblGrid>
      <w:tr>
        <w:trPr>
          <w:tblHeader w:val="true"/>
        </w:trPr>
        <w:tc>
          <w:tcPr>
            <w:tcW w:type="dxa" w:w="1440"/>
            <w:shd w:fill="D9EAF7"/>
            <w:vAlign w:val="center"/>
            <w:tcMar>
              <w:top w:w="80" w:type="dxa"/>
              <w:start w:w="80" w:type="dxa"/>
              <w:bottom w:w="80" w:type="dxa"/>
              <w:end w:w="80" w:type="dxa"/>
            </w:tcMar>
          </w:tcPr>
          <w:p>
            <w:r>
              <w:rPr>
                <w:b/>
                <w:sz w:val="16"/>
              </w:rPr>
              <w:t>Section</w:t>
            </w:r>
          </w:p>
        </w:tc>
        <w:tc>
          <w:tcPr>
            <w:tcW w:type="dxa" w:w="8352"/>
            <w:shd w:fill="D9EAF7"/>
            <w:vAlign w:val="center"/>
            <w:tcMar>
              <w:top w:w="80" w:type="dxa"/>
              <w:start w:w="80" w:type="dxa"/>
              <w:bottom w:w="80" w:type="dxa"/>
              <w:end w:w="80" w:type="dxa"/>
            </w:tcMar>
          </w:tcPr>
          <w:p>
            <w:r>
              <w:rPr>
                <w:b/>
                <w:sz w:val="16"/>
              </w:rPr>
              <w:t>Coverage</w:t>
            </w:r>
          </w:p>
        </w:tc>
      </w:tr>
      <w:tr>
        <w:tc>
          <w:tcPr>
            <w:tcW w:type="dxa" w:w="1440"/>
            <w:vAlign w:val="center"/>
            <w:tcMar>
              <w:top w:w="80" w:type="dxa"/>
              <w:start w:w="80" w:type="dxa"/>
              <w:bottom w:w="80" w:type="dxa"/>
              <w:end w:w="80" w:type="dxa"/>
            </w:tcMar>
          </w:tcPr>
          <w:p>
            <w:r>
              <w:rPr>
                <w:sz w:val="16"/>
              </w:rPr>
              <w:t>1-3</w:t>
            </w:r>
          </w:p>
        </w:tc>
        <w:tc>
          <w:tcPr>
            <w:tcW w:type="dxa" w:w="8352"/>
            <w:vAlign w:val="center"/>
            <w:tcMar>
              <w:top w:w="80" w:type="dxa"/>
              <w:start w:w="80" w:type="dxa"/>
              <w:bottom w:w="80" w:type="dxa"/>
              <w:end w:w="80" w:type="dxa"/>
            </w:tcMar>
          </w:tcPr>
          <w:p>
            <w:r>
              <w:rPr>
                <w:sz w:val="16"/>
              </w:rPr>
              <w:t>Scenario, baseline data, research findings and SAP landscape</w:t>
            </w:r>
          </w:p>
        </w:tc>
      </w:tr>
      <w:tr>
        <w:tc>
          <w:tcPr>
            <w:tcW w:type="dxa" w:w="1440"/>
            <w:vAlign w:val="center"/>
            <w:tcMar>
              <w:top w:w="80" w:type="dxa"/>
              <w:start w:w="80" w:type="dxa"/>
              <w:bottom w:w="80" w:type="dxa"/>
              <w:end w:w="80" w:type="dxa"/>
            </w:tcMar>
          </w:tcPr>
          <w:p>
            <w:r>
              <w:rPr>
                <w:sz w:val="16"/>
              </w:rPr>
              <w:t>4-5</w:t>
            </w:r>
          </w:p>
        </w:tc>
        <w:tc>
          <w:tcPr>
            <w:tcW w:type="dxa" w:w="8352"/>
            <w:vAlign w:val="center"/>
            <w:tcMar>
              <w:top w:w="80" w:type="dxa"/>
              <w:start w:w="80" w:type="dxa"/>
              <w:bottom w:w="80" w:type="dxa"/>
              <w:end w:w="80" w:type="dxa"/>
            </w:tcMar>
          </w:tcPr>
          <w:p>
            <w:r>
              <w:rPr>
                <w:sz w:val="16"/>
              </w:rPr>
              <w:t>Transportation and warehouse configuration guidelines</w:t>
            </w:r>
          </w:p>
        </w:tc>
      </w:tr>
      <w:tr>
        <w:tc>
          <w:tcPr>
            <w:tcW w:type="dxa" w:w="1440"/>
            <w:vAlign w:val="center"/>
            <w:tcMar>
              <w:top w:w="80" w:type="dxa"/>
              <w:start w:w="80" w:type="dxa"/>
              <w:bottom w:w="80" w:type="dxa"/>
              <w:end w:w="80" w:type="dxa"/>
            </w:tcMar>
          </w:tcPr>
          <w:p>
            <w:r>
              <w:rPr>
                <w:sz w:val="16"/>
              </w:rPr>
              <w:t>6</w:t>
            </w:r>
          </w:p>
        </w:tc>
        <w:tc>
          <w:tcPr>
            <w:tcW w:type="dxa" w:w="8352"/>
            <w:vAlign w:val="center"/>
            <w:tcMar>
              <w:top w:w="80" w:type="dxa"/>
              <w:start w:w="80" w:type="dxa"/>
              <w:bottom w:w="80" w:type="dxa"/>
              <w:end w:w="80" w:type="dxa"/>
            </w:tcMar>
          </w:tcPr>
          <w:p>
            <w:r>
              <w:rPr>
                <w:sz w:val="16"/>
              </w:rPr>
              <w:t>Integrated operational workflow and synchronization</w:t>
            </w:r>
          </w:p>
        </w:tc>
      </w:tr>
      <w:tr>
        <w:tc>
          <w:tcPr>
            <w:tcW w:type="dxa" w:w="1440"/>
            <w:vAlign w:val="center"/>
            <w:tcMar>
              <w:top w:w="80" w:type="dxa"/>
              <w:start w:w="80" w:type="dxa"/>
              <w:bottom w:w="80" w:type="dxa"/>
              <w:end w:w="80" w:type="dxa"/>
            </w:tcMar>
          </w:tcPr>
          <w:p>
            <w:r>
              <w:rPr>
                <w:sz w:val="16"/>
              </w:rPr>
              <w:t>7</w:t>
            </w:r>
          </w:p>
        </w:tc>
        <w:tc>
          <w:tcPr>
            <w:tcW w:type="dxa" w:w="8352"/>
            <w:vAlign w:val="center"/>
            <w:tcMar>
              <w:top w:w="80" w:type="dxa"/>
              <w:start w:w="80" w:type="dxa"/>
              <w:bottom w:w="80" w:type="dxa"/>
              <w:end w:w="80" w:type="dxa"/>
            </w:tcMar>
          </w:tcPr>
          <w:p>
            <w:r>
              <w:rPr>
                <w:sz w:val="16"/>
              </w:rPr>
              <w:t>Worked examples and original analysis</w:t>
            </w:r>
          </w:p>
        </w:tc>
      </w:tr>
      <w:tr>
        <w:tc>
          <w:tcPr>
            <w:tcW w:type="dxa" w:w="1440"/>
            <w:vAlign w:val="center"/>
            <w:tcMar>
              <w:top w:w="80" w:type="dxa"/>
              <w:start w:w="80" w:type="dxa"/>
              <w:bottom w:w="80" w:type="dxa"/>
              <w:end w:w="80" w:type="dxa"/>
            </w:tcMar>
          </w:tcPr>
          <w:p>
            <w:r>
              <w:rPr>
                <w:sz w:val="16"/>
              </w:rPr>
              <w:t>8</w:t>
            </w:r>
          </w:p>
        </w:tc>
        <w:tc>
          <w:tcPr>
            <w:tcW w:type="dxa" w:w="8352"/>
            <w:vAlign w:val="center"/>
            <w:tcMar>
              <w:top w:w="80" w:type="dxa"/>
              <w:start w:w="80" w:type="dxa"/>
              <w:bottom w:w="80" w:type="dxa"/>
              <w:end w:w="80" w:type="dxa"/>
            </w:tcMar>
          </w:tcPr>
          <w:p>
            <w:r>
              <w:rPr>
                <w:sz w:val="16"/>
              </w:rPr>
              <w:t>KPIs and expected improvements</w:t>
            </w:r>
          </w:p>
        </w:tc>
      </w:tr>
      <w:tr>
        <w:tc>
          <w:tcPr>
            <w:tcW w:type="dxa" w:w="1440"/>
            <w:vAlign w:val="center"/>
            <w:tcMar>
              <w:top w:w="80" w:type="dxa"/>
              <w:start w:w="80" w:type="dxa"/>
              <w:bottom w:w="80" w:type="dxa"/>
              <w:end w:w="80" w:type="dxa"/>
            </w:tcMar>
          </w:tcPr>
          <w:p>
            <w:r>
              <w:rPr>
                <w:sz w:val="16"/>
              </w:rPr>
              <w:t>9-10</w:t>
            </w:r>
          </w:p>
        </w:tc>
        <w:tc>
          <w:tcPr>
            <w:tcW w:type="dxa" w:w="8352"/>
            <w:vAlign w:val="center"/>
            <w:tcMar>
              <w:top w:w="80" w:type="dxa"/>
              <w:start w:w="80" w:type="dxa"/>
              <w:bottom w:w="80" w:type="dxa"/>
              <w:end w:w="80" w:type="dxa"/>
            </w:tcMar>
          </w:tcPr>
          <w:p>
            <w:r>
              <w:rPr>
                <w:sz w:val="16"/>
              </w:rPr>
              <w:t>Validation, governance and controls</w:t>
            </w:r>
          </w:p>
        </w:tc>
      </w:tr>
      <w:tr>
        <w:tc>
          <w:tcPr>
            <w:tcW w:type="dxa" w:w="1440"/>
            <w:vAlign w:val="center"/>
            <w:tcMar>
              <w:top w:w="80" w:type="dxa"/>
              <w:start w:w="80" w:type="dxa"/>
              <w:bottom w:w="80" w:type="dxa"/>
              <w:end w:w="80" w:type="dxa"/>
            </w:tcMar>
          </w:tcPr>
          <w:p>
            <w:r>
              <w:rPr>
                <w:sz w:val="16"/>
              </w:rPr>
              <w:t>11</w:t>
            </w:r>
          </w:p>
        </w:tc>
        <w:tc>
          <w:tcPr>
            <w:tcW w:type="dxa" w:w="8352"/>
            <w:vAlign w:val="center"/>
            <w:tcMar>
              <w:top w:w="80" w:type="dxa"/>
              <w:start w:w="80" w:type="dxa"/>
              <w:bottom w:w="80" w:type="dxa"/>
              <w:end w:w="80" w:type="dxa"/>
            </w:tcMar>
          </w:tcPr>
          <w:p>
            <w:r>
              <w:rPr>
                <w:sz w:val="16"/>
              </w:rPr>
              <w:t>Risk and contingency planning</w:t>
            </w:r>
          </w:p>
        </w:tc>
      </w:tr>
      <w:tr>
        <w:tc>
          <w:tcPr>
            <w:tcW w:type="dxa" w:w="1440"/>
            <w:vAlign w:val="center"/>
            <w:tcMar>
              <w:top w:w="80" w:type="dxa"/>
              <w:start w:w="80" w:type="dxa"/>
              <w:bottom w:w="80" w:type="dxa"/>
              <w:end w:w="80" w:type="dxa"/>
            </w:tcMar>
          </w:tcPr>
          <w:p>
            <w:r>
              <w:rPr>
                <w:sz w:val="16"/>
              </w:rPr>
              <w:t>12</w:t>
            </w:r>
          </w:p>
        </w:tc>
        <w:tc>
          <w:tcPr>
            <w:tcW w:type="dxa" w:w="8352"/>
            <w:vAlign w:val="center"/>
            <w:tcMar>
              <w:top w:w="80" w:type="dxa"/>
              <w:start w:w="80" w:type="dxa"/>
              <w:bottom w:w="80" w:type="dxa"/>
              <w:end w:w="80" w:type="dxa"/>
            </w:tcMar>
          </w:tcPr>
          <w:p>
            <w:r>
              <w:rPr>
                <w:sz w:val="16"/>
              </w:rPr>
              <w:t>33-hour estimated effort plan</w:t>
            </w:r>
          </w:p>
        </w:tc>
      </w:tr>
      <w:tr>
        <w:tc>
          <w:tcPr>
            <w:tcW w:type="dxa" w:w="1440"/>
            <w:vAlign w:val="center"/>
            <w:tcMar>
              <w:top w:w="80" w:type="dxa"/>
              <w:start w:w="80" w:type="dxa"/>
              <w:bottom w:w="80" w:type="dxa"/>
              <w:end w:w="80" w:type="dxa"/>
            </w:tcMar>
          </w:tcPr>
          <w:p>
            <w:r>
              <w:rPr>
                <w:sz w:val="16"/>
              </w:rPr>
              <w:t>13-15</w:t>
            </w:r>
          </w:p>
        </w:tc>
        <w:tc>
          <w:tcPr>
            <w:tcW w:type="dxa" w:w="8352"/>
            <w:vAlign w:val="center"/>
            <w:tcMar>
              <w:top w:w="80" w:type="dxa"/>
              <w:start w:w="80" w:type="dxa"/>
              <w:bottom w:w="80" w:type="dxa"/>
              <w:end w:w="80" w:type="dxa"/>
            </w:tcMar>
          </w:tcPr>
          <w:p>
            <w:r>
              <w:rPr>
                <w:sz w:val="16"/>
              </w:rPr>
              <w:t>Learning outcomes, conclusion, references and submission description</w:t>
            </w:r>
          </w:p>
        </w:tc>
      </w:tr>
    </w:tbl>
    <w:p>
      <w:pPr>
        <w:spacing w:after="40"/>
      </w:pPr>
    </w:p>
    <w:p>
      <w:r>
        <w:br w:type="page"/>
      </w:r>
    </w:p>
    <w:p>
      <w:pPr>
        <w:pStyle w:val="Heading1"/>
      </w:pPr>
      <w:r>
        <w:t>1. Introduction, Objective and Scope</w:t>
      </w:r>
    </w:p>
    <w:p>
      <w:pPr>
        <w:pStyle w:val="Heading2"/>
      </w:pPr>
      <w:r>
        <w:t>1.1 Objective</w:t>
      </w:r>
    </w:p>
    <w:p>
      <w:r>
        <w:t>The objective is to design a practical logistics framework that coordinates transport planning with warehouse execution. The project focuses on how shipment creation, mode selection, load consolidation, dock planning, picking, staging, loading and status updates can be synchronized so that transportation decisions do not create warehouse congestion and warehouse delays do not cause missed carrier departures.</w:t>
      </w:r>
    </w:p>
    <w:p>
      <w:pPr>
        <w:pStyle w:val="Heading2"/>
      </w:pPr>
      <w:r>
        <w:t>1.2 Scope</w:t>
      </w:r>
    </w:p>
    <w:p>
      <w:pPr>
        <w:pStyle w:val="ListBullet"/>
      </w:pPr>
      <w:r>
        <w:t>Transport requirements, freight units / shipment demand, modes, routes, capacities and carrier planning.</w:t>
      </w:r>
    </w:p>
    <w:p>
      <w:pPr>
        <w:pStyle w:val="ListBullet"/>
      </w:pPr>
      <w:r>
        <w:t>Warehouse structure, storage types, bins, activity areas, doors, staging areas and warehouse process types.</w:t>
      </w:r>
    </w:p>
    <w:p>
      <w:pPr>
        <w:pStyle w:val="ListBullet"/>
      </w:pPr>
      <w:r>
        <w:t>Outbound wave, picking, packing, staging, loading and goods-issue workflow.</w:t>
      </w:r>
    </w:p>
    <w:p>
      <w:pPr>
        <w:pStyle w:val="ListBullet"/>
      </w:pPr>
      <w:r>
        <w:t>Inbound unloading, receiving, putaway and availability controls.</w:t>
      </w:r>
    </w:p>
    <w:p>
      <w:pPr>
        <w:pStyle w:val="ListBullet"/>
      </w:pPr>
      <w:r>
        <w:t>SNP transportation lanes and TLB concepts for consolidation.</w:t>
      </w:r>
    </w:p>
    <w:p>
      <w:pPr>
        <w:pStyle w:val="ListBullet"/>
      </w:pPr>
      <w:r>
        <w:t>ERP - TM - EWM synchronization and exception handling.</w:t>
      </w:r>
    </w:p>
    <w:p>
      <w:pPr>
        <w:pStyle w:val="ListBullet"/>
      </w:pPr>
      <w:r>
        <w:t>Operational KPIs, validation tests, governance and contingency planning.</w:t>
      </w:r>
    </w:p>
    <w:p>
      <w:pPr>
        <w:pStyle w:val="Heading2"/>
      </w:pPr>
      <w:r>
        <w:t>1.3 Methodology</w:t>
      </w:r>
    </w:p>
    <w:p>
      <w:pPr>
        <w:ind w:left="0" w:firstLine="0"/>
      </w:pPr>
      <w:r>
        <w:t>1.  Define the weekly logistics scenario and baseline constraints.</w:t>
      </w:r>
    </w:p>
    <w:p>
      <w:pPr>
        <w:ind w:left="0" w:firstLine="0"/>
      </w:pPr>
      <w:r>
        <w:t>2.  Map business requirements to SAP-relevant master data and configuration objects.</w:t>
      </w:r>
    </w:p>
    <w:p>
      <w:pPr>
        <w:ind w:left="0" w:firstLine="0"/>
      </w:pPr>
      <w:r>
        <w:t>3.  Design transportation and warehouse workflows.</w:t>
      </w:r>
    </w:p>
    <w:p>
      <w:pPr>
        <w:ind w:left="0" w:firstLine="0"/>
      </w:pPr>
      <w:r>
        <w:t>4.  Calculate capacity, utilization, cost and service examples.</w:t>
      </w:r>
    </w:p>
    <w:p>
      <w:pPr>
        <w:ind w:left="0" w:firstLine="0"/>
      </w:pPr>
      <w:r>
        <w:t>5.  Simulate transport and warehouse exceptions.</w:t>
      </w:r>
    </w:p>
    <w:p>
      <w:pPr>
        <w:ind w:left="0" w:firstLine="0"/>
      </w:pPr>
      <w:r>
        <w:t>6.  Define measurable controls, KPIs and validation evidence.</w:t>
      </w:r>
    </w:p>
    <w:p>
      <w:pPr>
        <w:ind w:left="0" w:firstLine="0"/>
      </w:pPr>
      <w:r>
        <w:t>7.  Review risks and document contingency actions.</w:t>
      </w:r>
    </w:p>
    <w:p>
      <w:r>
        <w:br w:type="page"/>
      </w:r>
    </w:p>
    <w:p>
      <w:pPr>
        <w:pStyle w:val="Heading1"/>
      </w:pPr>
      <w:r>
        <w:t>2. Scenario Design and Baseline Data</w:t>
      </w:r>
    </w:p>
    <w:p>
      <w:pPr>
        <w:pStyle w:val="Heading2"/>
      </w:pPr>
      <w:r>
        <w:t>2.1 Business Scenario</w:t>
      </w:r>
    </w:p>
    <w:p>
      <w:r>
        <w:t>Deccan Harvest Foods Pvt. Ltd. is modeled as a Hyderabad-based manufacturer of packaged millet products. Finished goods move from the plant / central warehouse to three regional demand zones. The company needs to coordinate weekly transport while controlling warehouse congestion, vehicle utilization, picking efficiency and delivery reliability.</w:t>
      </w:r>
    </w:p>
    <w:tbl>
      <w:tblPr>
        <w:tblStyle w:val="TableGrid"/>
        <w:tblW w:type="auto" w:w="0"/>
        <w:jc w:val="center"/>
        <w:tblLook w:firstColumn="1" w:firstRow="1" w:lastColumn="0" w:lastRow="0" w:noHBand="0" w:noVBand="1" w:val="04A0"/>
      </w:tblPr>
      <w:tblGrid>
        <w:gridCol w:w="2488"/>
        <w:gridCol w:w="2488"/>
        <w:gridCol w:w="2488"/>
        <w:gridCol w:w="2488"/>
      </w:tblGrid>
      <w:tr>
        <w:trPr>
          <w:tblHeader w:val="true"/>
        </w:trPr>
        <w:tc>
          <w:tcPr>
            <w:tcW w:type="dxa" w:w="2304"/>
            <w:shd w:fill="D9EAF7"/>
            <w:vAlign w:val="center"/>
            <w:tcMar>
              <w:top w:w="80" w:type="dxa"/>
              <w:start w:w="80" w:type="dxa"/>
              <w:bottom w:w="80" w:type="dxa"/>
              <w:end w:w="80" w:type="dxa"/>
            </w:tcMar>
          </w:tcPr>
          <w:p>
            <w:r>
              <w:rPr>
                <w:b/>
                <w:sz w:val="16"/>
              </w:rPr>
              <w:t>Demand zone</w:t>
            </w:r>
          </w:p>
        </w:tc>
        <w:tc>
          <w:tcPr>
            <w:tcW w:type="dxa" w:w="1728"/>
            <w:shd w:fill="D9EAF7"/>
            <w:vAlign w:val="center"/>
            <w:tcMar>
              <w:top w:w="80" w:type="dxa"/>
              <w:start w:w="80" w:type="dxa"/>
              <w:bottom w:w="80" w:type="dxa"/>
              <w:end w:w="80" w:type="dxa"/>
            </w:tcMar>
          </w:tcPr>
          <w:p>
            <w:r>
              <w:rPr>
                <w:b/>
                <w:sz w:val="16"/>
              </w:rPr>
              <w:t>Weekly demand</w:t>
            </w:r>
          </w:p>
        </w:tc>
        <w:tc>
          <w:tcPr>
            <w:tcW w:type="dxa" w:w="2304"/>
            <w:shd w:fill="D9EAF7"/>
            <w:vAlign w:val="center"/>
            <w:tcMar>
              <w:top w:w="80" w:type="dxa"/>
              <w:start w:w="80" w:type="dxa"/>
              <w:bottom w:w="80" w:type="dxa"/>
              <w:end w:w="80" w:type="dxa"/>
            </w:tcMar>
          </w:tcPr>
          <w:p>
            <w:r>
              <w:rPr>
                <w:b/>
                <w:sz w:val="16"/>
              </w:rPr>
              <w:t>Primary mode</w:t>
            </w:r>
          </w:p>
        </w:tc>
        <w:tc>
          <w:tcPr>
            <w:tcW w:type="dxa" w:w="4032"/>
            <w:shd w:fill="D9EAF7"/>
            <w:vAlign w:val="center"/>
            <w:tcMar>
              <w:top w:w="80" w:type="dxa"/>
              <w:start w:w="80" w:type="dxa"/>
              <w:bottom w:w="80" w:type="dxa"/>
              <w:end w:w="80" w:type="dxa"/>
            </w:tcMar>
          </w:tcPr>
          <w:p>
            <w:r>
              <w:rPr>
                <w:b/>
                <w:sz w:val="16"/>
              </w:rPr>
              <w:t>Planning logic</w:t>
            </w:r>
          </w:p>
        </w:tc>
      </w:tr>
      <w:tr>
        <w:tc>
          <w:tcPr>
            <w:tcW w:type="dxa" w:w="2304"/>
            <w:vAlign w:val="center"/>
            <w:tcMar>
              <w:top w:w="80" w:type="dxa"/>
              <w:start w:w="80" w:type="dxa"/>
              <w:bottom w:w="80" w:type="dxa"/>
              <w:end w:w="80" w:type="dxa"/>
            </w:tcMar>
          </w:tcPr>
          <w:p>
            <w:r>
              <w:rPr>
                <w:sz w:val="16"/>
              </w:rPr>
              <w:t>Hyderabad / Telangana</w:t>
            </w:r>
          </w:p>
        </w:tc>
        <w:tc>
          <w:tcPr>
            <w:tcW w:type="dxa" w:w="1728"/>
            <w:vAlign w:val="center"/>
            <w:tcMar>
              <w:top w:w="80" w:type="dxa"/>
              <w:start w:w="80" w:type="dxa"/>
              <w:bottom w:w="80" w:type="dxa"/>
              <w:end w:w="80" w:type="dxa"/>
            </w:tcMar>
          </w:tcPr>
          <w:p>
            <w:r>
              <w:rPr>
                <w:sz w:val="16"/>
              </w:rPr>
              <w:t>65 t</w:t>
            </w:r>
          </w:p>
        </w:tc>
        <w:tc>
          <w:tcPr>
            <w:tcW w:type="dxa" w:w="2304"/>
            <w:vAlign w:val="center"/>
            <w:tcMar>
              <w:top w:w="80" w:type="dxa"/>
              <w:start w:w="80" w:type="dxa"/>
              <w:bottom w:w="80" w:type="dxa"/>
              <w:end w:w="80" w:type="dxa"/>
            </w:tcMar>
          </w:tcPr>
          <w:p>
            <w:r>
              <w:rPr>
                <w:sz w:val="16"/>
              </w:rPr>
              <w:t>Road FTL + local LTL</w:t>
            </w:r>
          </w:p>
        </w:tc>
        <w:tc>
          <w:tcPr>
            <w:tcW w:type="dxa" w:w="4032"/>
            <w:vAlign w:val="center"/>
            <w:tcMar>
              <w:top w:w="80" w:type="dxa"/>
              <w:start w:w="80" w:type="dxa"/>
              <w:bottom w:w="80" w:type="dxa"/>
              <w:end w:w="80" w:type="dxa"/>
            </w:tcMar>
          </w:tcPr>
          <w:p>
            <w:r>
              <w:rPr>
                <w:sz w:val="16"/>
              </w:rPr>
              <w:t>Frequent replenishment; short lead time</w:t>
            </w:r>
          </w:p>
        </w:tc>
      </w:tr>
      <w:tr>
        <w:tc>
          <w:tcPr>
            <w:tcW w:type="dxa" w:w="2304"/>
            <w:vAlign w:val="center"/>
            <w:tcMar>
              <w:top w:w="80" w:type="dxa"/>
              <w:start w:w="80" w:type="dxa"/>
              <w:bottom w:w="80" w:type="dxa"/>
              <w:end w:w="80" w:type="dxa"/>
            </w:tcMar>
          </w:tcPr>
          <w:p>
            <w:r>
              <w:rPr>
                <w:sz w:val="16"/>
              </w:rPr>
              <w:t>Vijayawada / Andhra Pradesh</w:t>
            </w:r>
          </w:p>
        </w:tc>
        <w:tc>
          <w:tcPr>
            <w:tcW w:type="dxa" w:w="1728"/>
            <w:vAlign w:val="center"/>
            <w:tcMar>
              <w:top w:w="80" w:type="dxa"/>
              <w:start w:w="80" w:type="dxa"/>
              <w:bottom w:w="80" w:type="dxa"/>
              <w:end w:w="80" w:type="dxa"/>
            </w:tcMar>
          </w:tcPr>
          <w:p>
            <w:r>
              <w:rPr>
                <w:sz w:val="16"/>
              </w:rPr>
              <w:t>45 t</w:t>
            </w:r>
          </w:p>
        </w:tc>
        <w:tc>
          <w:tcPr>
            <w:tcW w:type="dxa" w:w="2304"/>
            <w:vAlign w:val="center"/>
            <w:tcMar>
              <w:top w:w="80" w:type="dxa"/>
              <w:start w:w="80" w:type="dxa"/>
              <w:bottom w:w="80" w:type="dxa"/>
              <w:end w:w="80" w:type="dxa"/>
            </w:tcMar>
          </w:tcPr>
          <w:p>
            <w:r>
              <w:rPr>
                <w:sz w:val="16"/>
              </w:rPr>
              <w:t>Road FTL</w:t>
            </w:r>
          </w:p>
        </w:tc>
        <w:tc>
          <w:tcPr>
            <w:tcW w:type="dxa" w:w="4032"/>
            <w:vAlign w:val="center"/>
            <w:tcMar>
              <w:top w:w="80" w:type="dxa"/>
              <w:start w:w="80" w:type="dxa"/>
              <w:bottom w:w="80" w:type="dxa"/>
              <w:end w:w="80" w:type="dxa"/>
            </w:tcMar>
          </w:tcPr>
          <w:p>
            <w:r>
              <w:rPr>
                <w:sz w:val="16"/>
              </w:rPr>
              <w:t>Consolidate order-led loads into 16 t trucks</w:t>
            </w:r>
          </w:p>
        </w:tc>
      </w:tr>
      <w:tr>
        <w:tc>
          <w:tcPr>
            <w:tcW w:type="dxa" w:w="2304"/>
            <w:vAlign w:val="center"/>
            <w:tcMar>
              <w:top w:w="80" w:type="dxa"/>
              <w:start w:w="80" w:type="dxa"/>
              <w:bottom w:w="80" w:type="dxa"/>
              <w:end w:w="80" w:type="dxa"/>
            </w:tcMar>
          </w:tcPr>
          <w:p>
            <w:r>
              <w:rPr>
                <w:sz w:val="16"/>
              </w:rPr>
              <w:t>Bengaluru / Karnataka</w:t>
            </w:r>
          </w:p>
        </w:tc>
        <w:tc>
          <w:tcPr>
            <w:tcW w:type="dxa" w:w="1728"/>
            <w:vAlign w:val="center"/>
            <w:tcMar>
              <w:top w:w="80" w:type="dxa"/>
              <w:start w:w="80" w:type="dxa"/>
              <w:bottom w:w="80" w:type="dxa"/>
              <w:end w:w="80" w:type="dxa"/>
            </w:tcMar>
          </w:tcPr>
          <w:p>
            <w:r>
              <w:rPr>
                <w:sz w:val="16"/>
              </w:rPr>
              <w:t>40 t</w:t>
            </w:r>
          </w:p>
        </w:tc>
        <w:tc>
          <w:tcPr>
            <w:tcW w:type="dxa" w:w="2304"/>
            <w:vAlign w:val="center"/>
            <w:tcMar>
              <w:top w:w="80" w:type="dxa"/>
              <w:start w:w="80" w:type="dxa"/>
              <w:bottom w:w="80" w:type="dxa"/>
              <w:end w:w="80" w:type="dxa"/>
            </w:tcMar>
          </w:tcPr>
          <w:p>
            <w:r>
              <w:rPr>
                <w:sz w:val="16"/>
              </w:rPr>
              <w:t>Rail-linked container + road backup</w:t>
            </w:r>
          </w:p>
        </w:tc>
        <w:tc>
          <w:tcPr>
            <w:tcW w:type="dxa" w:w="4032"/>
            <w:vAlign w:val="center"/>
            <w:tcMar>
              <w:top w:w="80" w:type="dxa"/>
              <w:start w:w="80" w:type="dxa"/>
              <w:bottom w:w="80" w:type="dxa"/>
              <w:end w:w="80" w:type="dxa"/>
            </w:tcMar>
          </w:tcPr>
          <w:p>
            <w:r>
              <w:rPr>
                <w:sz w:val="16"/>
              </w:rPr>
              <w:t>Use stable base volume on rail; road for urgent / recovery</w:t>
            </w:r>
          </w:p>
        </w:tc>
      </w:tr>
    </w:tbl>
    <w:p>
      <w:pPr>
        <w:spacing w:after="40"/>
      </w:pPr>
    </w:p>
    <w:p>
      <w:r>
        <w:t>Total modeled weekly outbound demand = 65 + 45 + 40 = 150 tonnes.</w:t>
      </w:r>
    </w:p>
    <w:p>
      <w:pPr>
        <w:pStyle w:val="Heading2"/>
      </w:pPr>
      <w:r>
        <w:t>2.2 Warehouse Baseline</w:t>
      </w:r>
    </w:p>
    <w:tbl>
      <w:tblPr>
        <w:tblStyle w:val="TableGrid"/>
        <w:tblW w:type="auto" w:w="0"/>
        <w:jc w:val="center"/>
        <w:tblLook w:firstColumn="1" w:firstRow="1" w:lastColumn="0" w:lastRow="0" w:noHBand="0" w:noVBand="1" w:val="04A0"/>
      </w:tblPr>
      <w:tblGrid>
        <w:gridCol w:w="3317"/>
        <w:gridCol w:w="3317"/>
        <w:gridCol w:w="3317"/>
      </w:tblGrid>
      <w:tr>
        <w:trPr>
          <w:tblHeader w:val="true"/>
        </w:trPr>
        <w:tc>
          <w:tcPr>
            <w:tcW w:type="dxa" w:w="2592"/>
            <w:shd w:fill="D9EAF7"/>
            <w:vAlign w:val="center"/>
            <w:tcMar>
              <w:top w:w="80" w:type="dxa"/>
              <w:start w:w="80" w:type="dxa"/>
              <w:bottom w:w="80" w:type="dxa"/>
              <w:end w:w="80" w:type="dxa"/>
            </w:tcMar>
          </w:tcPr>
          <w:p>
            <w:r>
              <w:rPr>
                <w:b/>
                <w:sz w:val="16"/>
              </w:rPr>
              <w:t>Parameter</w:t>
            </w:r>
          </w:p>
        </w:tc>
        <w:tc>
          <w:tcPr>
            <w:tcW w:type="dxa" w:w="2880"/>
            <w:shd w:fill="D9EAF7"/>
            <w:vAlign w:val="center"/>
            <w:tcMar>
              <w:top w:w="80" w:type="dxa"/>
              <w:start w:w="80" w:type="dxa"/>
              <w:bottom w:w="80" w:type="dxa"/>
              <w:end w:w="80" w:type="dxa"/>
            </w:tcMar>
          </w:tcPr>
          <w:p>
            <w:r>
              <w:rPr>
                <w:b/>
                <w:sz w:val="16"/>
              </w:rPr>
              <w:t>Illustrative baseline</w:t>
            </w:r>
          </w:p>
        </w:tc>
        <w:tc>
          <w:tcPr>
            <w:tcW w:type="dxa" w:w="4752"/>
            <w:shd w:fill="D9EAF7"/>
            <w:vAlign w:val="center"/>
            <w:tcMar>
              <w:top w:w="80" w:type="dxa"/>
              <w:start w:w="80" w:type="dxa"/>
              <w:bottom w:w="80" w:type="dxa"/>
              <w:end w:w="80" w:type="dxa"/>
            </w:tcMar>
          </w:tcPr>
          <w:p>
            <w:r>
              <w:rPr>
                <w:b/>
                <w:sz w:val="16"/>
              </w:rPr>
              <w:t>Reason it matters</w:t>
            </w:r>
          </w:p>
        </w:tc>
      </w:tr>
      <w:tr>
        <w:tc>
          <w:tcPr>
            <w:tcW w:type="dxa" w:w="2592"/>
            <w:vAlign w:val="center"/>
            <w:tcMar>
              <w:top w:w="80" w:type="dxa"/>
              <w:start w:w="80" w:type="dxa"/>
              <w:bottom w:w="80" w:type="dxa"/>
              <w:end w:w="80" w:type="dxa"/>
            </w:tcMar>
          </w:tcPr>
          <w:p>
            <w:r>
              <w:rPr>
                <w:sz w:val="16"/>
              </w:rPr>
              <w:t>Pallet positions</w:t>
            </w:r>
          </w:p>
        </w:tc>
        <w:tc>
          <w:tcPr>
            <w:tcW w:type="dxa" w:w="2880"/>
            <w:vAlign w:val="center"/>
            <w:tcMar>
              <w:top w:w="80" w:type="dxa"/>
              <w:start w:w="80" w:type="dxa"/>
              <w:bottom w:w="80" w:type="dxa"/>
              <w:end w:w="80" w:type="dxa"/>
            </w:tcMar>
          </w:tcPr>
          <w:p>
            <w:r>
              <w:rPr>
                <w:sz w:val="16"/>
              </w:rPr>
              <w:t>4,000</w:t>
            </w:r>
          </w:p>
        </w:tc>
        <w:tc>
          <w:tcPr>
            <w:tcW w:type="dxa" w:w="4752"/>
            <w:vAlign w:val="center"/>
            <w:tcMar>
              <w:top w:w="80" w:type="dxa"/>
              <w:start w:w="80" w:type="dxa"/>
              <w:bottom w:w="80" w:type="dxa"/>
              <w:end w:w="80" w:type="dxa"/>
            </w:tcMar>
          </w:tcPr>
          <w:p>
            <w:r>
              <w:rPr>
                <w:sz w:val="16"/>
              </w:rPr>
              <w:t>Defines storage capacity and occupancy risk</w:t>
            </w:r>
          </w:p>
        </w:tc>
      </w:tr>
      <w:tr>
        <w:tc>
          <w:tcPr>
            <w:tcW w:type="dxa" w:w="2592"/>
            <w:vAlign w:val="center"/>
            <w:tcMar>
              <w:top w:w="80" w:type="dxa"/>
              <w:start w:w="80" w:type="dxa"/>
              <w:bottom w:w="80" w:type="dxa"/>
              <w:end w:w="80" w:type="dxa"/>
            </w:tcMar>
          </w:tcPr>
          <w:p>
            <w:r>
              <w:rPr>
                <w:sz w:val="16"/>
              </w:rPr>
              <w:t>Average stock</w:t>
            </w:r>
          </w:p>
        </w:tc>
        <w:tc>
          <w:tcPr>
            <w:tcW w:type="dxa" w:w="2880"/>
            <w:vAlign w:val="center"/>
            <w:tcMar>
              <w:top w:w="80" w:type="dxa"/>
              <w:start w:w="80" w:type="dxa"/>
              <w:bottom w:w="80" w:type="dxa"/>
              <w:end w:w="80" w:type="dxa"/>
            </w:tcMar>
          </w:tcPr>
          <w:p>
            <w:r>
              <w:rPr>
                <w:sz w:val="16"/>
              </w:rPr>
              <w:t>3,150 pallets (78.75%)</w:t>
            </w:r>
          </w:p>
        </w:tc>
        <w:tc>
          <w:tcPr>
            <w:tcW w:type="dxa" w:w="4752"/>
            <w:vAlign w:val="center"/>
            <w:tcMar>
              <w:top w:w="80" w:type="dxa"/>
              <w:start w:w="80" w:type="dxa"/>
              <w:bottom w:w="80" w:type="dxa"/>
              <w:end w:w="80" w:type="dxa"/>
            </w:tcMar>
          </w:tcPr>
          <w:p>
            <w:r>
              <w:rPr>
                <w:sz w:val="16"/>
              </w:rPr>
              <w:t>Healthy but requires monitoring</w:t>
            </w:r>
          </w:p>
        </w:tc>
      </w:tr>
      <w:tr>
        <w:tc>
          <w:tcPr>
            <w:tcW w:type="dxa" w:w="2592"/>
            <w:vAlign w:val="center"/>
            <w:tcMar>
              <w:top w:w="80" w:type="dxa"/>
              <w:start w:w="80" w:type="dxa"/>
              <w:bottom w:w="80" w:type="dxa"/>
              <w:end w:w="80" w:type="dxa"/>
            </w:tcMar>
          </w:tcPr>
          <w:p>
            <w:r>
              <w:rPr>
                <w:sz w:val="16"/>
              </w:rPr>
              <w:t>Peak stock</w:t>
            </w:r>
          </w:p>
        </w:tc>
        <w:tc>
          <w:tcPr>
            <w:tcW w:type="dxa" w:w="2880"/>
            <w:vAlign w:val="center"/>
            <w:tcMar>
              <w:top w:w="80" w:type="dxa"/>
              <w:start w:w="80" w:type="dxa"/>
              <w:bottom w:w="80" w:type="dxa"/>
              <w:end w:w="80" w:type="dxa"/>
            </w:tcMar>
          </w:tcPr>
          <w:p>
            <w:r>
              <w:rPr>
                <w:sz w:val="16"/>
              </w:rPr>
              <w:t>3,680 pallets (92.0%)</w:t>
            </w:r>
          </w:p>
        </w:tc>
        <w:tc>
          <w:tcPr>
            <w:tcW w:type="dxa" w:w="4752"/>
            <w:vAlign w:val="center"/>
            <w:tcMar>
              <w:top w:w="80" w:type="dxa"/>
              <w:start w:w="80" w:type="dxa"/>
              <w:bottom w:w="80" w:type="dxa"/>
              <w:end w:w="80" w:type="dxa"/>
            </w:tcMar>
          </w:tcPr>
          <w:p>
            <w:r>
              <w:rPr>
                <w:sz w:val="16"/>
              </w:rPr>
              <w:t>Above preferred operating buffer; congestion risk</w:t>
            </w:r>
          </w:p>
        </w:tc>
      </w:tr>
      <w:tr>
        <w:tc>
          <w:tcPr>
            <w:tcW w:type="dxa" w:w="2592"/>
            <w:vAlign w:val="center"/>
            <w:tcMar>
              <w:top w:w="80" w:type="dxa"/>
              <w:start w:w="80" w:type="dxa"/>
              <w:bottom w:w="80" w:type="dxa"/>
              <w:end w:w="80" w:type="dxa"/>
            </w:tcMar>
          </w:tcPr>
          <w:p>
            <w:r>
              <w:rPr>
                <w:sz w:val="16"/>
              </w:rPr>
              <w:t>Dock doors</w:t>
            </w:r>
          </w:p>
        </w:tc>
        <w:tc>
          <w:tcPr>
            <w:tcW w:type="dxa" w:w="2880"/>
            <w:vAlign w:val="center"/>
            <w:tcMar>
              <w:top w:w="80" w:type="dxa"/>
              <w:start w:w="80" w:type="dxa"/>
              <w:bottom w:w="80" w:type="dxa"/>
              <w:end w:w="80" w:type="dxa"/>
            </w:tcMar>
          </w:tcPr>
          <w:p>
            <w:r>
              <w:rPr>
                <w:sz w:val="16"/>
              </w:rPr>
              <w:t>6 (2 inbound, 4 outbound)</w:t>
            </w:r>
          </w:p>
        </w:tc>
        <w:tc>
          <w:tcPr>
            <w:tcW w:type="dxa" w:w="4752"/>
            <w:vAlign w:val="center"/>
            <w:tcMar>
              <w:top w:w="80" w:type="dxa"/>
              <w:start w:w="80" w:type="dxa"/>
              <w:bottom w:w="80" w:type="dxa"/>
              <w:end w:w="80" w:type="dxa"/>
            </w:tcMar>
          </w:tcPr>
          <w:p>
            <w:r>
              <w:rPr>
                <w:sz w:val="16"/>
              </w:rPr>
              <w:t>Shared capacity for receiving and shipping</w:t>
            </w:r>
          </w:p>
        </w:tc>
      </w:tr>
      <w:tr>
        <w:tc>
          <w:tcPr>
            <w:tcW w:type="dxa" w:w="2592"/>
            <w:vAlign w:val="center"/>
            <w:tcMar>
              <w:top w:w="80" w:type="dxa"/>
              <w:start w:w="80" w:type="dxa"/>
              <w:bottom w:w="80" w:type="dxa"/>
              <w:end w:w="80" w:type="dxa"/>
            </w:tcMar>
          </w:tcPr>
          <w:p>
            <w:r>
              <w:rPr>
                <w:sz w:val="16"/>
              </w:rPr>
              <w:t>Outbound pallets</w:t>
            </w:r>
          </w:p>
        </w:tc>
        <w:tc>
          <w:tcPr>
            <w:tcW w:type="dxa" w:w="2880"/>
            <w:vAlign w:val="center"/>
            <w:tcMar>
              <w:top w:w="80" w:type="dxa"/>
              <w:start w:w="80" w:type="dxa"/>
              <w:bottom w:w="80" w:type="dxa"/>
              <w:end w:w="80" w:type="dxa"/>
            </w:tcMar>
          </w:tcPr>
          <w:p>
            <w:r>
              <w:rPr>
                <w:sz w:val="16"/>
              </w:rPr>
              <w:t>~300 pallets/week</w:t>
            </w:r>
          </w:p>
        </w:tc>
        <w:tc>
          <w:tcPr>
            <w:tcW w:type="dxa" w:w="4752"/>
            <w:vAlign w:val="center"/>
            <w:tcMar>
              <w:top w:w="80" w:type="dxa"/>
              <w:start w:w="80" w:type="dxa"/>
              <w:bottom w:w="80" w:type="dxa"/>
              <w:end w:w="80" w:type="dxa"/>
            </w:tcMar>
          </w:tcPr>
          <w:p>
            <w:r>
              <w:rPr>
                <w:sz w:val="16"/>
              </w:rPr>
              <w:t>Approx. 50/day across six operating days</w:t>
            </w:r>
          </w:p>
        </w:tc>
      </w:tr>
      <w:tr>
        <w:tc>
          <w:tcPr>
            <w:tcW w:type="dxa" w:w="2592"/>
            <w:vAlign w:val="center"/>
            <w:tcMar>
              <w:top w:w="80" w:type="dxa"/>
              <w:start w:w="80" w:type="dxa"/>
              <w:bottom w:w="80" w:type="dxa"/>
              <w:end w:w="80" w:type="dxa"/>
            </w:tcMar>
          </w:tcPr>
          <w:p>
            <w:r>
              <w:rPr>
                <w:sz w:val="16"/>
              </w:rPr>
              <w:t>Staging capacity</w:t>
            </w:r>
          </w:p>
        </w:tc>
        <w:tc>
          <w:tcPr>
            <w:tcW w:type="dxa" w:w="2880"/>
            <w:vAlign w:val="center"/>
            <w:tcMar>
              <w:top w:w="80" w:type="dxa"/>
              <w:start w:w="80" w:type="dxa"/>
              <w:bottom w:w="80" w:type="dxa"/>
              <w:end w:w="80" w:type="dxa"/>
            </w:tcMar>
          </w:tcPr>
          <w:p>
            <w:r>
              <w:rPr>
                <w:sz w:val="16"/>
              </w:rPr>
              <w:t>60 pallets</w:t>
            </w:r>
          </w:p>
        </w:tc>
        <w:tc>
          <w:tcPr>
            <w:tcW w:type="dxa" w:w="4752"/>
            <w:vAlign w:val="center"/>
            <w:tcMar>
              <w:top w:w="80" w:type="dxa"/>
              <w:start w:w="80" w:type="dxa"/>
              <w:bottom w:w="80" w:type="dxa"/>
              <w:end w:w="80" w:type="dxa"/>
            </w:tcMar>
          </w:tcPr>
          <w:p>
            <w:r>
              <w:rPr>
                <w:sz w:val="16"/>
              </w:rPr>
              <w:t>Wave size and door sequence must respect this limit</w:t>
            </w:r>
          </w:p>
        </w:tc>
      </w:tr>
      <w:tr>
        <w:tc>
          <w:tcPr>
            <w:tcW w:type="dxa" w:w="2592"/>
            <w:vAlign w:val="center"/>
            <w:tcMar>
              <w:top w:w="80" w:type="dxa"/>
              <w:start w:w="80" w:type="dxa"/>
              <w:bottom w:w="80" w:type="dxa"/>
              <w:end w:w="80" w:type="dxa"/>
            </w:tcMar>
          </w:tcPr>
          <w:p>
            <w:r>
              <w:rPr>
                <w:sz w:val="16"/>
              </w:rPr>
              <w:t>Baseline dock turnaround</w:t>
            </w:r>
          </w:p>
        </w:tc>
        <w:tc>
          <w:tcPr>
            <w:tcW w:type="dxa" w:w="2880"/>
            <w:vAlign w:val="center"/>
            <w:tcMar>
              <w:top w:w="80" w:type="dxa"/>
              <w:start w:w="80" w:type="dxa"/>
              <w:bottom w:w="80" w:type="dxa"/>
              <w:end w:w="80" w:type="dxa"/>
            </w:tcMar>
          </w:tcPr>
          <w:p>
            <w:r>
              <w:rPr>
                <w:sz w:val="16"/>
              </w:rPr>
              <w:t>110 min/truck</w:t>
            </w:r>
          </w:p>
        </w:tc>
        <w:tc>
          <w:tcPr>
            <w:tcW w:type="dxa" w:w="4752"/>
            <w:vAlign w:val="center"/>
            <w:tcMar>
              <w:top w:w="80" w:type="dxa"/>
              <w:start w:w="80" w:type="dxa"/>
              <w:bottom w:w="80" w:type="dxa"/>
              <w:end w:w="80" w:type="dxa"/>
            </w:tcMar>
          </w:tcPr>
          <w:p>
            <w:r>
              <w:rPr>
                <w:sz w:val="16"/>
              </w:rPr>
              <w:t>Targeted for improvement</w:t>
            </w:r>
          </w:p>
        </w:tc>
      </w:tr>
      <w:tr>
        <w:tc>
          <w:tcPr>
            <w:tcW w:type="dxa" w:w="2592"/>
            <w:vAlign w:val="center"/>
            <w:tcMar>
              <w:top w:w="80" w:type="dxa"/>
              <w:start w:w="80" w:type="dxa"/>
              <w:bottom w:w="80" w:type="dxa"/>
              <w:end w:w="80" w:type="dxa"/>
            </w:tcMar>
          </w:tcPr>
          <w:p>
            <w:r>
              <w:rPr>
                <w:sz w:val="16"/>
              </w:rPr>
              <w:t>Baseline pick accuracy</w:t>
            </w:r>
          </w:p>
        </w:tc>
        <w:tc>
          <w:tcPr>
            <w:tcW w:type="dxa" w:w="2880"/>
            <w:vAlign w:val="center"/>
            <w:tcMar>
              <w:top w:w="80" w:type="dxa"/>
              <w:start w:w="80" w:type="dxa"/>
              <w:bottom w:w="80" w:type="dxa"/>
              <w:end w:w="80" w:type="dxa"/>
            </w:tcMar>
          </w:tcPr>
          <w:p>
            <w:r>
              <w:rPr>
                <w:sz w:val="16"/>
              </w:rPr>
              <w:t>96.8%</w:t>
            </w:r>
          </w:p>
        </w:tc>
        <w:tc>
          <w:tcPr>
            <w:tcW w:type="dxa" w:w="4752"/>
            <w:vAlign w:val="center"/>
            <w:tcMar>
              <w:top w:w="80" w:type="dxa"/>
              <w:start w:w="80" w:type="dxa"/>
              <w:bottom w:w="80" w:type="dxa"/>
              <w:end w:w="80" w:type="dxa"/>
            </w:tcMar>
          </w:tcPr>
          <w:p>
            <w:r>
              <w:rPr>
                <w:sz w:val="16"/>
              </w:rPr>
              <w:t>Service and rework impact</w:t>
            </w:r>
          </w:p>
        </w:tc>
      </w:tr>
    </w:tbl>
    <w:p>
      <w:pPr>
        <w:spacing w:after="40"/>
      </w:pPr>
    </w:p>
    <w:p>
      <w:r>
        <w:br w:type="page"/>
      </w:r>
    </w:p>
    <w:p>
      <w:pPr>
        <w:pStyle w:val="Heading2"/>
      </w:pPr>
      <w:r>
        <w:t>2.3 Key Constraints</w:t>
      </w:r>
    </w:p>
    <w:p>
      <w:pPr>
        <w:pStyle w:val="ListBullet"/>
      </w:pPr>
      <w:r>
        <w:t>Peak warehouse occupancy can exceed 90%, reducing flexibility for inbound putaway and outbound staging.</w:t>
      </w:r>
    </w:p>
    <w:p>
      <w:pPr>
        <w:pStyle w:val="ListBullet"/>
      </w:pPr>
      <w:r>
        <w:t>Order-by-order dispatching can create under-filled trucks and unnecessary freight cost.</w:t>
      </w:r>
    </w:p>
    <w:p>
      <w:pPr>
        <w:pStyle w:val="ListBullet"/>
      </w:pPr>
      <w:r>
        <w:t>If picking waves are released without reference to freight departure times, staging congestion can occur.</w:t>
      </w:r>
    </w:p>
    <w:p>
      <w:pPr>
        <w:pStyle w:val="ListBullet"/>
      </w:pPr>
      <w:r>
        <w:t>Multiple modes require different cut-off times and contingency rules.</w:t>
      </w:r>
    </w:p>
    <w:p>
      <w:pPr>
        <w:pStyle w:val="ListBullet"/>
      </w:pPr>
      <w:r>
        <w:t>TM planning changes and EWM execution status must remain synchronized to avoid loading the wrong vehicle or missing a departure.</w:t>
      </w:r>
    </w:p>
    <w:p>
      <w:pPr>
        <w:pStyle w:val="Heading1"/>
      </w:pPr>
      <w:r>
        <w:t>3. SAP Logistics Landscape and Planning Principles</w:t>
      </w:r>
    </w:p>
    <w:p>
      <w:r>
        <w:t>For this project, I separate the planning roles of the SAP components. SAP SCM/SNP concepts support supply and deployment planning, transportation lanes and Transport Load Builder logic. SAP TM supports transport requirements, freight-unit creation, planning, mode / resource selection and freight-order execution. SAP EWM supports warehouse requests, warehouse tasks, waves, putaway, picking, staging, doors, transportation units and loading. ERP provides commercial and execution documents such as sales orders, stock transport orders and deliveries.</w:t>
      </w:r>
    </w:p>
    <w:p>
      <w:pPr>
        <w:jc w:val="center"/>
      </w:pPr>
      <w:r>
        <w:drawing>
          <wp:inline xmlns:a="http://schemas.openxmlformats.org/drawingml/2006/main" xmlns:pic="http://schemas.openxmlformats.org/drawingml/2006/picture">
            <wp:extent cx="6537960" cy="2014843"/>
            <wp:docPr id="1" name="Picture 1"/>
            <wp:cNvGraphicFramePr>
              <a:graphicFrameLocks noChangeAspect="1"/>
            </wp:cNvGraphicFramePr>
            <a:graphic>
              <a:graphicData uri="http://schemas.openxmlformats.org/drawingml/2006/picture">
                <pic:pic>
                  <pic:nvPicPr>
                    <pic:cNvPr id="0" name="week4_tm_ewm_flow.png"/>
                    <pic:cNvPicPr/>
                  </pic:nvPicPr>
                  <pic:blipFill>
                    <a:blip r:embed="rId11"/>
                    <a:stretch>
                      <a:fillRect/>
                    </a:stretch>
                  </pic:blipFill>
                  <pic:spPr>
                    <a:xfrm>
                      <a:off x="0" y="0"/>
                      <a:ext cx="6537960" cy="2014843"/>
                    </a:xfrm>
                    <a:prstGeom prst="rect"/>
                  </pic:spPr>
                </pic:pic>
              </a:graphicData>
            </a:graphic>
          </wp:inline>
        </w:drawing>
      </w:r>
    </w:p>
    <w:p>
      <w:pPr>
        <w:pStyle w:val="SmallNote"/>
        <w:jc w:val="center"/>
      </w:pPr>
      <w:r>
        <w:t>Figure 1. Conceptual ERP - TM - EWM logistics integration flow used in this project.</w:t>
      </w:r>
    </w:p>
    <w:p>
      <w:pPr>
        <w:pStyle w:val="Heading2"/>
      </w:pPr>
      <w:r>
        <w:t>3.1 Planning Principles Applied</w:t>
      </w:r>
    </w:p>
    <w:tbl>
      <w:tblPr>
        <w:tblStyle w:val="TableGrid"/>
        <w:tblW w:type="auto" w:w="0"/>
        <w:jc w:val="center"/>
        <w:tblLook w:firstColumn="1" w:firstRow="1" w:lastColumn="0" w:lastRow="0" w:noHBand="0" w:noVBand="1" w:val="04A0"/>
      </w:tblPr>
      <w:tblGrid>
        <w:gridCol w:w="4975"/>
        <w:gridCol w:w="4975"/>
      </w:tblGrid>
      <w:tr>
        <w:trPr>
          <w:tblHeader w:val="true"/>
        </w:trPr>
        <w:tc>
          <w:tcPr>
            <w:tcW w:type="dxa" w:w="2448"/>
            <w:shd w:fill="D9EAF7"/>
            <w:vAlign w:val="center"/>
            <w:tcMar>
              <w:top w:w="80" w:type="dxa"/>
              <w:start w:w="80" w:type="dxa"/>
              <w:bottom w:w="80" w:type="dxa"/>
              <w:end w:w="80" w:type="dxa"/>
            </w:tcMar>
          </w:tcPr>
          <w:p>
            <w:r>
              <w:rPr>
                <w:b/>
                <w:sz w:val="16"/>
              </w:rPr>
              <w:t>Principle</w:t>
            </w:r>
          </w:p>
        </w:tc>
        <w:tc>
          <w:tcPr>
            <w:tcW w:type="dxa" w:w="7488"/>
            <w:shd w:fill="D9EAF7"/>
            <w:vAlign w:val="center"/>
            <w:tcMar>
              <w:top w:w="80" w:type="dxa"/>
              <w:start w:w="80" w:type="dxa"/>
              <w:bottom w:w="80" w:type="dxa"/>
              <w:end w:w="80" w:type="dxa"/>
            </w:tcMar>
          </w:tcPr>
          <w:p>
            <w:r>
              <w:rPr>
                <w:b/>
                <w:sz w:val="16"/>
              </w:rPr>
              <w:t>Application in this scenario</w:t>
            </w:r>
          </w:p>
        </w:tc>
      </w:tr>
      <w:tr>
        <w:tc>
          <w:tcPr>
            <w:tcW w:type="dxa" w:w="2448"/>
            <w:vAlign w:val="center"/>
            <w:tcMar>
              <w:top w:w="80" w:type="dxa"/>
              <w:start w:w="80" w:type="dxa"/>
              <w:bottom w:w="80" w:type="dxa"/>
              <w:end w:w="80" w:type="dxa"/>
            </w:tcMar>
          </w:tcPr>
          <w:p>
            <w:r>
              <w:rPr>
                <w:sz w:val="16"/>
              </w:rPr>
              <w:t>Consolidate before dispatch</w:t>
            </w:r>
          </w:p>
        </w:tc>
        <w:tc>
          <w:tcPr>
            <w:tcW w:type="dxa" w:w="7488"/>
            <w:vAlign w:val="center"/>
            <w:tcMar>
              <w:top w:w="80" w:type="dxa"/>
              <w:start w:w="80" w:type="dxa"/>
              <w:bottom w:w="80" w:type="dxa"/>
              <w:end w:w="80" w:type="dxa"/>
            </w:tcMar>
          </w:tcPr>
          <w:p>
            <w:r>
              <w:rPr>
                <w:sz w:val="16"/>
              </w:rPr>
              <w:t>Combine compatible orders within weight, volume, time-window and route constraints.</w:t>
            </w:r>
          </w:p>
        </w:tc>
      </w:tr>
      <w:tr>
        <w:tc>
          <w:tcPr>
            <w:tcW w:type="dxa" w:w="2448"/>
            <w:vAlign w:val="center"/>
            <w:tcMar>
              <w:top w:w="80" w:type="dxa"/>
              <w:start w:w="80" w:type="dxa"/>
              <w:bottom w:w="80" w:type="dxa"/>
              <w:end w:w="80" w:type="dxa"/>
            </w:tcMar>
          </w:tcPr>
          <w:p>
            <w:r>
              <w:rPr>
                <w:sz w:val="16"/>
              </w:rPr>
              <w:t>Plan warehouse to departure</w:t>
            </w:r>
          </w:p>
        </w:tc>
        <w:tc>
          <w:tcPr>
            <w:tcW w:type="dxa" w:w="7488"/>
            <w:vAlign w:val="center"/>
            <w:tcMar>
              <w:top w:w="80" w:type="dxa"/>
              <w:start w:w="80" w:type="dxa"/>
              <w:bottom w:w="80" w:type="dxa"/>
              <w:end w:w="80" w:type="dxa"/>
            </w:tcMar>
          </w:tcPr>
          <w:p>
            <w:r>
              <w:rPr>
                <w:sz w:val="16"/>
              </w:rPr>
              <w:t>Release picking waves backward from planned vehicle departure and dock slot.</w:t>
            </w:r>
          </w:p>
        </w:tc>
      </w:tr>
      <w:tr>
        <w:tc>
          <w:tcPr>
            <w:tcW w:type="dxa" w:w="2448"/>
            <w:vAlign w:val="center"/>
            <w:tcMar>
              <w:top w:w="80" w:type="dxa"/>
              <w:start w:w="80" w:type="dxa"/>
              <w:bottom w:w="80" w:type="dxa"/>
              <w:end w:w="80" w:type="dxa"/>
            </w:tcMar>
          </w:tcPr>
          <w:p>
            <w:r>
              <w:rPr>
                <w:sz w:val="16"/>
              </w:rPr>
              <w:t>Protect capacity buffer</w:t>
            </w:r>
          </w:p>
        </w:tc>
        <w:tc>
          <w:tcPr>
            <w:tcW w:type="dxa" w:w="7488"/>
            <w:vAlign w:val="center"/>
            <w:tcMar>
              <w:top w:w="80" w:type="dxa"/>
              <w:start w:w="80" w:type="dxa"/>
              <w:bottom w:w="80" w:type="dxa"/>
              <w:end w:w="80" w:type="dxa"/>
            </w:tcMar>
          </w:tcPr>
          <w:p>
            <w:r>
              <w:rPr>
                <w:sz w:val="16"/>
              </w:rPr>
              <w:t>Avoid sustained &gt;90% warehouse occupancy and &gt;95% transport / dock utilization without recovery options.</w:t>
            </w:r>
          </w:p>
        </w:tc>
      </w:tr>
      <w:tr>
        <w:tc>
          <w:tcPr>
            <w:tcW w:type="dxa" w:w="2448"/>
            <w:vAlign w:val="center"/>
            <w:tcMar>
              <w:top w:w="80" w:type="dxa"/>
              <w:start w:w="80" w:type="dxa"/>
              <w:bottom w:w="80" w:type="dxa"/>
              <w:end w:w="80" w:type="dxa"/>
            </w:tcMar>
          </w:tcPr>
          <w:p>
            <w:r>
              <w:rPr>
                <w:sz w:val="16"/>
              </w:rPr>
              <w:t>Segment service</w:t>
            </w:r>
          </w:p>
        </w:tc>
        <w:tc>
          <w:tcPr>
            <w:tcW w:type="dxa" w:w="7488"/>
            <w:vAlign w:val="center"/>
            <w:tcMar>
              <w:top w:w="80" w:type="dxa"/>
              <w:start w:w="80" w:type="dxa"/>
              <w:bottom w:w="80" w:type="dxa"/>
              <w:end w:w="80" w:type="dxa"/>
            </w:tcMar>
          </w:tcPr>
          <w:p>
            <w:r>
              <w:rPr>
                <w:sz w:val="16"/>
              </w:rPr>
              <w:t>Use rail-linked capacity for stable base volume; road backup for urgent or disrupted flows.</w:t>
            </w:r>
          </w:p>
        </w:tc>
      </w:tr>
      <w:tr>
        <w:tc>
          <w:tcPr>
            <w:tcW w:type="dxa" w:w="2448"/>
            <w:vAlign w:val="center"/>
            <w:tcMar>
              <w:top w:w="80" w:type="dxa"/>
              <w:start w:w="80" w:type="dxa"/>
              <w:bottom w:w="80" w:type="dxa"/>
              <w:end w:w="80" w:type="dxa"/>
            </w:tcMar>
          </w:tcPr>
          <w:p>
            <w:r>
              <w:rPr>
                <w:sz w:val="16"/>
              </w:rPr>
              <w:t>Event-driven exception control</w:t>
            </w:r>
          </w:p>
        </w:tc>
        <w:tc>
          <w:tcPr>
            <w:tcW w:type="dxa" w:w="7488"/>
            <w:vAlign w:val="center"/>
            <w:tcMar>
              <w:top w:w="80" w:type="dxa"/>
              <w:start w:w="80" w:type="dxa"/>
              <w:bottom w:w="80" w:type="dxa"/>
              <w:end w:w="80" w:type="dxa"/>
            </w:tcMar>
          </w:tcPr>
          <w:p>
            <w:r>
              <w:rPr>
                <w:sz w:val="16"/>
              </w:rPr>
              <w:t>Escalate late picking, delayed vehicles, quantity discrepancies and inventory mismatch before dispatch failure.</w:t>
            </w:r>
          </w:p>
        </w:tc>
      </w:tr>
      <w:tr>
        <w:tc>
          <w:tcPr>
            <w:tcW w:type="dxa" w:w="2448"/>
            <w:vAlign w:val="center"/>
            <w:tcMar>
              <w:top w:w="80" w:type="dxa"/>
              <w:start w:w="80" w:type="dxa"/>
              <w:bottom w:w="80" w:type="dxa"/>
              <w:end w:w="80" w:type="dxa"/>
            </w:tcMar>
          </w:tcPr>
          <w:p>
            <w:r>
              <w:rPr>
                <w:sz w:val="16"/>
              </w:rPr>
              <w:t>Master-data governance</w:t>
            </w:r>
          </w:p>
        </w:tc>
        <w:tc>
          <w:tcPr>
            <w:tcW w:type="dxa" w:w="7488"/>
            <w:vAlign w:val="center"/>
            <w:tcMar>
              <w:top w:w="80" w:type="dxa"/>
              <w:start w:w="80" w:type="dxa"/>
              <w:bottom w:w="80" w:type="dxa"/>
              <w:end w:w="80" w:type="dxa"/>
            </w:tcMar>
          </w:tcPr>
          <w:p>
            <w:r>
              <w:rPr>
                <w:sz w:val="16"/>
              </w:rPr>
              <w:t>Maintain consistent locations, resources, calendars, product dimensions, lanes, doors and staging assignments.</w:t>
            </w:r>
          </w:p>
        </w:tc>
      </w:tr>
    </w:tbl>
    <w:p>
      <w:pPr>
        <w:spacing w:after="40"/>
      </w:pPr>
    </w:p>
    <w:p>
      <w:pPr>
        <w:pStyle w:val="Heading1"/>
      </w:pPr>
      <w:r>
        <w:t>4. Transportation Management Configuration Guidelines</w:t>
      </w:r>
    </w:p>
    <w:p>
      <w:pPr>
        <w:pStyle w:val="Heading2"/>
      </w:pPr>
      <w:r>
        <w:t>4.1 Transportation Master Data</w:t>
      </w:r>
    </w:p>
    <w:tbl>
      <w:tblPr>
        <w:tblStyle w:val="TableGrid"/>
        <w:tblW w:type="auto" w:w="0"/>
        <w:jc w:val="center"/>
        <w:tblLook w:firstColumn="1" w:firstRow="1" w:lastColumn="0" w:lastRow="0" w:noHBand="0" w:noVBand="1" w:val="04A0"/>
      </w:tblPr>
      <w:tblGrid>
        <w:gridCol w:w="3317"/>
        <w:gridCol w:w="3317"/>
        <w:gridCol w:w="3317"/>
      </w:tblGrid>
      <w:tr>
        <w:trPr>
          <w:tblHeader w:val="true"/>
        </w:trPr>
        <w:tc>
          <w:tcPr>
            <w:tcW w:type="dxa" w:w="2232"/>
            <w:shd w:fill="D9EAF7"/>
            <w:vAlign w:val="center"/>
            <w:tcMar>
              <w:top w:w="80" w:type="dxa"/>
              <w:start w:w="80" w:type="dxa"/>
              <w:bottom w:w="80" w:type="dxa"/>
              <w:end w:w="80" w:type="dxa"/>
            </w:tcMar>
          </w:tcPr>
          <w:p>
            <w:r>
              <w:rPr>
                <w:b/>
                <w:sz w:val="16"/>
              </w:rPr>
              <w:t>Object / parameter</w:t>
            </w:r>
          </w:p>
        </w:tc>
        <w:tc>
          <w:tcPr>
            <w:tcW w:type="dxa" w:w="3600"/>
            <w:shd w:fill="D9EAF7"/>
            <w:vAlign w:val="center"/>
            <w:tcMar>
              <w:top w:w="80" w:type="dxa"/>
              <w:start w:w="80" w:type="dxa"/>
              <w:bottom w:w="80" w:type="dxa"/>
              <w:end w:w="80" w:type="dxa"/>
            </w:tcMar>
          </w:tcPr>
          <w:p>
            <w:r>
              <w:rPr>
                <w:b/>
                <w:sz w:val="16"/>
              </w:rPr>
              <w:t>Project setup</w:t>
            </w:r>
          </w:p>
        </w:tc>
        <w:tc>
          <w:tcPr>
            <w:tcW w:type="dxa" w:w="4104"/>
            <w:shd w:fill="D9EAF7"/>
            <w:vAlign w:val="center"/>
            <w:tcMar>
              <w:top w:w="80" w:type="dxa"/>
              <w:start w:w="80" w:type="dxa"/>
              <w:bottom w:w="80" w:type="dxa"/>
              <w:end w:w="80" w:type="dxa"/>
            </w:tcMar>
          </w:tcPr>
          <w:p>
            <w:r>
              <w:rPr>
                <w:b/>
                <w:sz w:val="16"/>
              </w:rPr>
              <w:t>Operational purpose</w:t>
            </w:r>
          </w:p>
        </w:tc>
      </w:tr>
      <w:tr>
        <w:tc>
          <w:tcPr>
            <w:tcW w:type="dxa" w:w="2232"/>
            <w:vAlign w:val="center"/>
            <w:tcMar>
              <w:top w:w="80" w:type="dxa"/>
              <w:start w:w="80" w:type="dxa"/>
              <w:bottom w:w="80" w:type="dxa"/>
              <w:end w:w="80" w:type="dxa"/>
            </w:tcMar>
          </w:tcPr>
          <w:p>
            <w:r>
              <w:rPr>
                <w:sz w:val="16"/>
              </w:rPr>
              <w:t>Locations</w:t>
            </w:r>
          </w:p>
        </w:tc>
        <w:tc>
          <w:tcPr>
            <w:tcW w:type="dxa" w:w="3600"/>
            <w:vAlign w:val="center"/>
            <w:tcMar>
              <w:top w:w="80" w:type="dxa"/>
              <w:start w:w="80" w:type="dxa"/>
              <w:bottom w:w="80" w:type="dxa"/>
              <w:end w:w="80" w:type="dxa"/>
            </w:tcMar>
          </w:tcPr>
          <w:p>
            <w:r>
              <w:rPr>
                <w:sz w:val="16"/>
              </w:rPr>
              <w:t>Hyderabad plant/DC, Vijayawada DC, Bengaluru DC, customer zones</w:t>
            </w:r>
          </w:p>
        </w:tc>
        <w:tc>
          <w:tcPr>
            <w:tcW w:type="dxa" w:w="4104"/>
            <w:vAlign w:val="center"/>
            <w:tcMar>
              <w:top w:w="80" w:type="dxa"/>
              <w:start w:w="80" w:type="dxa"/>
              <w:bottom w:w="80" w:type="dxa"/>
              <w:end w:w="80" w:type="dxa"/>
            </w:tcMar>
          </w:tcPr>
          <w:p>
            <w:r>
              <w:rPr>
                <w:sz w:val="16"/>
              </w:rPr>
              <w:t>Defines transportation origins and destinations.</w:t>
            </w:r>
          </w:p>
        </w:tc>
      </w:tr>
      <w:tr>
        <w:tc>
          <w:tcPr>
            <w:tcW w:type="dxa" w:w="2232"/>
            <w:vAlign w:val="center"/>
            <w:tcMar>
              <w:top w:w="80" w:type="dxa"/>
              <w:start w:w="80" w:type="dxa"/>
              <w:bottom w:w="80" w:type="dxa"/>
              <w:end w:w="80" w:type="dxa"/>
            </w:tcMar>
          </w:tcPr>
          <w:p>
            <w:r>
              <w:rPr>
                <w:sz w:val="16"/>
              </w:rPr>
              <w:t>Business partners</w:t>
            </w:r>
          </w:p>
        </w:tc>
        <w:tc>
          <w:tcPr>
            <w:tcW w:type="dxa" w:w="3600"/>
            <w:vAlign w:val="center"/>
            <w:tcMar>
              <w:top w:w="80" w:type="dxa"/>
              <w:start w:w="80" w:type="dxa"/>
              <w:bottom w:w="80" w:type="dxa"/>
              <w:end w:w="80" w:type="dxa"/>
            </w:tcMar>
          </w:tcPr>
          <w:p>
            <w:r>
              <w:rPr>
                <w:sz w:val="16"/>
              </w:rPr>
              <w:t>Carriers, suppliers, customers</w:t>
            </w:r>
          </w:p>
        </w:tc>
        <w:tc>
          <w:tcPr>
            <w:tcW w:type="dxa" w:w="4104"/>
            <w:vAlign w:val="center"/>
            <w:tcMar>
              <w:top w:w="80" w:type="dxa"/>
              <w:start w:w="80" w:type="dxa"/>
              <w:bottom w:w="80" w:type="dxa"/>
              <w:end w:w="80" w:type="dxa"/>
            </w:tcMar>
          </w:tcPr>
          <w:p>
            <w:r>
              <w:rPr>
                <w:sz w:val="16"/>
              </w:rPr>
              <w:t>Supports carrier and partner assignment.</w:t>
            </w:r>
          </w:p>
        </w:tc>
      </w:tr>
      <w:tr>
        <w:tc>
          <w:tcPr>
            <w:tcW w:type="dxa" w:w="2232"/>
            <w:vAlign w:val="center"/>
            <w:tcMar>
              <w:top w:w="80" w:type="dxa"/>
              <w:start w:w="80" w:type="dxa"/>
              <w:bottom w:w="80" w:type="dxa"/>
              <w:end w:w="80" w:type="dxa"/>
            </w:tcMar>
          </w:tcPr>
          <w:p>
            <w:r>
              <w:rPr>
                <w:sz w:val="16"/>
              </w:rPr>
              <w:t>Products</w:t>
            </w:r>
          </w:p>
        </w:tc>
        <w:tc>
          <w:tcPr>
            <w:tcW w:type="dxa" w:w="3600"/>
            <w:vAlign w:val="center"/>
            <w:tcMar>
              <w:top w:w="80" w:type="dxa"/>
              <w:start w:w="80" w:type="dxa"/>
              <w:bottom w:w="80" w:type="dxa"/>
              <w:end w:w="80" w:type="dxa"/>
            </w:tcMar>
          </w:tcPr>
          <w:p>
            <w:r>
              <w:rPr>
                <w:sz w:val="16"/>
              </w:rPr>
              <w:t>Finished goods with weight / volume / handling attributes</w:t>
            </w:r>
          </w:p>
        </w:tc>
        <w:tc>
          <w:tcPr>
            <w:tcW w:type="dxa" w:w="4104"/>
            <w:vAlign w:val="center"/>
            <w:tcMar>
              <w:top w:w="80" w:type="dxa"/>
              <w:start w:w="80" w:type="dxa"/>
              <w:bottom w:w="80" w:type="dxa"/>
              <w:end w:w="80" w:type="dxa"/>
            </w:tcMar>
          </w:tcPr>
          <w:p>
            <w:r>
              <w:rPr>
                <w:sz w:val="16"/>
              </w:rPr>
              <w:t>Required for capacity and compatibility checks.</w:t>
            </w:r>
          </w:p>
        </w:tc>
      </w:tr>
      <w:tr>
        <w:tc>
          <w:tcPr>
            <w:tcW w:type="dxa" w:w="2232"/>
            <w:vAlign w:val="center"/>
            <w:tcMar>
              <w:top w:w="80" w:type="dxa"/>
              <w:start w:w="80" w:type="dxa"/>
              <w:bottom w:w="80" w:type="dxa"/>
              <w:end w:w="80" w:type="dxa"/>
            </w:tcMar>
          </w:tcPr>
          <w:p>
            <w:r>
              <w:rPr>
                <w:sz w:val="16"/>
              </w:rPr>
              <w:t>Transportation resources</w:t>
            </w:r>
          </w:p>
        </w:tc>
        <w:tc>
          <w:tcPr>
            <w:tcW w:type="dxa" w:w="3600"/>
            <w:vAlign w:val="center"/>
            <w:tcMar>
              <w:top w:w="80" w:type="dxa"/>
              <w:start w:w="80" w:type="dxa"/>
              <w:bottom w:w="80" w:type="dxa"/>
              <w:end w:w="80" w:type="dxa"/>
            </w:tcMar>
          </w:tcPr>
          <w:p>
            <w:r>
              <w:rPr>
                <w:sz w:val="16"/>
              </w:rPr>
              <w:t>16 t road truck; 20 t rail-linked container; 4 t local vehicle</w:t>
            </w:r>
          </w:p>
        </w:tc>
        <w:tc>
          <w:tcPr>
            <w:tcW w:type="dxa" w:w="4104"/>
            <w:vAlign w:val="center"/>
            <w:tcMar>
              <w:top w:w="80" w:type="dxa"/>
              <w:start w:w="80" w:type="dxa"/>
              <w:bottom w:w="80" w:type="dxa"/>
              <w:end w:w="80" w:type="dxa"/>
            </w:tcMar>
          </w:tcPr>
          <w:p>
            <w:r>
              <w:rPr>
                <w:sz w:val="16"/>
              </w:rPr>
              <w:t>Enables mode and capacity planning.</w:t>
            </w:r>
          </w:p>
        </w:tc>
      </w:tr>
      <w:tr>
        <w:tc>
          <w:tcPr>
            <w:tcW w:type="dxa" w:w="2232"/>
            <w:vAlign w:val="center"/>
            <w:tcMar>
              <w:top w:w="80" w:type="dxa"/>
              <w:start w:w="80" w:type="dxa"/>
              <w:bottom w:w="80" w:type="dxa"/>
              <w:end w:w="80" w:type="dxa"/>
            </w:tcMar>
          </w:tcPr>
          <w:p>
            <w:r>
              <w:rPr>
                <w:sz w:val="16"/>
              </w:rPr>
              <w:t>Transportation lanes / routes</w:t>
            </w:r>
          </w:p>
        </w:tc>
        <w:tc>
          <w:tcPr>
            <w:tcW w:type="dxa" w:w="3600"/>
            <w:vAlign w:val="center"/>
            <w:tcMar>
              <w:top w:w="80" w:type="dxa"/>
              <w:start w:w="80" w:type="dxa"/>
              <w:bottom w:w="80" w:type="dxa"/>
              <w:end w:w="80" w:type="dxa"/>
            </w:tcMar>
          </w:tcPr>
          <w:p>
            <w:r>
              <w:rPr>
                <w:sz w:val="16"/>
              </w:rPr>
              <w:t>HYD-VJA, HYD-BLR, HYD-local</w:t>
            </w:r>
          </w:p>
        </w:tc>
        <w:tc>
          <w:tcPr>
            <w:tcW w:type="dxa" w:w="4104"/>
            <w:vAlign w:val="center"/>
            <w:tcMar>
              <w:top w:w="80" w:type="dxa"/>
              <w:start w:w="80" w:type="dxa"/>
              <w:bottom w:w="80" w:type="dxa"/>
              <w:end w:w="80" w:type="dxa"/>
            </w:tcMar>
          </w:tcPr>
          <w:p>
            <w:r>
              <w:rPr>
                <w:sz w:val="16"/>
              </w:rPr>
              <w:t>Defines feasible movement paths and lead times.</w:t>
            </w:r>
          </w:p>
        </w:tc>
      </w:tr>
      <w:tr>
        <w:tc>
          <w:tcPr>
            <w:tcW w:type="dxa" w:w="2232"/>
            <w:vAlign w:val="center"/>
            <w:tcMar>
              <w:top w:w="80" w:type="dxa"/>
              <w:start w:w="80" w:type="dxa"/>
              <w:bottom w:w="80" w:type="dxa"/>
              <w:end w:w="80" w:type="dxa"/>
            </w:tcMar>
          </w:tcPr>
          <w:p>
            <w:r>
              <w:rPr>
                <w:sz w:val="16"/>
              </w:rPr>
              <w:t>Calendars / cut-offs</w:t>
            </w:r>
          </w:p>
        </w:tc>
        <w:tc>
          <w:tcPr>
            <w:tcW w:type="dxa" w:w="3600"/>
            <w:vAlign w:val="center"/>
            <w:tcMar>
              <w:top w:w="80" w:type="dxa"/>
              <w:start w:w="80" w:type="dxa"/>
              <w:bottom w:w="80" w:type="dxa"/>
              <w:end w:w="80" w:type="dxa"/>
            </w:tcMar>
          </w:tcPr>
          <w:p>
            <w:r>
              <w:rPr>
                <w:sz w:val="16"/>
              </w:rPr>
              <w:t>Carrier availability, warehouse shifts, rail cut-off</w:t>
            </w:r>
          </w:p>
        </w:tc>
        <w:tc>
          <w:tcPr>
            <w:tcW w:type="dxa" w:w="4104"/>
            <w:vAlign w:val="center"/>
            <w:tcMar>
              <w:top w:w="80" w:type="dxa"/>
              <w:start w:w="80" w:type="dxa"/>
              <w:bottom w:w="80" w:type="dxa"/>
              <w:end w:w="80" w:type="dxa"/>
            </w:tcMar>
          </w:tcPr>
          <w:p>
            <w:r>
              <w:rPr>
                <w:sz w:val="16"/>
              </w:rPr>
              <w:t>Prevents plans outside executable windows.</w:t>
            </w:r>
          </w:p>
        </w:tc>
      </w:tr>
      <w:tr>
        <w:tc>
          <w:tcPr>
            <w:tcW w:type="dxa" w:w="2232"/>
            <w:vAlign w:val="center"/>
            <w:tcMar>
              <w:top w:w="80" w:type="dxa"/>
              <w:start w:w="80" w:type="dxa"/>
              <w:bottom w:w="80" w:type="dxa"/>
              <w:end w:w="80" w:type="dxa"/>
            </w:tcMar>
          </w:tcPr>
          <w:p>
            <w:r>
              <w:rPr>
                <w:sz w:val="16"/>
              </w:rPr>
              <w:t>Zones</w:t>
            </w:r>
          </w:p>
        </w:tc>
        <w:tc>
          <w:tcPr>
            <w:tcW w:type="dxa" w:w="3600"/>
            <w:vAlign w:val="center"/>
            <w:tcMar>
              <w:top w:w="80" w:type="dxa"/>
              <w:start w:w="80" w:type="dxa"/>
              <w:bottom w:w="80" w:type="dxa"/>
              <w:end w:w="80" w:type="dxa"/>
            </w:tcMar>
          </w:tcPr>
          <w:p>
            <w:r>
              <w:rPr>
                <w:sz w:val="16"/>
              </w:rPr>
              <w:t>Telangana, Andhra Pradesh, Karnataka service zones</w:t>
            </w:r>
          </w:p>
        </w:tc>
        <w:tc>
          <w:tcPr>
            <w:tcW w:type="dxa" w:w="4104"/>
            <w:vAlign w:val="center"/>
            <w:tcMar>
              <w:top w:w="80" w:type="dxa"/>
              <w:start w:w="80" w:type="dxa"/>
              <w:bottom w:w="80" w:type="dxa"/>
              <w:end w:w="80" w:type="dxa"/>
            </w:tcMar>
          </w:tcPr>
          <w:p>
            <w:r>
              <w:rPr>
                <w:sz w:val="16"/>
              </w:rPr>
              <w:t>Simplifies geographic planning and rates.</w:t>
            </w:r>
          </w:p>
        </w:tc>
      </w:tr>
    </w:tbl>
    <w:p>
      <w:pPr>
        <w:spacing w:after="40"/>
      </w:pPr>
    </w:p>
    <w:p>
      <w:pPr>
        <w:pStyle w:val="Heading2"/>
      </w:pPr>
      <w:r>
        <w:t>4.2 Planning and Execution Sequence</w:t>
      </w:r>
    </w:p>
    <w:p>
      <w:pPr>
        <w:ind w:left="0" w:firstLine="0"/>
      </w:pPr>
      <w:r>
        <w:t>1.  Create or receive order / delivery-based transportation requirements from ERP.</w:t>
      </w:r>
    </w:p>
    <w:p>
      <w:pPr>
        <w:ind w:left="0" w:firstLine="0"/>
      </w:pPr>
      <w:r>
        <w:t>2.  Build freight units according to product, source, destination, delivery window and consolidation rules.</w:t>
      </w:r>
    </w:p>
    <w:p>
      <w:pPr>
        <w:ind w:left="0" w:firstLine="0"/>
      </w:pPr>
      <w:r>
        <w:t>3.  Assign feasible mode, route and transportation resource.</w:t>
      </w:r>
    </w:p>
    <w:p>
      <w:pPr>
        <w:ind w:left="0" w:firstLine="0"/>
      </w:pPr>
      <w:r>
        <w:t>4.  Run manual or optimizer-assisted transportation planning within capacity and time constraints.</w:t>
      </w:r>
    </w:p>
    <w:p>
      <w:pPr>
        <w:ind w:left="0" w:firstLine="0"/>
      </w:pPr>
      <w:r>
        <w:t>5.  Create freight orders for planned road / rail movements.</w:t>
      </w:r>
    </w:p>
    <w:p>
      <w:pPr>
        <w:ind w:left="0" w:firstLine="0"/>
      </w:pPr>
      <w:r>
        <w:t>6.  Perform carrier selection, tendering or direct carrier assignment according to the scenario.</w:t>
      </w:r>
    </w:p>
    <w:p>
      <w:pPr>
        <w:ind w:left="0" w:firstLine="0"/>
      </w:pPr>
      <w:r>
        <w:t>7.  Send transportation-relevant information to warehouse execution.</w:t>
      </w:r>
    </w:p>
    <w:p>
      <w:pPr>
        <w:ind w:left="0" w:firstLine="0"/>
      </w:pPr>
      <w:r>
        <w:t>8.  Update loading, departure and execution status from warehouse / transport events.</w:t>
      </w:r>
    </w:p>
    <w:p>
      <w:pPr>
        <w:ind w:left="0" w:firstLine="0"/>
      </w:pPr>
      <w:r>
        <w:t>9.  Capture proof-of-delivery and cost / service metrics for monitoring.</w:t>
      </w:r>
    </w:p>
    <w:p>
      <w:pPr>
        <w:pStyle w:val="Heading2"/>
      </w:pPr>
      <w:r>
        <w:t>4.3 SNP Transport Load Builder (TLB) Use in the Simulation</w:t>
      </w:r>
    </w:p>
    <w:p>
      <w:r>
        <w:t>Where the assignment is interpreted specifically through SAP SCM/SNP, I use TLB as the conceptual load-consolidation mechanism. The profile should define upper and lower limits for weight / volume and be linked to the relevant means of transport and transportation lane. In this project, the 16 t road-truck profile is used to demonstrate how multiple deployment or replenishment requirements can be grouped into fuller shipments.</w:t>
      </w:r>
    </w:p>
    <w:p>
      <w:r>
        <w:br w:type="page"/>
      </w:r>
    </w:p>
    <w:p>
      <w:pPr>
        <w:pStyle w:val="Heading1"/>
      </w:pPr>
      <w:r>
        <w:t>5. Warehouse Logistics Configuration Guidelines</w:t>
      </w:r>
    </w:p>
    <w:p>
      <w:pPr>
        <w:pStyle w:val="Heading2"/>
      </w:pPr>
      <w:r>
        <w:t>5.1 Warehouse Structure</w:t>
      </w:r>
    </w:p>
    <w:tbl>
      <w:tblPr>
        <w:tblStyle w:val="TableGrid"/>
        <w:tblW w:type="auto" w:w="0"/>
        <w:jc w:val="center"/>
        <w:tblLook w:firstColumn="1" w:firstRow="1" w:lastColumn="0" w:lastRow="0" w:noHBand="0" w:noVBand="1" w:val="04A0"/>
      </w:tblPr>
      <w:tblGrid>
        <w:gridCol w:w="3317"/>
        <w:gridCol w:w="3317"/>
        <w:gridCol w:w="3317"/>
      </w:tblGrid>
      <w:tr>
        <w:trPr>
          <w:tblHeader w:val="true"/>
        </w:trPr>
        <w:tc>
          <w:tcPr>
            <w:tcW w:type="dxa" w:w="2304"/>
            <w:shd w:fill="D9EAF7"/>
            <w:vAlign w:val="center"/>
            <w:tcMar>
              <w:top w:w="80" w:type="dxa"/>
              <w:start w:w="80" w:type="dxa"/>
              <w:bottom w:w="80" w:type="dxa"/>
              <w:end w:w="80" w:type="dxa"/>
            </w:tcMar>
          </w:tcPr>
          <w:p>
            <w:r>
              <w:rPr>
                <w:b/>
                <w:sz w:val="16"/>
              </w:rPr>
              <w:t>EWM object</w:t>
            </w:r>
          </w:p>
        </w:tc>
        <w:tc>
          <w:tcPr>
            <w:tcW w:type="dxa" w:w="3960"/>
            <w:shd w:fill="D9EAF7"/>
            <w:vAlign w:val="center"/>
            <w:tcMar>
              <w:top w:w="80" w:type="dxa"/>
              <w:start w:w="80" w:type="dxa"/>
              <w:bottom w:w="80" w:type="dxa"/>
              <w:end w:w="80" w:type="dxa"/>
            </w:tcMar>
          </w:tcPr>
          <w:p>
            <w:r>
              <w:rPr>
                <w:b/>
                <w:sz w:val="16"/>
              </w:rPr>
              <w:t>Illustrative design</w:t>
            </w:r>
          </w:p>
        </w:tc>
        <w:tc>
          <w:tcPr>
            <w:tcW w:type="dxa" w:w="3672"/>
            <w:shd w:fill="D9EAF7"/>
            <w:vAlign w:val="center"/>
            <w:tcMar>
              <w:top w:w="80" w:type="dxa"/>
              <w:start w:w="80" w:type="dxa"/>
              <w:bottom w:w="80" w:type="dxa"/>
              <w:end w:w="80" w:type="dxa"/>
            </w:tcMar>
          </w:tcPr>
          <w:p>
            <w:r>
              <w:rPr>
                <w:b/>
                <w:sz w:val="16"/>
              </w:rPr>
              <w:t>Purpose</w:t>
            </w:r>
          </w:p>
        </w:tc>
      </w:tr>
      <w:tr>
        <w:tc>
          <w:tcPr>
            <w:tcW w:type="dxa" w:w="2304"/>
            <w:vAlign w:val="center"/>
            <w:tcMar>
              <w:top w:w="80" w:type="dxa"/>
              <w:start w:w="80" w:type="dxa"/>
              <w:bottom w:w="80" w:type="dxa"/>
              <w:end w:w="80" w:type="dxa"/>
            </w:tcMar>
          </w:tcPr>
          <w:p>
            <w:r>
              <w:rPr>
                <w:sz w:val="16"/>
              </w:rPr>
              <w:t>Warehouse number</w:t>
            </w:r>
          </w:p>
        </w:tc>
        <w:tc>
          <w:tcPr>
            <w:tcW w:type="dxa" w:w="3960"/>
            <w:vAlign w:val="center"/>
            <w:tcMar>
              <w:top w:w="80" w:type="dxa"/>
              <w:start w:w="80" w:type="dxa"/>
              <w:bottom w:w="80" w:type="dxa"/>
              <w:end w:w="80" w:type="dxa"/>
            </w:tcMar>
          </w:tcPr>
          <w:p>
            <w:r>
              <w:rPr>
                <w:sz w:val="16"/>
              </w:rPr>
              <w:t>HYD-CW</w:t>
            </w:r>
          </w:p>
        </w:tc>
        <w:tc>
          <w:tcPr>
            <w:tcW w:type="dxa" w:w="3672"/>
            <w:vAlign w:val="center"/>
            <w:tcMar>
              <w:top w:w="80" w:type="dxa"/>
              <w:start w:w="80" w:type="dxa"/>
              <w:bottom w:w="80" w:type="dxa"/>
              <w:end w:w="80" w:type="dxa"/>
            </w:tcMar>
          </w:tcPr>
          <w:p>
            <w:r>
              <w:rPr>
                <w:sz w:val="16"/>
              </w:rPr>
              <w:t>Logical warehouse organization.</w:t>
            </w:r>
          </w:p>
        </w:tc>
      </w:tr>
      <w:tr>
        <w:tc>
          <w:tcPr>
            <w:tcW w:type="dxa" w:w="2304"/>
            <w:vAlign w:val="center"/>
            <w:tcMar>
              <w:top w:w="80" w:type="dxa"/>
              <w:start w:w="80" w:type="dxa"/>
              <w:bottom w:w="80" w:type="dxa"/>
              <w:end w:w="80" w:type="dxa"/>
            </w:tcMar>
          </w:tcPr>
          <w:p>
            <w:r>
              <w:rPr>
                <w:sz w:val="16"/>
              </w:rPr>
              <w:t>Storage types</w:t>
            </w:r>
          </w:p>
        </w:tc>
        <w:tc>
          <w:tcPr>
            <w:tcW w:type="dxa" w:w="3960"/>
            <w:vAlign w:val="center"/>
            <w:tcMar>
              <w:top w:w="80" w:type="dxa"/>
              <w:start w:w="80" w:type="dxa"/>
              <w:bottom w:w="80" w:type="dxa"/>
              <w:end w:w="80" w:type="dxa"/>
            </w:tcMar>
          </w:tcPr>
          <w:p>
            <w:r>
              <w:rPr>
                <w:sz w:val="16"/>
              </w:rPr>
              <w:t>GR staging, reserve pallet storage, fast-pick area, packing, GI staging</w:t>
            </w:r>
          </w:p>
        </w:tc>
        <w:tc>
          <w:tcPr>
            <w:tcW w:type="dxa" w:w="3672"/>
            <w:vAlign w:val="center"/>
            <w:tcMar>
              <w:top w:w="80" w:type="dxa"/>
              <w:start w:w="80" w:type="dxa"/>
              <w:bottom w:w="80" w:type="dxa"/>
              <w:end w:w="80" w:type="dxa"/>
            </w:tcMar>
          </w:tcPr>
          <w:p>
            <w:r>
              <w:rPr>
                <w:sz w:val="16"/>
              </w:rPr>
              <w:t>Separates process and storage functions.</w:t>
            </w:r>
          </w:p>
        </w:tc>
      </w:tr>
      <w:tr>
        <w:tc>
          <w:tcPr>
            <w:tcW w:type="dxa" w:w="2304"/>
            <w:vAlign w:val="center"/>
            <w:tcMar>
              <w:top w:w="80" w:type="dxa"/>
              <w:start w:w="80" w:type="dxa"/>
              <w:bottom w:w="80" w:type="dxa"/>
              <w:end w:w="80" w:type="dxa"/>
            </w:tcMar>
          </w:tcPr>
          <w:p>
            <w:r>
              <w:rPr>
                <w:sz w:val="16"/>
              </w:rPr>
              <w:t>Storage sections / bins</w:t>
            </w:r>
          </w:p>
        </w:tc>
        <w:tc>
          <w:tcPr>
            <w:tcW w:type="dxa" w:w="3960"/>
            <w:vAlign w:val="center"/>
            <w:tcMar>
              <w:top w:w="80" w:type="dxa"/>
              <w:start w:w="80" w:type="dxa"/>
              <w:bottom w:w="80" w:type="dxa"/>
              <w:end w:w="80" w:type="dxa"/>
            </w:tcMar>
          </w:tcPr>
          <w:p>
            <w:r>
              <w:rPr>
                <w:sz w:val="16"/>
              </w:rPr>
              <w:t>Fast movers near outbound staging; reserve stock deeper in warehouse</w:t>
            </w:r>
          </w:p>
        </w:tc>
        <w:tc>
          <w:tcPr>
            <w:tcW w:type="dxa" w:w="3672"/>
            <w:vAlign w:val="center"/>
            <w:tcMar>
              <w:top w:w="80" w:type="dxa"/>
              <w:start w:w="80" w:type="dxa"/>
              <w:bottom w:w="80" w:type="dxa"/>
              <w:end w:w="80" w:type="dxa"/>
            </w:tcMar>
          </w:tcPr>
          <w:p>
            <w:r>
              <w:rPr>
                <w:sz w:val="16"/>
              </w:rPr>
              <w:t>Supports slotting and search strategies.</w:t>
            </w:r>
          </w:p>
        </w:tc>
      </w:tr>
      <w:tr>
        <w:tc>
          <w:tcPr>
            <w:tcW w:type="dxa" w:w="2304"/>
            <w:vAlign w:val="center"/>
            <w:tcMar>
              <w:top w:w="80" w:type="dxa"/>
              <w:start w:w="80" w:type="dxa"/>
              <w:bottom w:w="80" w:type="dxa"/>
              <w:end w:w="80" w:type="dxa"/>
            </w:tcMar>
          </w:tcPr>
          <w:p>
            <w:r>
              <w:rPr>
                <w:sz w:val="16"/>
              </w:rPr>
              <w:t>Activity areas</w:t>
            </w:r>
          </w:p>
        </w:tc>
        <w:tc>
          <w:tcPr>
            <w:tcW w:type="dxa" w:w="3960"/>
            <w:vAlign w:val="center"/>
            <w:tcMar>
              <w:top w:w="80" w:type="dxa"/>
              <w:start w:w="80" w:type="dxa"/>
              <w:bottom w:w="80" w:type="dxa"/>
              <w:end w:w="80" w:type="dxa"/>
            </w:tcMar>
          </w:tcPr>
          <w:p>
            <w:r>
              <w:rPr>
                <w:sz w:val="16"/>
              </w:rPr>
              <w:t>Inbound, replenishment, picking, packing, staging</w:t>
            </w:r>
          </w:p>
        </w:tc>
        <w:tc>
          <w:tcPr>
            <w:tcW w:type="dxa" w:w="3672"/>
            <w:vAlign w:val="center"/>
            <w:tcMar>
              <w:top w:w="80" w:type="dxa"/>
              <w:start w:w="80" w:type="dxa"/>
              <w:bottom w:w="80" w:type="dxa"/>
              <w:end w:w="80" w:type="dxa"/>
            </w:tcMar>
          </w:tcPr>
          <w:p>
            <w:r>
              <w:rPr>
                <w:sz w:val="16"/>
              </w:rPr>
              <w:t>Groups bins for warehouse work.</w:t>
            </w:r>
          </w:p>
        </w:tc>
      </w:tr>
      <w:tr>
        <w:tc>
          <w:tcPr>
            <w:tcW w:type="dxa" w:w="2304"/>
            <w:vAlign w:val="center"/>
            <w:tcMar>
              <w:top w:w="80" w:type="dxa"/>
              <w:start w:w="80" w:type="dxa"/>
              <w:bottom w:w="80" w:type="dxa"/>
              <w:end w:w="80" w:type="dxa"/>
            </w:tcMar>
          </w:tcPr>
          <w:p>
            <w:r>
              <w:rPr>
                <w:sz w:val="16"/>
              </w:rPr>
              <w:t>Doors</w:t>
            </w:r>
          </w:p>
        </w:tc>
        <w:tc>
          <w:tcPr>
            <w:tcW w:type="dxa" w:w="3960"/>
            <w:vAlign w:val="center"/>
            <w:tcMar>
              <w:top w:w="80" w:type="dxa"/>
              <w:start w:w="80" w:type="dxa"/>
              <w:bottom w:w="80" w:type="dxa"/>
              <w:end w:w="80" w:type="dxa"/>
            </w:tcMar>
          </w:tcPr>
          <w:p>
            <w:r>
              <w:rPr>
                <w:sz w:val="16"/>
              </w:rPr>
              <w:t>2 inbound + 4 outbound</w:t>
            </w:r>
          </w:p>
        </w:tc>
        <w:tc>
          <w:tcPr>
            <w:tcW w:type="dxa" w:w="3672"/>
            <w:vAlign w:val="center"/>
            <w:tcMar>
              <w:top w:w="80" w:type="dxa"/>
              <w:start w:w="80" w:type="dxa"/>
              <w:bottom w:w="80" w:type="dxa"/>
              <w:end w:w="80" w:type="dxa"/>
            </w:tcMar>
          </w:tcPr>
          <w:p>
            <w:r>
              <w:rPr>
                <w:sz w:val="16"/>
              </w:rPr>
              <w:t>Controls vehicle loading / unloading points.</w:t>
            </w:r>
          </w:p>
        </w:tc>
      </w:tr>
      <w:tr>
        <w:tc>
          <w:tcPr>
            <w:tcW w:type="dxa" w:w="2304"/>
            <w:vAlign w:val="center"/>
            <w:tcMar>
              <w:top w:w="80" w:type="dxa"/>
              <w:start w:w="80" w:type="dxa"/>
              <w:bottom w:w="80" w:type="dxa"/>
              <w:end w:w="80" w:type="dxa"/>
            </w:tcMar>
          </w:tcPr>
          <w:p>
            <w:r>
              <w:rPr>
                <w:sz w:val="16"/>
              </w:rPr>
              <w:t>Staging areas</w:t>
            </w:r>
          </w:p>
        </w:tc>
        <w:tc>
          <w:tcPr>
            <w:tcW w:type="dxa" w:w="3960"/>
            <w:vAlign w:val="center"/>
            <w:tcMar>
              <w:top w:w="80" w:type="dxa"/>
              <w:start w:w="80" w:type="dxa"/>
              <w:bottom w:w="80" w:type="dxa"/>
              <w:end w:w="80" w:type="dxa"/>
            </w:tcMar>
          </w:tcPr>
          <w:p>
            <w:r>
              <w:rPr>
                <w:sz w:val="16"/>
              </w:rPr>
              <w:t>Assigned to inbound / outbound doors</w:t>
            </w:r>
          </w:p>
        </w:tc>
        <w:tc>
          <w:tcPr>
            <w:tcW w:type="dxa" w:w="3672"/>
            <w:vAlign w:val="center"/>
            <w:tcMar>
              <w:top w:w="80" w:type="dxa"/>
              <w:start w:w="80" w:type="dxa"/>
              <w:bottom w:w="80" w:type="dxa"/>
              <w:end w:w="80" w:type="dxa"/>
            </w:tcMar>
          </w:tcPr>
          <w:p>
            <w:r>
              <w:rPr>
                <w:sz w:val="16"/>
              </w:rPr>
              <w:t>Temporary storage before putaway or loading.</w:t>
            </w:r>
          </w:p>
        </w:tc>
      </w:tr>
      <w:tr>
        <w:tc>
          <w:tcPr>
            <w:tcW w:type="dxa" w:w="2304"/>
            <w:vAlign w:val="center"/>
            <w:tcMar>
              <w:top w:w="80" w:type="dxa"/>
              <w:start w:w="80" w:type="dxa"/>
              <w:bottom w:w="80" w:type="dxa"/>
              <w:end w:w="80" w:type="dxa"/>
            </w:tcMar>
          </w:tcPr>
          <w:p>
            <w:r>
              <w:rPr>
                <w:sz w:val="16"/>
              </w:rPr>
              <w:t>Warehouse process types</w:t>
            </w:r>
          </w:p>
        </w:tc>
        <w:tc>
          <w:tcPr>
            <w:tcW w:type="dxa" w:w="3960"/>
            <w:vAlign w:val="center"/>
            <w:tcMar>
              <w:top w:w="80" w:type="dxa"/>
              <w:start w:w="80" w:type="dxa"/>
              <w:bottom w:w="80" w:type="dxa"/>
              <w:end w:w="80" w:type="dxa"/>
            </w:tcMar>
          </w:tcPr>
          <w:p>
            <w:r>
              <w:rPr>
                <w:sz w:val="16"/>
              </w:rPr>
              <w:t>Putaway, replenishment, picking, internal move, staging</w:t>
            </w:r>
          </w:p>
        </w:tc>
        <w:tc>
          <w:tcPr>
            <w:tcW w:type="dxa" w:w="3672"/>
            <w:vAlign w:val="center"/>
            <w:tcMar>
              <w:top w:w="80" w:type="dxa"/>
              <w:start w:w="80" w:type="dxa"/>
              <w:bottom w:w="80" w:type="dxa"/>
              <w:end w:w="80" w:type="dxa"/>
            </w:tcMar>
          </w:tcPr>
          <w:p>
            <w:r>
              <w:rPr>
                <w:sz w:val="16"/>
              </w:rPr>
              <w:t>Controls the nature and route of warehouse tasks.</w:t>
            </w:r>
          </w:p>
        </w:tc>
      </w:tr>
      <w:tr>
        <w:tc>
          <w:tcPr>
            <w:tcW w:type="dxa" w:w="2304"/>
            <w:vAlign w:val="center"/>
            <w:tcMar>
              <w:top w:w="80" w:type="dxa"/>
              <w:start w:w="80" w:type="dxa"/>
              <w:bottom w:w="80" w:type="dxa"/>
              <w:end w:w="80" w:type="dxa"/>
            </w:tcMar>
          </w:tcPr>
          <w:p>
            <w:r>
              <w:rPr>
                <w:sz w:val="16"/>
              </w:rPr>
              <w:t>Resources</w:t>
            </w:r>
          </w:p>
        </w:tc>
        <w:tc>
          <w:tcPr>
            <w:tcW w:type="dxa" w:w="3960"/>
            <w:vAlign w:val="center"/>
            <w:tcMar>
              <w:top w:w="80" w:type="dxa"/>
              <w:start w:w="80" w:type="dxa"/>
              <w:bottom w:w="80" w:type="dxa"/>
              <w:end w:w="80" w:type="dxa"/>
            </w:tcMar>
          </w:tcPr>
          <w:p>
            <w:r>
              <w:rPr>
                <w:sz w:val="16"/>
              </w:rPr>
              <w:t>Forklifts, pallet movers, picking teams</w:t>
            </w:r>
          </w:p>
        </w:tc>
        <w:tc>
          <w:tcPr>
            <w:tcW w:type="dxa" w:w="3672"/>
            <w:vAlign w:val="center"/>
            <w:tcMar>
              <w:top w:w="80" w:type="dxa"/>
              <w:start w:w="80" w:type="dxa"/>
              <w:bottom w:w="80" w:type="dxa"/>
              <w:end w:w="80" w:type="dxa"/>
            </w:tcMar>
          </w:tcPr>
          <w:p>
            <w:r>
              <w:rPr>
                <w:sz w:val="16"/>
              </w:rPr>
              <w:t>Supports workload and execution planning.</w:t>
            </w:r>
          </w:p>
        </w:tc>
      </w:tr>
    </w:tbl>
    <w:p>
      <w:pPr>
        <w:spacing w:after="40"/>
      </w:pPr>
    </w:p>
    <w:p>
      <w:pPr>
        <w:pStyle w:val="Heading2"/>
      </w:pPr>
      <w:r>
        <w:t>5.2 Outbound Workflow Configuration</w:t>
      </w:r>
    </w:p>
    <w:p>
      <w:pPr>
        <w:ind w:left="0" w:firstLine="0"/>
      </w:pPr>
      <w:r>
        <w:t>1.  Receive / create outbound delivery order in EWM.</w:t>
      </w:r>
    </w:p>
    <w:p>
      <w:pPr>
        <w:ind w:left="0" w:firstLine="0"/>
      </w:pPr>
      <w:r>
        <w:t>2.  Determine stock-removal strategy and source bins.</w:t>
      </w:r>
    </w:p>
    <w:p>
      <w:pPr>
        <w:ind w:left="0" w:firstLine="0"/>
      </w:pPr>
      <w:r>
        <w:t>3.  Assign items to waves based on route, departure time, door and capacity.</w:t>
      </w:r>
    </w:p>
    <w:p>
      <w:pPr>
        <w:ind w:left="0" w:firstLine="0"/>
      </w:pPr>
      <w:r>
        <w:t>4.  Release the wave to create warehouse tasks for picking.</w:t>
      </w:r>
    </w:p>
    <w:p>
      <w:pPr>
        <w:ind w:left="0" w:firstLine="0"/>
      </w:pPr>
      <w:r>
        <w:t>5.  Group tasks into warehouse orders for execution teams.</w:t>
      </w:r>
    </w:p>
    <w:p>
      <w:pPr>
        <w:ind w:left="0" w:firstLine="0"/>
      </w:pPr>
      <w:r>
        <w:t>6.  Pick products and confirm quantities.</w:t>
      </w:r>
    </w:p>
    <w:p>
      <w:pPr>
        <w:ind w:left="0" w:firstLine="0"/>
      </w:pPr>
      <w:r>
        <w:t>7.  Pack into handling units where required.</w:t>
      </w:r>
    </w:p>
    <w:p>
      <w:pPr>
        <w:ind w:left="0" w:firstLine="0"/>
      </w:pPr>
      <w:r>
        <w:t>8.  Move goods to the GI staging area assigned to the departure door / TU.</w:t>
      </w:r>
    </w:p>
    <w:p>
      <w:pPr>
        <w:ind w:left="0" w:firstLine="0"/>
      </w:pPr>
      <w:r>
        <w:t>9.  Load the transportation unit in the planned sequence.</w:t>
      </w:r>
    </w:p>
    <w:p>
      <w:pPr>
        <w:ind w:left="0" w:firstLine="0"/>
      </w:pPr>
      <w:r>
        <w:t>10.  Confirm loading and post goods issue, then synchronize departure status to transportation execution.</w:t>
      </w:r>
    </w:p>
    <w:p>
      <w:pPr>
        <w:pStyle w:val="Heading2"/>
      </w:pPr>
      <w:r>
        <w:t>5.3 Inbound Workflow Configuration</w:t>
      </w:r>
    </w:p>
    <w:p>
      <w:pPr>
        <w:ind w:left="0" w:firstLine="0"/>
      </w:pPr>
      <w:r>
        <w:t>1.  Receive inbound delivery / freight-order information.</w:t>
      </w:r>
    </w:p>
    <w:p>
      <w:pPr>
        <w:ind w:left="0" w:firstLine="0"/>
      </w:pPr>
      <w:r>
        <w:t>2.  Check vehicle / TU arrival and assign inbound door.</w:t>
      </w:r>
    </w:p>
    <w:p>
      <w:pPr>
        <w:ind w:left="0" w:firstLine="0"/>
      </w:pPr>
      <w:r>
        <w:t>3.  Unload into GR staging and verify quantity / quality.</w:t>
      </w:r>
    </w:p>
    <w:p>
      <w:pPr>
        <w:ind w:left="0" w:firstLine="0"/>
      </w:pPr>
      <w:r>
        <w:t>4.  Post goods receipt according to the process design.</w:t>
      </w:r>
    </w:p>
    <w:p>
      <w:pPr>
        <w:ind w:left="0" w:firstLine="0"/>
      </w:pPr>
      <w:r>
        <w:t>5.  Create putaway warehouse tasks using storage-type and bin-determination strategies.</w:t>
      </w:r>
    </w:p>
    <w:p>
      <w:pPr>
        <w:ind w:left="0" w:firstLine="0"/>
      </w:pPr>
      <w:r>
        <w:t>6.  Confirm putaway and make stock available for replenishment / picking.</w:t>
      </w:r>
    </w:p>
    <w:p>
      <w:pPr>
        <w:pStyle w:val="Heading1"/>
      </w:pPr>
      <w:r>
        <w:t>6. Integrated Operational Workflow</w:t>
      </w:r>
    </w:p>
    <w:p>
      <w:pPr>
        <w:jc w:val="center"/>
      </w:pPr>
      <w:r>
        <w:drawing>
          <wp:inline xmlns:a="http://schemas.openxmlformats.org/drawingml/2006/main" xmlns:pic="http://schemas.openxmlformats.org/drawingml/2006/picture">
            <wp:extent cx="6537960" cy="2014843"/>
            <wp:docPr id="2" name="Picture 2"/>
            <wp:cNvGraphicFramePr>
              <a:graphicFrameLocks noChangeAspect="1"/>
            </wp:cNvGraphicFramePr>
            <a:graphic>
              <a:graphicData uri="http://schemas.openxmlformats.org/drawingml/2006/picture">
                <pic:pic>
                  <pic:nvPicPr>
                    <pic:cNvPr id="0" name="week4_warehouse_flow.png"/>
                    <pic:cNvPicPr/>
                  </pic:nvPicPr>
                  <pic:blipFill>
                    <a:blip r:embed="rId12"/>
                    <a:stretch>
                      <a:fillRect/>
                    </a:stretch>
                  </pic:blipFill>
                  <pic:spPr>
                    <a:xfrm>
                      <a:off x="0" y="0"/>
                      <a:ext cx="6537960" cy="2014843"/>
                    </a:xfrm>
                    <a:prstGeom prst="rect"/>
                  </pic:spPr>
                </pic:pic>
              </a:graphicData>
            </a:graphic>
          </wp:inline>
        </w:drawing>
      </w:r>
    </w:p>
    <w:p>
      <w:pPr>
        <w:pStyle w:val="SmallNote"/>
        <w:jc w:val="center"/>
      </w:pPr>
      <w:r>
        <w:t>Figure 2. Warehouse material flow from vehicle arrival through putaway and outbound loading.</w:t>
      </w:r>
    </w:p>
    <w:p>
      <w:pPr>
        <w:pStyle w:val="Heading2"/>
      </w:pPr>
      <w:r>
        <w:t>6.1 Departure-Driven Warehouse Planning</w:t>
      </w:r>
    </w:p>
    <w:p>
      <w:r>
        <w:t>The key integration rule is that warehouse work should be scheduled against transportation departure, not independently. If a Vijayawada truck is planned to depart at 18:00, the picking wave must allow enough time for task creation, picking, packing, staging, loading and a buffer for exceptions. This avoids the common situation where the truck arrives but the order is not staged, or where goods are staged too early and occupy scarce GI space.</w:t>
      </w:r>
    </w:p>
    <w:tbl>
      <w:tblPr>
        <w:tblStyle w:val="TableGrid"/>
        <w:tblW w:type="auto" w:w="0"/>
        <w:jc w:val="center"/>
        <w:tblLook w:firstColumn="1" w:firstRow="1" w:lastColumn="0" w:lastRow="0" w:noHBand="0" w:noVBand="1" w:val="04A0"/>
      </w:tblPr>
      <w:tblGrid>
        <w:gridCol w:w="3317"/>
        <w:gridCol w:w="3317"/>
        <w:gridCol w:w="3317"/>
      </w:tblGrid>
      <w:tr>
        <w:trPr>
          <w:tblHeader w:val="true"/>
        </w:trPr>
        <w:tc>
          <w:tcPr>
            <w:tcW w:type="dxa" w:w="1440"/>
            <w:shd w:fill="D9EAF7"/>
            <w:vAlign w:val="center"/>
            <w:tcMar>
              <w:top w:w="80" w:type="dxa"/>
              <w:start w:w="80" w:type="dxa"/>
              <w:bottom w:w="80" w:type="dxa"/>
              <w:end w:w="80" w:type="dxa"/>
            </w:tcMar>
          </w:tcPr>
          <w:p>
            <w:r>
              <w:rPr>
                <w:b/>
                <w:sz w:val="16"/>
              </w:rPr>
              <w:t>Time</w:t>
            </w:r>
          </w:p>
        </w:tc>
        <w:tc>
          <w:tcPr>
            <w:tcW w:type="dxa" w:w="5040"/>
            <w:shd w:fill="D9EAF7"/>
            <w:vAlign w:val="center"/>
            <w:tcMar>
              <w:top w:w="80" w:type="dxa"/>
              <w:start w:w="80" w:type="dxa"/>
              <w:bottom w:w="80" w:type="dxa"/>
              <w:end w:w="80" w:type="dxa"/>
            </w:tcMar>
          </w:tcPr>
          <w:p>
            <w:r>
              <w:rPr>
                <w:b/>
                <w:sz w:val="16"/>
              </w:rPr>
              <w:t>Illustrative event</w:t>
            </w:r>
          </w:p>
        </w:tc>
        <w:tc>
          <w:tcPr>
            <w:tcW w:type="dxa" w:w="4320"/>
            <w:shd w:fill="D9EAF7"/>
            <w:vAlign w:val="center"/>
            <w:tcMar>
              <w:top w:w="80" w:type="dxa"/>
              <w:start w:w="80" w:type="dxa"/>
              <w:bottom w:w="80" w:type="dxa"/>
              <w:end w:w="80" w:type="dxa"/>
            </w:tcMar>
          </w:tcPr>
          <w:p>
            <w:r>
              <w:rPr>
                <w:b/>
                <w:sz w:val="16"/>
              </w:rPr>
              <w:t>Control</w:t>
            </w:r>
          </w:p>
        </w:tc>
      </w:tr>
      <w:tr>
        <w:tc>
          <w:tcPr>
            <w:tcW w:type="dxa" w:w="1440"/>
            <w:vAlign w:val="center"/>
            <w:tcMar>
              <w:top w:w="80" w:type="dxa"/>
              <w:start w:w="80" w:type="dxa"/>
              <w:bottom w:w="80" w:type="dxa"/>
              <w:end w:w="80" w:type="dxa"/>
            </w:tcMar>
          </w:tcPr>
          <w:p>
            <w:r>
              <w:rPr>
                <w:sz w:val="16"/>
              </w:rPr>
              <w:t>12:00</w:t>
            </w:r>
          </w:p>
        </w:tc>
        <w:tc>
          <w:tcPr>
            <w:tcW w:type="dxa" w:w="5040"/>
            <w:vAlign w:val="center"/>
            <w:tcMar>
              <w:top w:w="80" w:type="dxa"/>
              <w:start w:w="80" w:type="dxa"/>
              <w:bottom w:w="80" w:type="dxa"/>
              <w:end w:w="80" w:type="dxa"/>
            </w:tcMar>
          </w:tcPr>
          <w:p>
            <w:r>
              <w:rPr>
                <w:sz w:val="16"/>
              </w:rPr>
              <w:t>TM freight order / departure confirmed</w:t>
            </w:r>
          </w:p>
        </w:tc>
        <w:tc>
          <w:tcPr>
            <w:tcW w:type="dxa" w:w="4320"/>
            <w:vAlign w:val="center"/>
            <w:tcMar>
              <w:top w:w="80" w:type="dxa"/>
              <w:start w:w="80" w:type="dxa"/>
              <w:bottom w:w="80" w:type="dxa"/>
              <w:end w:w="80" w:type="dxa"/>
            </w:tcMar>
          </w:tcPr>
          <w:p>
            <w:r>
              <w:rPr>
                <w:sz w:val="16"/>
              </w:rPr>
              <w:t>Freeze major load changes unless approved.</w:t>
            </w:r>
          </w:p>
        </w:tc>
      </w:tr>
      <w:tr>
        <w:tc>
          <w:tcPr>
            <w:tcW w:type="dxa" w:w="1440"/>
            <w:vAlign w:val="center"/>
            <w:tcMar>
              <w:top w:w="80" w:type="dxa"/>
              <w:start w:w="80" w:type="dxa"/>
              <w:bottom w:w="80" w:type="dxa"/>
              <w:end w:w="80" w:type="dxa"/>
            </w:tcMar>
          </w:tcPr>
          <w:p>
            <w:r>
              <w:rPr>
                <w:sz w:val="16"/>
              </w:rPr>
              <w:t>13:00</w:t>
            </w:r>
          </w:p>
        </w:tc>
        <w:tc>
          <w:tcPr>
            <w:tcW w:type="dxa" w:w="5040"/>
            <w:vAlign w:val="center"/>
            <w:tcMar>
              <w:top w:w="80" w:type="dxa"/>
              <w:start w:w="80" w:type="dxa"/>
              <w:bottom w:w="80" w:type="dxa"/>
              <w:end w:w="80" w:type="dxa"/>
            </w:tcMar>
          </w:tcPr>
          <w:p>
            <w:r>
              <w:rPr>
                <w:sz w:val="16"/>
              </w:rPr>
              <w:t>Wave created for Vijayawada load</w:t>
            </w:r>
          </w:p>
        </w:tc>
        <w:tc>
          <w:tcPr>
            <w:tcW w:type="dxa" w:w="4320"/>
            <w:vAlign w:val="center"/>
            <w:tcMar>
              <w:top w:w="80" w:type="dxa"/>
              <w:start w:w="80" w:type="dxa"/>
              <w:bottom w:w="80" w:type="dxa"/>
              <w:end w:w="80" w:type="dxa"/>
            </w:tcMar>
          </w:tcPr>
          <w:p>
            <w:r>
              <w:rPr>
                <w:sz w:val="16"/>
              </w:rPr>
              <w:t>Check staging capacity and stock availability.</w:t>
            </w:r>
          </w:p>
        </w:tc>
      </w:tr>
      <w:tr>
        <w:tc>
          <w:tcPr>
            <w:tcW w:type="dxa" w:w="1440"/>
            <w:vAlign w:val="center"/>
            <w:tcMar>
              <w:top w:w="80" w:type="dxa"/>
              <w:start w:w="80" w:type="dxa"/>
              <w:bottom w:w="80" w:type="dxa"/>
              <w:end w:w="80" w:type="dxa"/>
            </w:tcMar>
          </w:tcPr>
          <w:p>
            <w:r>
              <w:rPr>
                <w:sz w:val="16"/>
              </w:rPr>
              <w:t>14:00</w:t>
            </w:r>
          </w:p>
        </w:tc>
        <w:tc>
          <w:tcPr>
            <w:tcW w:type="dxa" w:w="5040"/>
            <w:vAlign w:val="center"/>
            <w:tcMar>
              <w:top w:w="80" w:type="dxa"/>
              <w:start w:w="80" w:type="dxa"/>
              <w:bottom w:w="80" w:type="dxa"/>
              <w:end w:w="80" w:type="dxa"/>
            </w:tcMar>
          </w:tcPr>
          <w:p>
            <w:r>
              <w:rPr>
                <w:sz w:val="16"/>
              </w:rPr>
              <w:t>Wave released; WTs created</w:t>
            </w:r>
          </w:p>
        </w:tc>
        <w:tc>
          <w:tcPr>
            <w:tcW w:type="dxa" w:w="4320"/>
            <w:vAlign w:val="center"/>
            <w:tcMar>
              <w:top w:w="80" w:type="dxa"/>
              <w:start w:w="80" w:type="dxa"/>
              <w:bottom w:w="80" w:type="dxa"/>
              <w:end w:w="80" w:type="dxa"/>
            </w:tcMar>
          </w:tcPr>
          <w:p>
            <w:r>
              <w:rPr>
                <w:sz w:val="16"/>
              </w:rPr>
              <w:t>Monitor open / overdue tasks.</w:t>
            </w:r>
          </w:p>
        </w:tc>
      </w:tr>
      <w:tr>
        <w:tc>
          <w:tcPr>
            <w:tcW w:type="dxa" w:w="1440"/>
            <w:vAlign w:val="center"/>
            <w:tcMar>
              <w:top w:w="80" w:type="dxa"/>
              <w:start w:w="80" w:type="dxa"/>
              <w:bottom w:w="80" w:type="dxa"/>
              <w:end w:w="80" w:type="dxa"/>
            </w:tcMar>
          </w:tcPr>
          <w:p>
            <w:r>
              <w:rPr>
                <w:sz w:val="16"/>
              </w:rPr>
              <w:t>16:15</w:t>
            </w:r>
          </w:p>
        </w:tc>
        <w:tc>
          <w:tcPr>
            <w:tcW w:type="dxa" w:w="5040"/>
            <w:vAlign w:val="center"/>
            <w:tcMar>
              <w:top w:w="80" w:type="dxa"/>
              <w:start w:w="80" w:type="dxa"/>
              <w:bottom w:w="80" w:type="dxa"/>
              <w:end w:w="80" w:type="dxa"/>
            </w:tcMar>
          </w:tcPr>
          <w:p>
            <w:r>
              <w:rPr>
                <w:sz w:val="16"/>
              </w:rPr>
              <w:t>Picking and packing target complete</w:t>
            </w:r>
          </w:p>
        </w:tc>
        <w:tc>
          <w:tcPr>
            <w:tcW w:type="dxa" w:w="4320"/>
            <w:vAlign w:val="center"/>
            <w:tcMar>
              <w:top w:w="80" w:type="dxa"/>
              <w:start w:w="80" w:type="dxa"/>
              <w:bottom w:w="80" w:type="dxa"/>
              <w:end w:w="80" w:type="dxa"/>
            </w:tcMar>
          </w:tcPr>
          <w:p>
            <w:r>
              <w:rPr>
                <w:sz w:val="16"/>
              </w:rPr>
              <w:t>Escalate shortages immediately.</w:t>
            </w:r>
          </w:p>
        </w:tc>
      </w:tr>
      <w:tr>
        <w:tc>
          <w:tcPr>
            <w:tcW w:type="dxa" w:w="1440"/>
            <w:vAlign w:val="center"/>
            <w:tcMar>
              <w:top w:w="80" w:type="dxa"/>
              <w:start w:w="80" w:type="dxa"/>
              <w:bottom w:w="80" w:type="dxa"/>
              <w:end w:w="80" w:type="dxa"/>
            </w:tcMar>
          </w:tcPr>
          <w:p>
            <w:r>
              <w:rPr>
                <w:sz w:val="16"/>
              </w:rPr>
              <w:t>16:30</w:t>
            </w:r>
          </w:p>
        </w:tc>
        <w:tc>
          <w:tcPr>
            <w:tcW w:type="dxa" w:w="5040"/>
            <w:vAlign w:val="center"/>
            <w:tcMar>
              <w:top w:w="80" w:type="dxa"/>
              <w:start w:w="80" w:type="dxa"/>
              <w:bottom w:w="80" w:type="dxa"/>
              <w:end w:w="80" w:type="dxa"/>
            </w:tcMar>
          </w:tcPr>
          <w:p>
            <w:r>
              <w:rPr>
                <w:sz w:val="16"/>
              </w:rPr>
              <w:t>Stage by door / loading sequence</w:t>
            </w:r>
          </w:p>
        </w:tc>
        <w:tc>
          <w:tcPr>
            <w:tcW w:type="dxa" w:w="4320"/>
            <w:vAlign w:val="center"/>
            <w:tcMar>
              <w:top w:w="80" w:type="dxa"/>
              <w:start w:w="80" w:type="dxa"/>
              <w:bottom w:w="80" w:type="dxa"/>
              <w:end w:w="80" w:type="dxa"/>
            </w:tcMar>
          </w:tcPr>
          <w:p>
            <w:r>
              <w:rPr>
                <w:sz w:val="16"/>
              </w:rPr>
              <w:t>No mixing of route / TU staging.</w:t>
            </w:r>
          </w:p>
        </w:tc>
      </w:tr>
      <w:tr>
        <w:tc>
          <w:tcPr>
            <w:tcW w:type="dxa" w:w="1440"/>
            <w:vAlign w:val="center"/>
            <w:tcMar>
              <w:top w:w="80" w:type="dxa"/>
              <w:start w:w="80" w:type="dxa"/>
              <w:bottom w:w="80" w:type="dxa"/>
              <w:end w:w="80" w:type="dxa"/>
            </w:tcMar>
          </w:tcPr>
          <w:p>
            <w:r>
              <w:rPr>
                <w:sz w:val="16"/>
              </w:rPr>
              <w:t>17:00</w:t>
            </w:r>
          </w:p>
        </w:tc>
        <w:tc>
          <w:tcPr>
            <w:tcW w:type="dxa" w:w="5040"/>
            <w:vAlign w:val="center"/>
            <w:tcMar>
              <w:top w:w="80" w:type="dxa"/>
              <w:start w:w="80" w:type="dxa"/>
              <w:bottom w:w="80" w:type="dxa"/>
              <w:end w:w="80" w:type="dxa"/>
            </w:tcMar>
          </w:tcPr>
          <w:p>
            <w:r>
              <w:rPr>
                <w:sz w:val="16"/>
              </w:rPr>
              <w:t>Truck docked; loading starts</w:t>
            </w:r>
          </w:p>
        </w:tc>
        <w:tc>
          <w:tcPr>
            <w:tcW w:type="dxa" w:w="4320"/>
            <w:vAlign w:val="center"/>
            <w:tcMar>
              <w:top w:w="80" w:type="dxa"/>
              <w:start w:w="80" w:type="dxa"/>
              <w:bottom w:w="80" w:type="dxa"/>
              <w:end w:w="80" w:type="dxa"/>
            </w:tcMar>
          </w:tcPr>
          <w:p>
            <w:r>
              <w:rPr>
                <w:sz w:val="16"/>
              </w:rPr>
              <w:t>Verify vehicle / freight order / handling units.</w:t>
            </w:r>
          </w:p>
        </w:tc>
      </w:tr>
      <w:tr>
        <w:tc>
          <w:tcPr>
            <w:tcW w:type="dxa" w:w="1440"/>
            <w:vAlign w:val="center"/>
            <w:tcMar>
              <w:top w:w="80" w:type="dxa"/>
              <w:start w:w="80" w:type="dxa"/>
              <w:bottom w:w="80" w:type="dxa"/>
              <w:end w:w="80" w:type="dxa"/>
            </w:tcMar>
          </w:tcPr>
          <w:p>
            <w:r>
              <w:rPr>
                <w:sz w:val="16"/>
              </w:rPr>
              <w:t>17:45</w:t>
            </w:r>
          </w:p>
        </w:tc>
        <w:tc>
          <w:tcPr>
            <w:tcW w:type="dxa" w:w="5040"/>
            <w:vAlign w:val="center"/>
            <w:tcMar>
              <w:top w:w="80" w:type="dxa"/>
              <w:start w:w="80" w:type="dxa"/>
              <w:bottom w:w="80" w:type="dxa"/>
              <w:end w:w="80" w:type="dxa"/>
            </w:tcMar>
          </w:tcPr>
          <w:p>
            <w:r>
              <w:rPr>
                <w:sz w:val="16"/>
              </w:rPr>
              <w:t>Loading complete</w:t>
            </w:r>
          </w:p>
        </w:tc>
        <w:tc>
          <w:tcPr>
            <w:tcW w:type="dxa" w:w="4320"/>
            <w:vAlign w:val="center"/>
            <w:tcMar>
              <w:top w:w="80" w:type="dxa"/>
              <w:start w:w="80" w:type="dxa"/>
              <w:bottom w:w="80" w:type="dxa"/>
              <w:end w:w="80" w:type="dxa"/>
            </w:tcMar>
          </w:tcPr>
          <w:p>
            <w:r>
              <w:rPr>
                <w:sz w:val="16"/>
              </w:rPr>
              <w:t>Quantity discrepancy check.</w:t>
            </w:r>
          </w:p>
        </w:tc>
      </w:tr>
      <w:tr>
        <w:tc>
          <w:tcPr>
            <w:tcW w:type="dxa" w:w="1440"/>
            <w:vAlign w:val="center"/>
            <w:tcMar>
              <w:top w:w="80" w:type="dxa"/>
              <w:start w:w="80" w:type="dxa"/>
              <w:bottom w:w="80" w:type="dxa"/>
              <w:end w:w="80" w:type="dxa"/>
            </w:tcMar>
          </w:tcPr>
          <w:p>
            <w:r>
              <w:rPr>
                <w:sz w:val="16"/>
              </w:rPr>
              <w:t>18:00</w:t>
            </w:r>
          </w:p>
        </w:tc>
        <w:tc>
          <w:tcPr>
            <w:tcW w:type="dxa" w:w="5040"/>
            <w:vAlign w:val="center"/>
            <w:tcMar>
              <w:top w:w="80" w:type="dxa"/>
              <w:start w:w="80" w:type="dxa"/>
              <w:bottom w:w="80" w:type="dxa"/>
              <w:end w:w="80" w:type="dxa"/>
            </w:tcMar>
          </w:tcPr>
          <w:p>
            <w:r>
              <w:rPr>
                <w:sz w:val="16"/>
              </w:rPr>
              <w:t>Departure / PGI</w:t>
            </w:r>
          </w:p>
        </w:tc>
        <w:tc>
          <w:tcPr>
            <w:tcW w:type="dxa" w:w="4320"/>
            <w:vAlign w:val="center"/>
            <w:tcMar>
              <w:top w:w="80" w:type="dxa"/>
              <w:start w:w="80" w:type="dxa"/>
              <w:bottom w:w="80" w:type="dxa"/>
              <w:end w:w="80" w:type="dxa"/>
            </w:tcMar>
          </w:tcPr>
          <w:p>
            <w:r>
              <w:rPr>
                <w:sz w:val="16"/>
              </w:rPr>
              <w:t>Update TM execution status.</w:t>
            </w:r>
          </w:p>
        </w:tc>
      </w:tr>
    </w:tbl>
    <w:p>
      <w:pPr>
        <w:spacing w:after="40"/>
      </w:pPr>
    </w:p>
    <w:p>
      <w:r>
        <w:br w:type="page"/>
      </w:r>
    </w:p>
    <w:p>
      <w:pPr>
        <w:pStyle w:val="Heading1"/>
      </w:pPr>
      <w:r>
        <w:t>7. Worked Examples and Original Analysis</w:t>
      </w:r>
    </w:p>
    <w:p>
      <w:pPr>
        <w:pStyle w:val="Heading2"/>
      </w:pPr>
      <w:r>
        <w:t>7.1 Transportation Consolidation: Vijayawada</w:t>
      </w:r>
    </w:p>
    <w:p>
      <w:r>
        <w:t>The baseline assumes four customer-order groups of 11 t, 10 t, 12 t and 12 t. If each order group is dispatched independently in a 16 t truck, the company uses four trucks for 45 t of demand.</w:t>
      </w:r>
    </w:p>
    <w:p>
      <w:pPr>
        <w:jc w:val="center"/>
      </w:pPr>
      <w:r>
        <w:drawing>
          <wp:inline xmlns:a="http://schemas.openxmlformats.org/drawingml/2006/main" xmlns:pic="http://schemas.openxmlformats.org/drawingml/2006/picture">
            <wp:extent cx="6217920" cy="3082008"/>
            <wp:docPr id="3" name="Picture 3"/>
            <wp:cNvGraphicFramePr>
              <a:graphicFrameLocks noChangeAspect="1"/>
            </wp:cNvGraphicFramePr>
            <a:graphic>
              <a:graphicData uri="http://schemas.openxmlformats.org/drawingml/2006/picture">
                <pic:pic>
                  <pic:nvPicPr>
                    <pic:cNvPr id="0" name="week4_transport_consolidation.png"/>
                    <pic:cNvPicPr/>
                  </pic:nvPicPr>
                  <pic:blipFill>
                    <a:blip r:embed="rId13"/>
                    <a:stretch>
                      <a:fillRect/>
                    </a:stretch>
                  </pic:blipFill>
                  <pic:spPr>
                    <a:xfrm>
                      <a:off x="0" y="0"/>
                      <a:ext cx="6217920" cy="3082008"/>
                    </a:xfrm>
                    <a:prstGeom prst="rect"/>
                  </pic:spPr>
                </pic:pic>
              </a:graphicData>
            </a:graphic>
          </wp:inline>
        </w:drawing>
      </w:r>
    </w:p>
    <w:p>
      <w:pPr>
        <w:pStyle w:val="SmallNote"/>
        <w:jc w:val="center"/>
      </w:pPr>
      <w:r>
        <w:t>Figure 3. Consolidating four fragmented dispatches into three fuller 16 t truckloads.</w:t>
      </w:r>
    </w:p>
    <w:tbl>
      <w:tblPr>
        <w:tblStyle w:val="TableGrid"/>
        <w:tblW w:type="auto" w:w="0"/>
        <w:jc w:val="center"/>
        <w:tblLook w:firstColumn="1" w:firstRow="1" w:lastColumn="0" w:lastRow="0" w:noHBand="0" w:noVBand="1" w:val="04A0"/>
      </w:tblPr>
      <w:tblGrid>
        <w:gridCol w:w="2488"/>
        <w:gridCol w:w="2488"/>
        <w:gridCol w:w="2488"/>
        <w:gridCol w:w="2488"/>
      </w:tblGrid>
      <w:tr>
        <w:trPr>
          <w:tblHeader w:val="true"/>
        </w:trPr>
        <w:tc>
          <w:tcPr>
            <w:tcW w:type="dxa" w:w="2880"/>
            <w:shd w:fill="D9EAF7"/>
            <w:vAlign w:val="center"/>
            <w:tcMar>
              <w:top w:w="80" w:type="dxa"/>
              <w:start w:w="80" w:type="dxa"/>
              <w:bottom w:w="80" w:type="dxa"/>
              <w:end w:w="80" w:type="dxa"/>
            </w:tcMar>
          </w:tcPr>
          <w:p>
            <w:r>
              <w:rPr>
                <w:b/>
                <w:sz w:val="16"/>
              </w:rPr>
              <w:t>Metric</w:t>
            </w:r>
          </w:p>
        </w:tc>
        <w:tc>
          <w:tcPr>
            <w:tcW w:type="dxa" w:w="2448"/>
            <w:shd w:fill="D9EAF7"/>
            <w:vAlign w:val="center"/>
            <w:tcMar>
              <w:top w:w="80" w:type="dxa"/>
              <w:start w:w="80" w:type="dxa"/>
              <w:bottom w:w="80" w:type="dxa"/>
              <w:end w:w="80" w:type="dxa"/>
            </w:tcMar>
          </w:tcPr>
          <w:p>
            <w:r>
              <w:rPr>
                <w:b/>
                <w:sz w:val="16"/>
              </w:rPr>
              <w:t>Before</w:t>
            </w:r>
          </w:p>
        </w:tc>
        <w:tc>
          <w:tcPr>
            <w:tcW w:type="dxa" w:w="2592"/>
            <w:shd w:fill="D9EAF7"/>
            <w:vAlign w:val="center"/>
            <w:tcMar>
              <w:top w:w="80" w:type="dxa"/>
              <w:start w:w="80" w:type="dxa"/>
              <w:bottom w:w="80" w:type="dxa"/>
              <w:end w:w="80" w:type="dxa"/>
            </w:tcMar>
          </w:tcPr>
          <w:p>
            <w:r>
              <w:rPr>
                <w:b/>
                <w:sz w:val="16"/>
              </w:rPr>
              <w:t>After</w:t>
            </w:r>
          </w:p>
        </w:tc>
        <w:tc>
          <w:tcPr>
            <w:tcW w:type="dxa" w:w="2880"/>
            <w:shd w:fill="D9EAF7"/>
            <w:vAlign w:val="center"/>
            <w:tcMar>
              <w:top w:w="80" w:type="dxa"/>
              <w:start w:w="80" w:type="dxa"/>
              <w:bottom w:w="80" w:type="dxa"/>
              <w:end w:w="80" w:type="dxa"/>
            </w:tcMar>
          </w:tcPr>
          <w:p>
            <w:r>
              <w:rPr>
                <w:b/>
                <w:sz w:val="16"/>
              </w:rPr>
              <w:t>Improvement</w:t>
            </w:r>
          </w:p>
        </w:tc>
      </w:tr>
      <w:tr>
        <w:tc>
          <w:tcPr>
            <w:tcW w:type="dxa" w:w="2880"/>
            <w:vAlign w:val="center"/>
            <w:tcMar>
              <w:top w:w="80" w:type="dxa"/>
              <w:start w:w="80" w:type="dxa"/>
              <w:bottom w:w="80" w:type="dxa"/>
              <w:end w:w="80" w:type="dxa"/>
            </w:tcMar>
          </w:tcPr>
          <w:p>
            <w:r>
              <w:rPr>
                <w:sz w:val="16"/>
              </w:rPr>
              <w:t>Demand moved</w:t>
            </w:r>
          </w:p>
        </w:tc>
        <w:tc>
          <w:tcPr>
            <w:tcW w:type="dxa" w:w="2448"/>
            <w:vAlign w:val="center"/>
            <w:tcMar>
              <w:top w:w="80" w:type="dxa"/>
              <w:start w:w="80" w:type="dxa"/>
              <w:bottom w:w="80" w:type="dxa"/>
              <w:end w:w="80" w:type="dxa"/>
            </w:tcMar>
          </w:tcPr>
          <w:p>
            <w:r>
              <w:rPr>
                <w:sz w:val="16"/>
              </w:rPr>
              <w:t>45 t</w:t>
            </w:r>
          </w:p>
        </w:tc>
        <w:tc>
          <w:tcPr>
            <w:tcW w:type="dxa" w:w="2592"/>
            <w:vAlign w:val="center"/>
            <w:tcMar>
              <w:top w:w="80" w:type="dxa"/>
              <w:start w:w="80" w:type="dxa"/>
              <w:bottom w:w="80" w:type="dxa"/>
              <w:end w:w="80" w:type="dxa"/>
            </w:tcMar>
          </w:tcPr>
          <w:p>
            <w:r>
              <w:rPr>
                <w:sz w:val="16"/>
              </w:rPr>
              <w:t>45 t</w:t>
            </w:r>
          </w:p>
        </w:tc>
        <w:tc>
          <w:tcPr>
            <w:tcW w:type="dxa" w:w="2880"/>
            <w:vAlign w:val="center"/>
            <w:tcMar>
              <w:top w:w="80" w:type="dxa"/>
              <w:start w:w="80" w:type="dxa"/>
              <w:bottom w:w="80" w:type="dxa"/>
              <w:end w:w="80" w:type="dxa"/>
            </w:tcMar>
          </w:tcPr>
          <w:p>
            <w:r>
              <w:rPr>
                <w:sz w:val="16"/>
              </w:rPr>
              <w:t>No change in service volume</w:t>
            </w:r>
          </w:p>
        </w:tc>
      </w:tr>
      <w:tr>
        <w:tc>
          <w:tcPr>
            <w:tcW w:type="dxa" w:w="2880"/>
            <w:vAlign w:val="center"/>
            <w:tcMar>
              <w:top w:w="80" w:type="dxa"/>
              <w:start w:w="80" w:type="dxa"/>
              <w:bottom w:w="80" w:type="dxa"/>
              <w:end w:w="80" w:type="dxa"/>
            </w:tcMar>
          </w:tcPr>
          <w:p>
            <w:r>
              <w:rPr>
                <w:sz w:val="16"/>
              </w:rPr>
              <w:t>Truck trips</w:t>
            </w:r>
          </w:p>
        </w:tc>
        <w:tc>
          <w:tcPr>
            <w:tcW w:type="dxa" w:w="2448"/>
            <w:vAlign w:val="center"/>
            <w:tcMar>
              <w:top w:w="80" w:type="dxa"/>
              <w:start w:w="80" w:type="dxa"/>
              <w:bottom w:w="80" w:type="dxa"/>
              <w:end w:w="80" w:type="dxa"/>
            </w:tcMar>
          </w:tcPr>
          <w:p>
            <w:r>
              <w:rPr>
                <w:sz w:val="16"/>
              </w:rPr>
              <w:t>4</w:t>
            </w:r>
          </w:p>
        </w:tc>
        <w:tc>
          <w:tcPr>
            <w:tcW w:type="dxa" w:w="2592"/>
            <w:vAlign w:val="center"/>
            <w:tcMar>
              <w:top w:w="80" w:type="dxa"/>
              <w:start w:w="80" w:type="dxa"/>
              <w:bottom w:w="80" w:type="dxa"/>
              <w:end w:w="80" w:type="dxa"/>
            </w:tcMar>
          </w:tcPr>
          <w:p>
            <w:r>
              <w:rPr>
                <w:sz w:val="16"/>
              </w:rPr>
              <w:t>3</w:t>
            </w:r>
          </w:p>
        </w:tc>
        <w:tc>
          <w:tcPr>
            <w:tcW w:type="dxa" w:w="2880"/>
            <w:vAlign w:val="center"/>
            <w:tcMar>
              <w:top w:w="80" w:type="dxa"/>
              <w:start w:w="80" w:type="dxa"/>
              <w:bottom w:w="80" w:type="dxa"/>
              <w:end w:w="80" w:type="dxa"/>
            </w:tcMar>
          </w:tcPr>
          <w:p>
            <w:r>
              <w:rPr>
                <w:sz w:val="16"/>
              </w:rPr>
              <w:t>1 trip avoided</w:t>
            </w:r>
          </w:p>
        </w:tc>
      </w:tr>
      <w:tr>
        <w:tc>
          <w:tcPr>
            <w:tcW w:type="dxa" w:w="2880"/>
            <w:vAlign w:val="center"/>
            <w:tcMar>
              <w:top w:w="80" w:type="dxa"/>
              <w:start w:w="80" w:type="dxa"/>
              <w:bottom w:w="80" w:type="dxa"/>
              <w:end w:w="80" w:type="dxa"/>
            </w:tcMar>
          </w:tcPr>
          <w:p>
            <w:r>
              <w:rPr>
                <w:sz w:val="16"/>
              </w:rPr>
              <w:t>Available truck capacity</w:t>
            </w:r>
          </w:p>
        </w:tc>
        <w:tc>
          <w:tcPr>
            <w:tcW w:type="dxa" w:w="2448"/>
            <w:vAlign w:val="center"/>
            <w:tcMar>
              <w:top w:w="80" w:type="dxa"/>
              <w:start w:w="80" w:type="dxa"/>
              <w:bottom w:w="80" w:type="dxa"/>
              <w:end w:w="80" w:type="dxa"/>
            </w:tcMar>
          </w:tcPr>
          <w:p>
            <w:r>
              <w:rPr>
                <w:sz w:val="16"/>
              </w:rPr>
              <w:t>64 t</w:t>
            </w:r>
          </w:p>
        </w:tc>
        <w:tc>
          <w:tcPr>
            <w:tcW w:type="dxa" w:w="2592"/>
            <w:vAlign w:val="center"/>
            <w:tcMar>
              <w:top w:w="80" w:type="dxa"/>
              <w:start w:w="80" w:type="dxa"/>
              <w:bottom w:w="80" w:type="dxa"/>
              <w:end w:w="80" w:type="dxa"/>
            </w:tcMar>
          </w:tcPr>
          <w:p>
            <w:r>
              <w:rPr>
                <w:sz w:val="16"/>
              </w:rPr>
              <w:t>48 t</w:t>
            </w:r>
          </w:p>
        </w:tc>
        <w:tc>
          <w:tcPr>
            <w:tcW w:type="dxa" w:w="2880"/>
            <w:vAlign w:val="center"/>
            <w:tcMar>
              <w:top w:w="80" w:type="dxa"/>
              <w:start w:w="80" w:type="dxa"/>
              <w:bottom w:w="80" w:type="dxa"/>
              <w:end w:w="80" w:type="dxa"/>
            </w:tcMar>
          </w:tcPr>
          <w:p>
            <w:r>
              <w:rPr>
                <w:sz w:val="16"/>
              </w:rPr>
              <w:t>Capacity better matched to demand</w:t>
            </w:r>
          </w:p>
        </w:tc>
      </w:tr>
      <w:tr>
        <w:tc>
          <w:tcPr>
            <w:tcW w:type="dxa" w:w="2880"/>
            <w:vAlign w:val="center"/>
            <w:tcMar>
              <w:top w:w="80" w:type="dxa"/>
              <w:start w:w="80" w:type="dxa"/>
              <w:bottom w:w="80" w:type="dxa"/>
              <w:end w:w="80" w:type="dxa"/>
            </w:tcMar>
          </w:tcPr>
          <w:p>
            <w:r>
              <w:rPr>
                <w:sz w:val="16"/>
              </w:rPr>
              <w:t>Vehicle fill</w:t>
            </w:r>
          </w:p>
        </w:tc>
        <w:tc>
          <w:tcPr>
            <w:tcW w:type="dxa" w:w="2448"/>
            <w:vAlign w:val="center"/>
            <w:tcMar>
              <w:top w:w="80" w:type="dxa"/>
              <w:start w:w="80" w:type="dxa"/>
              <w:bottom w:w="80" w:type="dxa"/>
              <w:end w:w="80" w:type="dxa"/>
            </w:tcMar>
          </w:tcPr>
          <w:p>
            <w:r>
              <w:rPr>
                <w:sz w:val="16"/>
              </w:rPr>
              <w:t>45/64 = 70.3%</w:t>
            </w:r>
          </w:p>
        </w:tc>
        <w:tc>
          <w:tcPr>
            <w:tcW w:type="dxa" w:w="2592"/>
            <w:vAlign w:val="center"/>
            <w:tcMar>
              <w:top w:w="80" w:type="dxa"/>
              <w:start w:w="80" w:type="dxa"/>
              <w:bottom w:w="80" w:type="dxa"/>
              <w:end w:w="80" w:type="dxa"/>
            </w:tcMar>
          </w:tcPr>
          <w:p>
            <w:r>
              <w:rPr>
                <w:sz w:val="16"/>
              </w:rPr>
              <w:t>45/48 = 93.75%</w:t>
            </w:r>
          </w:p>
        </w:tc>
        <w:tc>
          <w:tcPr>
            <w:tcW w:type="dxa" w:w="2880"/>
            <w:vAlign w:val="center"/>
            <w:tcMar>
              <w:top w:w="80" w:type="dxa"/>
              <w:start w:w="80" w:type="dxa"/>
              <w:bottom w:w="80" w:type="dxa"/>
              <w:end w:w="80" w:type="dxa"/>
            </w:tcMar>
          </w:tcPr>
          <w:p>
            <w:r>
              <w:rPr>
                <w:sz w:val="16"/>
              </w:rPr>
              <w:t>+23.45 percentage points</w:t>
            </w:r>
          </w:p>
        </w:tc>
      </w:tr>
      <w:tr>
        <w:tc>
          <w:tcPr>
            <w:tcW w:type="dxa" w:w="2880"/>
            <w:vAlign w:val="center"/>
            <w:tcMar>
              <w:top w:w="80" w:type="dxa"/>
              <w:start w:w="80" w:type="dxa"/>
              <w:bottom w:w="80" w:type="dxa"/>
              <w:end w:w="80" w:type="dxa"/>
            </w:tcMar>
          </w:tcPr>
          <w:p>
            <w:r>
              <w:rPr>
                <w:sz w:val="16"/>
              </w:rPr>
              <w:t>Illustrative cost</w:t>
            </w:r>
          </w:p>
        </w:tc>
        <w:tc>
          <w:tcPr>
            <w:tcW w:type="dxa" w:w="2448"/>
            <w:vAlign w:val="center"/>
            <w:tcMar>
              <w:top w:w="80" w:type="dxa"/>
              <w:start w:w="80" w:type="dxa"/>
              <w:bottom w:w="80" w:type="dxa"/>
              <w:end w:w="80" w:type="dxa"/>
            </w:tcMar>
          </w:tcPr>
          <w:p>
            <w:r>
              <w:rPr>
                <w:sz w:val="16"/>
              </w:rPr>
              <w:t>4 × ₹26,000 = ₹104,000</w:t>
            </w:r>
          </w:p>
        </w:tc>
        <w:tc>
          <w:tcPr>
            <w:tcW w:type="dxa" w:w="2592"/>
            <w:vAlign w:val="center"/>
            <w:tcMar>
              <w:top w:w="80" w:type="dxa"/>
              <w:start w:w="80" w:type="dxa"/>
              <w:bottom w:w="80" w:type="dxa"/>
              <w:end w:w="80" w:type="dxa"/>
            </w:tcMar>
          </w:tcPr>
          <w:p>
            <w:r>
              <w:rPr>
                <w:sz w:val="16"/>
              </w:rPr>
              <w:t>3 × ₹26,000 = ₹78,000</w:t>
            </w:r>
          </w:p>
        </w:tc>
        <w:tc>
          <w:tcPr>
            <w:tcW w:type="dxa" w:w="2880"/>
            <w:vAlign w:val="center"/>
            <w:tcMar>
              <w:top w:w="80" w:type="dxa"/>
              <w:start w:w="80" w:type="dxa"/>
              <w:bottom w:w="80" w:type="dxa"/>
              <w:end w:w="80" w:type="dxa"/>
            </w:tcMar>
          </w:tcPr>
          <w:p>
            <w:r>
              <w:rPr>
                <w:sz w:val="16"/>
              </w:rPr>
              <w:t>₹26,000/week saving</w:t>
            </w:r>
          </w:p>
        </w:tc>
      </w:tr>
      <w:tr>
        <w:tc>
          <w:tcPr>
            <w:tcW w:type="dxa" w:w="2880"/>
            <w:vAlign w:val="center"/>
            <w:tcMar>
              <w:top w:w="80" w:type="dxa"/>
              <w:start w:w="80" w:type="dxa"/>
              <w:bottom w:w="80" w:type="dxa"/>
              <w:end w:w="80" w:type="dxa"/>
            </w:tcMar>
          </w:tcPr>
          <w:p>
            <w:r>
              <w:rPr>
                <w:sz w:val="16"/>
              </w:rPr>
              <w:t>Illustrative annual saving</w:t>
            </w:r>
          </w:p>
        </w:tc>
        <w:tc>
          <w:tcPr>
            <w:tcW w:type="dxa" w:w="2448"/>
            <w:vAlign w:val="center"/>
            <w:tcMar>
              <w:top w:w="80" w:type="dxa"/>
              <w:start w:w="80" w:type="dxa"/>
              <w:bottom w:w="80" w:type="dxa"/>
              <w:end w:w="80" w:type="dxa"/>
            </w:tcMar>
          </w:tcPr>
          <w:p>
            <w:r>
              <w:rPr>
                <w:sz w:val="16"/>
              </w:rPr>
              <w:t>-</w:t>
            </w:r>
          </w:p>
        </w:tc>
        <w:tc>
          <w:tcPr>
            <w:tcW w:type="dxa" w:w="2592"/>
            <w:vAlign w:val="center"/>
            <w:tcMar>
              <w:top w:w="80" w:type="dxa"/>
              <w:start w:w="80" w:type="dxa"/>
              <w:bottom w:w="80" w:type="dxa"/>
              <w:end w:w="80" w:type="dxa"/>
            </w:tcMar>
          </w:tcPr>
          <w:p>
            <w:r>
              <w:rPr>
                <w:sz w:val="16"/>
              </w:rPr>
              <w:t>₹26,000 × 52 = ₹1,352,000</w:t>
            </w:r>
          </w:p>
        </w:tc>
        <w:tc>
          <w:tcPr>
            <w:tcW w:type="dxa" w:w="2880"/>
            <w:vAlign w:val="center"/>
            <w:tcMar>
              <w:top w:w="80" w:type="dxa"/>
              <w:start w:w="80" w:type="dxa"/>
              <w:bottom w:w="80" w:type="dxa"/>
              <w:end w:w="80" w:type="dxa"/>
            </w:tcMar>
          </w:tcPr>
          <w:p>
            <w:r>
              <w:rPr>
                <w:sz w:val="16"/>
              </w:rPr>
              <w:t>₹13.52 lakh/year</w:t>
            </w:r>
          </w:p>
        </w:tc>
      </w:tr>
    </w:tbl>
    <w:p>
      <w:pPr>
        <w:spacing w:after="40"/>
      </w:pPr>
    </w:p>
    <w:p>
      <w:r>
        <w:t>Planning decision: the fourth truck should only be used if delivery windows, product incompatibility, route constraints or late order changes prevent consolidation. This makes the analysis operational rather than simply maximizing fill at the expense of service.</w:t>
      </w:r>
    </w:p>
    <w:p>
      <w:pPr>
        <w:pStyle w:val="Heading2"/>
      </w:pPr>
      <w:r>
        <w:t>7.2 Warehouse Occupancy Analysis</w:t>
      </w:r>
    </w:p>
    <w:p>
      <w:r>
        <w:t>Average occupancy = 3,150 / 4,000 = 78.75%. Peak occupancy = 3,680 / 4,000 = 92.0%. At peak, only 320 pallet positions remain free. A single inbound promotion of 250 pallets would consume 78.1% of that residual capacity, leaving only 70 pallet positions. Therefore, the project uses 85% as an internal warning threshold and 90% as an escalation threshold, prompting faster outbound release, cross-dock / flow-through review, temporary overflow planning, or inbound appointment smoothing.</w:t>
      </w:r>
    </w:p>
    <w:p>
      <w:pPr>
        <w:pStyle w:val="Heading2"/>
      </w:pPr>
      <w:r>
        <w:t>7.3 Slotting / Pick-Travel Example</w:t>
      </w:r>
    </w:p>
    <w:p>
      <w:r>
        <w:t>The modeled warehouse processes 480 pick lines per day. Before ABC-based slotting, average travel is assumed at 62 m per pick line: 480 × 62 m = 29,760 m, or 29.76 km/day. After moving high-frequency A-items closer to outbound staging, average travel reduces to 44 m: 480 × 44 m = 21,120 m, or 21.12 km/day. The reduction is 8.64 km/day, equal to 29.0%. This does not directly prove a labor saving, but it provides a measurable reason to validate the slotting change in a pilot zone.</w:t>
      </w:r>
    </w:p>
    <w:p>
      <w:pPr>
        <w:pStyle w:val="Heading2"/>
      </w:pPr>
      <w:r>
        <w:t>7.4 Dock Turnaround Improvement</w:t>
      </w:r>
    </w:p>
    <w:p>
      <w:r>
        <w:t>The baseline dock turnaround is 110 minutes per truck. The target is 75 minutes. Improvement = (110 - 75) / 110 = 31.8%. The operational changes used to support this target are appointment discipline, pre-staging by freight order, door assignment before arrival, scan-based loading checks and exception escalation before the truck reaches the dock.</w:t>
      </w:r>
    </w:p>
    <w:p>
      <w:pPr>
        <w:pStyle w:val="Heading1"/>
      </w:pPr>
      <w:r>
        <w:t>8. KPI Framework and Expected Results</w:t>
      </w:r>
    </w:p>
    <w:tbl>
      <w:tblPr>
        <w:tblStyle w:val="TableGrid"/>
        <w:tblW w:type="auto" w:w="0"/>
        <w:jc w:val="center"/>
        <w:tblLook w:firstColumn="1" w:firstRow="1" w:lastColumn="0" w:lastRow="0" w:noHBand="0" w:noVBand="1" w:val="04A0"/>
      </w:tblPr>
      <w:tblGrid>
        <w:gridCol w:w="2488"/>
        <w:gridCol w:w="2488"/>
        <w:gridCol w:w="2488"/>
        <w:gridCol w:w="2488"/>
      </w:tblGrid>
      <w:tr>
        <w:trPr>
          <w:tblHeader w:val="true"/>
        </w:trPr>
        <w:tc>
          <w:tcPr>
            <w:tcW w:type="dxa" w:w="2232"/>
            <w:shd w:fill="D9EAF7"/>
            <w:vAlign w:val="center"/>
            <w:tcMar>
              <w:top w:w="80" w:type="dxa"/>
              <w:start w:w="80" w:type="dxa"/>
              <w:bottom w:w="80" w:type="dxa"/>
              <w:end w:w="80" w:type="dxa"/>
            </w:tcMar>
          </w:tcPr>
          <w:p>
            <w:r>
              <w:rPr>
                <w:b/>
                <w:sz w:val="16"/>
              </w:rPr>
              <w:t>KPI</w:t>
            </w:r>
          </w:p>
        </w:tc>
        <w:tc>
          <w:tcPr>
            <w:tcW w:type="dxa" w:w="2232"/>
            <w:shd w:fill="D9EAF7"/>
            <w:vAlign w:val="center"/>
            <w:tcMar>
              <w:top w:w="80" w:type="dxa"/>
              <w:start w:w="80" w:type="dxa"/>
              <w:bottom w:w="80" w:type="dxa"/>
              <w:end w:w="80" w:type="dxa"/>
            </w:tcMar>
          </w:tcPr>
          <w:p>
            <w:r>
              <w:rPr>
                <w:b/>
                <w:sz w:val="16"/>
              </w:rPr>
              <w:t>Baseline</w:t>
            </w:r>
          </w:p>
        </w:tc>
        <w:tc>
          <w:tcPr>
            <w:tcW w:type="dxa" w:w="2592"/>
            <w:shd w:fill="D9EAF7"/>
            <w:vAlign w:val="center"/>
            <w:tcMar>
              <w:top w:w="80" w:type="dxa"/>
              <w:start w:w="80" w:type="dxa"/>
              <w:bottom w:w="80" w:type="dxa"/>
              <w:end w:w="80" w:type="dxa"/>
            </w:tcMar>
          </w:tcPr>
          <w:p>
            <w:r>
              <w:rPr>
                <w:b/>
                <w:sz w:val="16"/>
              </w:rPr>
              <w:t>Target / simulated result</w:t>
            </w:r>
          </w:p>
        </w:tc>
        <w:tc>
          <w:tcPr>
            <w:tcW w:type="dxa" w:w="3528"/>
            <w:shd w:fill="D9EAF7"/>
            <w:vAlign w:val="center"/>
            <w:tcMar>
              <w:top w:w="80" w:type="dxa"/>
              <w:start w:w="80" w:type="dxa"/>
              <w:bottom w:w="80" w:type="dxa"/>
              <w:end w:w="80" w:type="dxa"/>
            </w:tcMar>
          </w:tcPr>
          <w:p>
            <w:r>
              <w:rPr>
                <w:b/>
                <w:sz w:val="16"/>
              </w:rPr>
              <w:t>Why monitored</w:t>
            </w:r>
          </w:p>
        </w:tc>
      </w:tr>
      <w:tr>
        <w:tc>
          <w:tcPr>
            <w:tcW w:type="dxa" w:w="2232"/>
            <w:vAlign w:val="center"/>
            <w:tcMar>
              <w:top w:w="80" w:type="dxa"/>
              <w:start w:w="80" w:type="dxa"/>
              <w:bottom w:w="80" w:type="dxa"/>
              <w:end w:w="80" w:type="dxa"/>
            </w:tcMar>
          </w:tcPr>
          <w:p>
            <w:r>
              <w:rPr>
                <w:sz w:val="16"/>
              </w:rPr>
              <w:t>On-time dispatch</w:t>
            </w:r>
          </w:p>
        </w:tc>
        <w:tc>
          <w:tcPr>
            <w:tcW w:type="dxa" w:w="2232"/>
            <w:vAlign w:val="center"/>
            <w:tcMar>
              <w:top w:w="80" w:type="dxa"/>
              <w:start w:w="80" w:type="dxa"/>
              <w:bottom w:w="80" w:type="dxa"/>
              <w:end w:w="80" w:type="dxa"/>
            </w:tcMar>
          </w:tcPr>
          <w:p>
            <w:r>
              <w:rPr>
                <w:sz w:val="16"/>
              </w:rPr>
              <w:t>88%</w:t>
            </w:r>
          </w:p>
        </w:tc>
        <w:tc>
          <w:tcPr>
            <w:tcW w:type="dxa" w:w="2592"/>
            <w:vAlign w:val="center"/>
            <w:tcMar>
              <w:top w:w="80" w:type="dxa"/>
              <w:start w:w="80" w:type="dxa"/>
              <w:bottom w:w="80" w:type="dxa"/>
              <w:end w:w="80" w:type="dxa"/>
            </w:tcMar>
          </w:tcPr>
          <w:p>
            <w:r>
              <w:rPr>
                <w:sz w:val="16"/>
              </w:rPr>
              <w:t>&gt;=96%</w:t>
            </w:r>
          </w:p>
        </w:tc>
        <w:tc>
          <w:tcPr>
            <w:tcW w:type="dxa" w:w="3528"/>
            <w:vAlign w:val="center"/>
            <w:tcMar>
              <w:top w:w="80" w:type="dxa"/>
              <w:start w:w="80" w:type="dxa"/>
              <w:bottom w:w="80" w:type="dxa"/>
              <w:end w:w="80" w:type="dxa"/>
            </w:tcMar>
          </w:tcPr>
          <w:p>
            <w:r>
              <w:rPr>
                <w:sz w:val="16"/>
              </w:rPr>
              <w:t>Measures warehouse + transport synchronization.</w:t>
            </w:r>
          </w:p>
        </w:tc>
      </w:tr>
      <w:tr>
        <w:tc>
          <w:tcPr>
            <w:tcW w:type="dxa" w:w="2232"/>
            <w:vAlign w:val="center"/>
            <w:tcMar>
              <w:top w:w="80" w:type="dxa"/>
              <w:start w:w="80" w:type="dxa"/>
              <w:bottom w:w="80" w:type="dxa"/>
              <w:end w:w="80" w:type="dxa"/>
            </w:tcMar>
          </w:tcPr>
          <w:p>
            <w:r>
              <w:rPr>
                <w:sz w:val="16"/>
              </w:rPr>
              <w:t>Vehicle fill</w:t>
            </w:r>
          </w:p>
        </w:tc>
        <w:tc>
          <w:tcPr>
            <w:tcW w:type="dxa" w:w="2232"/>
            <w:vAlign w:val="center"/>
            <w:tcMar>
              <w:top w:w="80" w:type="dxa"/>
              <w:start w:w="80" w:type="dxa"/>
              <w:bottom w:w="80" w:type="dxa"/>
              <w:end w:w="80" w:type="dxa"/>
            </w:tcMar>
          </w:tcPr>
          <w:p>
            <w:r>
              <w:rPr>
                <w:sz w:val="16"/>
              </w:rPr>
              <w:t>70.3% fragmented VJA case</w:t>
            </w:r>
          </w:p>
        </w:tc>
        <w:tc>
          <w:tcPr>
            <w:tcW w:type="dxa" w:w="2592"/>
            <w:vAlign w:val="center"/>
            <w:tcMar>
              <w:top w:w="80" w:type="dxa"/>
              <w:start w:w="80" w:type="dxa"/>
              <w:bottom w:w="80" w:type="dxa"/>
              <w:end w:w="80" w:type="dxa"/>
            </w:tcMar>
          </w:tcPr>
          <w:p>
            <w:r>
              <w:rPr>
                <w:sz w:val="16"/>
              </w:rPr>
              <w:t>&gt;=90% on eligible FTL lanes</w:t>
            </w:r>
          </w:p>
        </w:tc>
        <w:tc>
          <w:tcPr>
            <w:tcW w:type="dxa" w:w="3528"/>
            <w:vAlign w:val="center"/>
            <w:tcMar>
              <w:top w:w="80" w:type="dxa"/>
              <w:start w:w="80" w:type="dxa"/>
              <w:bottom w:w="80" w:type="dxa"/>
              <w:end w:w="80" w:type="dxa"/>
            </w:tcMar>
          </w:tcPr>
          <w:p>
            <w:r>
              <w:rPr>
                <w:sz w:val="16"/>
              </w:rPr>
              <w:t>Controls freight efficiency.</w:t>
            </w:r>
          </w:p>
        </w:tc>
      </w:tr>
      <w:tr>
        <w:tc>
          <w:tcPr>
            <w:tcW w:type="dxa" w:w="2232"/>
            <w:vAlign w:val="center"/>
            <w:tcMar>
              <w:top w:w="80" w:type="dxa"/>
              <w:start w:w="80" w:type="dxa"/>
              <w:bottom w:w="80" w:type="dxa"/>
              <w:end w:w="80" w:type="dxa"/>
            </w:tcMar>
          </w:tcPr>
          <w:p>
            <w:r>
              <w:rPr>
                <w:sz w:val="16"/>
              </w:rPr>
              <w:t>Dock turnaround</w:t>
            </w:r>
          </w:p>
        </w:tc>
        <w:tc>
          <w:tcPr>
            <w:tcW w:type="dxa" w:w="2232"/>
            <w:vAlign w:val="center"/>
            <w:tcMar>
              <w:top w:w="80" w:type="dxa"/>
              <w:start w:w="80" w:type="dxa"/>
              <w:bottom w:w="80" w:type="dxa"/>
              <w:end w:w="80" w:type="dxa"/>
            </w:tcMar>
          </w:tcPr>
          <w:p>
            <w:r>
              <w:rPr>
                <w:sz w:val="16"/>
              </w:rPr>
              <w:t>110 min</w:t>
            </w:r>
          </w:p>
        </w:tc>
        <w:tc>
          <w:tcPr>
            <w:tcW w:type="dxa" w:w="2592"/>
            <w:vAlign w:val="center"/>
            <w:tcMar>
              <w:top w:w="80" w:type="dxa"/>
              <w:start w:w="80" w:type="dxa"/>
              <w:bottom w:w="80" w:type="dxa"/>
              <w:end w:w="80" w:type="dxa"/>
            </w:tcMar>
          </w:tcPr>
          <w:p>
            <w:r>
              <w:rPr>
                <w:sz w:val="16"/>
              </w:rPr>
              <w:t>&lt;=75 min</w:t>
            </w:r>
          </w:p>
        </w:tc>
        <w:tc>
          <w:tcPr>
            <w:tcW w:type="dxa" w:w="3528"/>
            <w:vAlign w:val="center"/>
            <w:tcMar>
              <w:top w:w="80" w:type="dxa"/>
              <w:start w:w="80" w:type="dxa"/>
              <w:bottom w:w="80" w:type="dxa"/>
              <w:end w:w="80" w:type="dxa"/>
            </w:tcMar>
          </w:tcPr>
          <w:p>
            <w:r>
              <w:rPr>
                <w:sz w:val="16"/>
              </w:rPr>
              <w:t>Protects door capacity and carrier time.</w:t>
            </w:r>
          </w:p>
        </w:tc>
      </w:tr>
      <w:tr>
        <w:tc>
          <w:tcPr>
            <w:tcW w:type="dxa" w:w="2232"/>
            <w:vAlign w:val="center"/>
            <w:tcMar>
              <w:top w:w="80" w:type="dxa"/>
              <w:start w:w="80" w:type="dxa"/>
              <w:bottom w:w="80" w:type="dxa"/>
              <w:end w:w="80" w:type="dxa"/>
            </w:tcMar>
          </w:tcPr>
          <w:p>
            <w:r>
              <w:rPr>
                <w:sz w:val="16"/>
              </w:rPr>
              <w:t>Pick accuracy</w:t>
            </w:r>
          </w:p>
        </w:tc>
        <w:tc>
          <w:tcPr>
            <w:tcW w:type="dxa" w:w="2232"/>
            <w:vAlign w:val="center"/>
            <w:tcMar>
              <w:top w:w="80" w:type="dxa"/>
              <w:start w:w="80" w:type="dxa"/>
              <w:bottom w:w="80" w:type="dxa"/>
              <w:end w:w="80" w:type="dxa"/>
            </w:tcMar>
          </w:tcPr>
          <w:p>
            <w:r>
              <w:rPr>
                <w:sz w:val="16"/>
              </w:rPr>
              <w:t>96.8%</w:t>
            </w:r>
          </w:p>
        </w:tc>
        <w:tc>
          <w:tcPr>
            <w:tcW w:type="dxa" w:w="2592"/>
            <w:vAlign w:val="center"/>
            <w:tcMar>
              <w:top w:w="80" w:type="dxa"/>
              <w:start w:w="80" w:type="dxa"/>
              <w:bottom w:w="80" w:type="dxa"/>
              <w:end w:w="80" w:type="dxa"/>
            </w:tcMar>
          </w:tcPr>
          <w:p>
            <w:r>
              <w:rPr>
                <w:sz w:val="16"/>
              </w:rPr>
              <w:t>&gt;=99.2%</w:t>
            </w:r>
          </w:p>
        </w:tc>
        <w:tc>
          <w:tcPr>
            <w:tcW w:type="dxa" w:w="3528"/>
            <w:vAlign w:val="center"/>
            <w:tcMar>
              <w:top w:w="80" w:type="dxa"/>
              <w:start w:w="80" w:type="dxa"/>
              <w:bottom w:w="80" w:type="dxa"/>
              <w:end w:w="80" w:type="dxa"/>
            </w:tcMar>
          </w:tcPr>
          <w:p>
            <w:r>
              <w:rPr>
                <w:sz w:val="16"/>
              </w:rPr>
              <w:t>Reduces rework and delivery discrepancy.</w:t>
            </w:r>
          </w:p>
        </w:tc>
      </w:tr>
      <w:tr>
        <w:tc>
          <w:tcPr>
            <w:tcW w:type="dxa" w:w="2232"/>
            <w:vAlign w:val="center"/>
            <w:tcMar>
              <w:top w:w="80" w:type="dxa"/>
              <w:start w:w="80" w:type="dxa"/>
              <w:bottom w:w="80" w:type="dxa"/>
              <w:end w:w="80" w:type="dxa"/>
            </w:tcMar>
          </w:tcPr>
          <w:p>
            <w:r>
              <w:rPr>
                <w:sz w:val="16"/>
              </w:rPr>
              <w:t>Peak occupancy</w:t>
            </w:r>
          </w:p>
        </w:tc>
        <w:tc>
          <w:tcPr>
            <w:tcW w:type="dxa" w:w="2232"/>
            <w:vAlign w:val="center"/>
            <w:tcMar>
              <w:top w:w="80" w:type="dxa"/>
              <w:start w:w="80" w:type="dxa"/>
              <w:bottom w:w="80" w:type="dxa"/>
              <w:end w:w="80" w:type="dxa"/>
            </w:tcMar>
          </w:tcPr>
          <w:p>
            <w:r>
              <w:rPr>
                <w:sz w:val="16"/>
              </w:rPr>
              <w:t>92%</w:t>
            </w:r>
          </w:p>
        </w:tc>
        <w:tc>
          <w:tcPr>
            <w:tcW w:type="dxa" w:w="2592"/>
            <w:vAlign w:val="center"/>
            <w:tcMar>
              <w:top w:w="80" w:type="dxa"/>
              <w:start w:w="80" w:type="dxa"/>
              <w:bottom w:w="80" w:type="dxa"/>
              <w:end w:w="80" w:type="dxa"/>
            </w:tcMar>
          </w:tcPr>
          <w:p>
            <w:r>
              <w:rPr>
                <w:sz w:val="16"/>
              </w:rPr>
              <w:t>&lt;=85% normal operating target</w:t>
            </w:r>
          </w:p>
        </w:tc>
        <w:tc>
          <w:tcPr>
            <w:tcW w:type="dxa" w:w="3528"/>
            <w:vAlign w:val="center"/>
            <w:tcMar>
              <w:top w:w="80" w:type="dxa"/>
              <w:start w:w="80" w:type="dxa"/>
              <w:bottom w:w="80" w:type="dxa"/>
              <w:end w:w="80" w:type="dxa"/>
            </w:tcMar>
          </w:tcPr>
          <w:p>
            <w:r>
              <w:rPr>
                <w:sz w:val="16"/>
              </w:rPr>
              <w:t>Protects working space and putaway flexibility.</w:t>
            </w:r>
          </w:p>
        </w:tc>
      </w:tr>
      <w:tr>
        <w:tc>
          <w:tcPr>
            <w:tcW w:type="dxa" w:w="2232"/>
            <w:vAlign w:val="center"/>
            <w:tcMar>
              <w:top w:w="80" w:type="dxa"/>
              <w:start w:w="80" w:type="dxa"/>
              <w:bottom w:w="80" w:type="dxa"/>
              <w:end w:w="80" w:type="dxa"/>
            </w:tcMar>
          </w:tcPr>
          <w:p>
            <w:r>
              <w:rPr>
                <w:sz w:val="16"/>
              </w:rPr>
              <w:t>Staging overflow</w:t>
            </w:r>
          </w:p>
        </w:tc>
        <w:tc>
          <w:tcPr>
            <w:tcW w:type="dxa" w:w="2232"/>
            <w:vAlign w:val="center"/>
            <w:tcMar>
              <w:top w:w="80" w:type="dxa"/>
              <w:start w:w="80" w:type="dxa"/>
              <w:bottom w:w="80" w:type="dxa"/>
              <w:end w:w="80" w:type="dxa"/>
            </w:tcMar>
          </w:tcPr>
          <w:p>
            <w:r>
              <w:rPr>
                <w:sz w:val="16"/>
              </w:rPr>
              <w:t>Occasional / unmeasured</w:t>
            </w:r>
          </w:p>
        </w:tc>
        <w:tc>
          <w:tcPr>
            <w:tcW w:type="dxa" w:w="2592"/>
            <w:vAlign w:val="center"/>
            <w:tcMar>
              <w:top w:w="80" w:type="dxa"/>
              <w:start w:w="80" w:type="dxa"/>
              <w:bottom w:w="80" w:type="dxa"/>
              <w:end w:w="80" w:type="dxa"/>
            </w:tcMar>
          </w:tcPr>
          <w:p>
            <w:r>
              <w:rPr>
                <w:sz w:val="16"/>
              </w:rPr>
              <w:t>0 unplanned overflow events</w:t>
            </w:r>
          </w:p>
        </w:tc>
        <w:tc>
          <w:tcPr>
            <w:tcW w:type="dxa" w:w="3528"/>
            <w:vAlign w:val="center"/>
            <w:tcMar>
              <w:top w:w="80" w:type="dxa"/>
              <w:start w:w="80" w:type="dxa"/>
              <w:bottom w:w="80" w:type="dxa"/>
              <w:end w:w="80" w:type="dxa"/>
            </w:tcMar>
          </w:tcPr>
          <w:p>
            <w:r>
              <w:rPr>
                <w:sz w:val="16"/>
              </w:rPr>
              <w:t>Prevents route mixing and loading delay.</w:t>
            </w:r>
          </w:p>
        </w:tc>
      </w:tr>
      <w:tr>
        <w:tc>
          <w:tcPr>
            <w:tcW w:type="dxa" w:w="2232"/>
            <w:vAlign w:val="center"/>
            <w:tcMar>
              <w:top w:w="80" w:type="dxa"/>
              <w:start w:w="80" w:type="dxa"/>
              <w:bottom w:w="80" w:type="dxa"/>
              <w:end w:w="80" w:type="dxa"/>
            </w:tcMar>
          </w:tcPr>
          <w:p>
            <w:r>
              <w:rPr>
                <w:sz w:val="16"/>
              </w:rPr>
              <w:t>Freight departure miss</w:t>
            </w:r>
          </w:p>
        </w:tc>
        <w:tc>
          <w:tcPr>
            <w:tcW w:type="dxa" w:w="2232"/>
            <w:vAlign w:val="center"/>
            <w:tcMar>
              <w:top w:w="80" w:type="dxa"/>
              <w:start w:w="80" w:type="dxa"/>
              <w:bottom w:w="80" w:type="dxa"/>
              <w:end w:w="80" w:type="dxa"/>
            </w:tcMar>
          </w:tcPr>
          <w:p>
            <w:r>
              <w:rPr>
                <w:sz w:val="16"/>
              </w:rPr>
              <w:t>6% of loads illustrative</w:t>
            </w:r>
          </w:p>
        </w:tc>
        <w:tc>
          <w:tcPr>
            <w:tcW w:type="dxa" w:w="2592"/>
            <w:vAlign w:val="center"/>
            <w:tcMar>
              <w:top w:w="80" w:type="dxa"/>
              <w:start w:w="80" w:type="dxa"/>
              <w:bottom w:w="80" w:type="dxa"/>
              <w:end w:w="80" w:type="dxa"/>
            </w:tcMar>
          </w:tcPr>
          <w:p>
            <w:r>
              <w:rPr>
                <w:sz w:val="16"/>
              </w:rPr>
              <w:t>&lt;2%</w:t>
            </w:r>
          </w:p>
        </w:tc>
        <w:tc>
          <w:tcPr>
            <w:tcW w:type="dxa" w:w="3528"/>
            <w:vAlign w:val="center"/>
            <w:tcMar>
              <w:top w:w="80" w:type="dxa"/>
              <w:start w:w="80" w:type="dxa"/>
              <w:bottom w:w="80" w:type="dxa"/>
              <w:end w:w="80" w:type="dxa"/>
            </w:tcMar>
          </w:tcPr>
          <w:p>
            <w:r>
              <w:rPr>
                <w:sz w:val="16"/>
              </w:rPr>
              <w:t>Direct service indicator.</w:t>
            </w:r>
          </w:p>
        </w:tc>
      </w:tr>
      <w:tr>
        <w:tc>
          <w:tcPr>
            <w:tcW w:type="dxa" w:w="2232"/>
            <w:vAlign w:val="center"/>
            <w:tcMar>
              <w:top w:w="80" w:type="dxa"/>
              <w:start w:w="80" w:type="dxa"/>
              <w:bottom w:w="80" w:type="dxa"/>
              <w:end w:w="80" w:type="dxa"/>
            </w:tcMar>
          </w:tcPr>
          <w:p>
            <w:r>
              <w:rPr>
                <w:sz w:val="16"/>
              </w:rPr>
              <w:t>TM-EWM status mismatch</w:t>
            </w:r>
          </w:p>
        </w:tc>
        <w:tc>
          <w:tcPr>
            <w:tcW w:type="dxa" w:w="2232"/>
            <w:vAlign w:val="center"/>
            <w:tcMar>
              <w:top w:w="80" w:type="dxa"/>
              <w:start w:w="80" w:type="dxa"/>
              <w:bottom w:w="80" w:type="dxa"/>
              <w:end w:w="80" w:type="dxa"/>
            </w:tcMar>
          </w:tcPr>
          <w:p>
            <w:r>
              <w:rPr>
                <w:sz w:val="16"/>
              </w:rPr>
              <w:t>2.5% illustrative</w:t>
            </w:r>
          </w:p>
        </w:tc>
        <w:tc>
          <w:tcPr>
            <w:tcW w:type="dxa" w:w="2592"/>
            <w:vAlign w:val="center"/>
            <w:tcMar>
              <w:top w:w="80" w:type="dxa"/>
              <w:start w:w="80" w:type="dxa"/>
              <w:bottom w:w="80" w:type="dxa"/>
              <w:end w:w="80" w:type="dxa"/>
            </w:tcMar>
          </w:tcPr>
          <w:p>
            <w:r>
              <w:rPr>
                <w:sz w:val="16"/>
              </w:rPr>
              <w:t>&lt;0.5%</w:t>
            </w:r>
          </w:p>
        </w:tc>
        <w:tc>
          <w:tcPr>
            <w:tcW w:type="dxa" w:w="3528"/>
            <w:vAlign w:val="center"/>
            <w:tcMar>
              <w:top w:w="80" w:type="dxa"/>
              <w:start w:w="80" w:type="dxa"/>
              <w:bottom w:w="80" w:type="dxa"/>
              <w:end w:w="80" w:type="dxa"/>
            </w:tcMar>
          </w:tcPr>
          <w:p>
            <w:r>
              <w:rPr>
                <w:sz w:val="16"/>
              </w:rPr>
              <w:t>Measures integration / process-control quality.</w:t>
            </w:r>
          </w:p>
        </w:tc>
      </w:tr>
      <w:tr>
        <w:tc>
          <w:tcPr>
            <w:tcW w:type="dxa" w:w="2232"/>
            <w:vAlign w:val="center"/>
            <w:tcMar>
              <w:top w:w="80" w:type="dxa"/>
              <w:start w:w="80" w:type="dxa"/>
              <w:bottom w:w="80" w:type="dxa"/>
              <w:end w:w="80" w:type="dxa"/>
            </w:tcMar>
          </w:tcPr>
          <w:p>
            <w:r>
              <w:rPr>
                <w:sz w:val="16"/>
              </w:rPr>
              <w:t>Picker travel</w:t>
            </w:r>
          </w:p>
        </w:tc>
        <w:tc>
          <w:tcPr>
            <w:tcW w:type="dxa" w:w="2232"/>
            <w:vAlign w:val="center"/>
            <w:tcMar>
              <w:top w:w="80" w:type="dxa"/>
              <w:start w:w="80" w:type="dxa"/>
              <w:bottom w:w="80" w:type="dxa"/>
              <w:end w:w="80" w:type="dxa"/>
            </w:tcMar>
          </w:tcPr>
          <w:p>
            <w:r>
              <w:rPr>
                <w:sz w:val="16"/>
              </w:rPr>
              <w:t>29.76 km/day modeled</w:t>
            </w:r>
          </w:p>
        </w:tc>
        <w:tc>
          <w:tcPr>
            <w:tcW w:type="dxa" w:w="2592"/>
            <w:vAlign w:val="center"/>
            <w:tcMar>
              <w:top w:w="80" w:type="dxa"/>
              <w:start w:w="80" w:type="dxa"/>
              <w:bottom w:w="80" w:type="dxa"/>
              <w:end w:w="80" w:type="dxa"/>
            </w:tcMar>
          </w:tcPr>
          <w:p>
            <w:r>
              <w:rPr>
                <w:sz w:val="16"/>
              </w:rPr>
              <w:t>21.12 km/day pilot expectation</w:t>
            </w:r>
          </w:p>
        </w:tc>
        <w:tc>
          <w:tcPr>
            <w:tcW w:type="dxa" w:w="3528"/>
            <w:vAlign w:val="center"/>
            <w:tcMar>
              <w:top w:w="80" w:type="dxa"/>
              <w:start w:w="80" w:type="dxa"/>
              <w:bottom w:w="80" w:type="dxa"/>
              <w:end w:w="80" w:type="dxa"/>
            </w:tcMar>
          </w:tcPr>
          <w:p>
            <w:r>
              <w:rPr>
                <w:sz w:val="16"/>
              </w:rPr>
              <w:t>Tests slotting effectiveness.</w:t>
            </w:r>
          </w:p>
        </w:tc>
      </w:tr>
    </w:tbl>
    <w:p>
      <w:pPr>
        <w:spacing w:after="40"/>
      </w:pPr>
    </w:p>
    <w:p>
      <w:r>
        <w:t>These are simulation targets, not measured production-system results. In a real implementation, each KPI would require a defined data source, owner, measurement frequency and approved baseline period.</w:t>
      </w:r>
    </w:p>
    <w:p>
      <w:r>
        <w:br w:type="page"/>
      </w:r>
    </w:p>
    <w:p>
      <w:pPr>
        <w:pStyle w:val="Heading1"/>
      </w:pPr>
      <w:r>
        <w:t>9. Validation and Test Plan</w:t>
      </w:r>
    </w:p>
    <w:tbl>
      <w:tblPr>
        <w:tblStyle w:val="TableGrid"/>
        <w:tblW w:type="auto" w:w="0"/>
        <w:jc w:val="center"/>
        <w:tblLook w:firstColumn="1" w:firstRow="1" w:lastColumn="0" w:lastRow="0" w:noHBand="0" w:noVBand="1" w:val="04A0"/>
      </w:tblPr>
      <w:tblGrid>
        <w:gridCol w:w="2488"/>
        <w:gridCol w:w="2488"/>
        <w:gridCol w:w="2488"/>
        <w:gridCol w:w="2488"/>
      </w:tblGrid>
      <w:tr>
        <w:trPr>
          <w:tblHeader w:val="true"/>
        </w:trPr>
        <w:tc>
          <w:tcPr>
            <w:tcW w:type="dxa" w:w="936"/>
            <w:shd w:fill="D9EAF7"/>
            <w:vAlign w:val="center"/>
            <w:tcMar>
              <w:top w:w="80" w:type="dxa"/>
              <w:start w:w="80" w:type="dxa"/>
              <w:bottom w:w="80" w:type="dxa"/>
              <w:end w:w="80" w:type="dxa"/>
            </w:tcMar>
          </w:tcPr>
          <w:p>
            <w:r>
              <w:rPr>
                <w:b/>
                <w:sz w:val="15"/>
              </w:rPr>
              <w:t>Test ID</w:t>
            </w:r>
          </w:p>
        </w:tc>
        <w:tc>
          <w:tcPr>
            <w:tcW w:type="dxa" w:w="3312"/>
            <w:shd w:fill="D9EAF7"/>
            <w:vAlign w:val="center"/>
            <w:tcMar>
              <w:top w:w="80" w:type="dxa"/>
              <w:start w:w="80" w:type="dxa"/>
              <w:bottom w:w="80" w:type="dxa"/>
              <w:end w:w="80" w:type="dxa"/>
            </w:tcMar>
          </w:tcPr>
          <w:p>
            <w:r>
              <w:rPr>
                <w:b/>
                <w:sz w:val="15"/>
              </w:rPr>
              <w:t>Scenario / action</w:t>
            </w:r>
          </w:p>
        </w:tc>
        <w:tc>
          <w:tcPr>
            <w:tcW w:type="dxa" w:w="4320"/>
            <w:shd w:fill="D9EAF7"/>
            <w:vAlign w:val="center"/>
            <w:tcMar>
              <w:top w:w="80" w:type="dxa"/>
              <w:start w:w="80" w:type="dxa"/>
              <w:bottom w:w="80" w:type="dxa"/>
              <w:end w:w="80" w:type="dxa"/>
            </w:tcMar>
          </w:tcPr>
          <w:p>
            <w:r>
              <w:rPr>
                <w:b/>
                <w:sz w:val="15"/>
              </w:rPr>
              <w:t>Expected result / pass criterion</w:t>
            </w:r>
          </w:p>
        </w:tc>
        <w:tc>
          <w:tcPr>
            <w:tcW w:type="dxa" w:w="2376"/>
            <w:shd w:fill="D9EAF7"/>
            <w:vAlign w:val="center"/>
            <w:tcMar>
              <w:top w:w="80" w:type="dxa"/>
              <w:start w:w="80" w:type="dxa"/>
              <w:bottom w:w="80" w:type="dxa"/>
              <w:end w:w="80" w:type="dxa"/>
            </w:tcMar>
          </w:tcPr>
          <w:p>
            <w:r>
              <w:rPr>
                <w:b/>
                <w:sz w:val="15"/>
              </w:rPr>
              <w:t>Evidence to retain</w:t>
            </w:r>
          </w:p>
        </w:tc>
      </w:tr>
      <w:tr>
        <w:tc>
          <w:tcPr>
            <w:tcW w:type="dxa" w:w="936"/>
            <w:vAlign w:val="center"/>
            <w:tcMar>
              <w:top w:w="80" w:type="dxa"/>
              <w:start w:w="80" w:type="dxa"/>
              <w:bottom w:w="80" w:type="dxa"/>
              <w:end w:w="80" w:type="dxa"/>
            </w:tcMar>
          </w:tcPr>
          <w:p>
            <w:r>
              <w:rPr>
                <w:sz w:val="15"/>
              </w:rPr>
              <w:t>T01</w:t>
            </w:r>
          </w:p>
        </w:tc>
        <w:tc>
          <w:tcPr>
            <w:tcW w:type="dxa" w:w="3312"/>
            <w:vAlign w:val="center"/>
            <w:tcMar>
              <w:top w:w="80" w:type="dxa"/>
              <w:start w:w="80" w:type="dxa"/>
              <w:bottom w:w="80" w:type="dxa"/>
              <w:end w:w="80" w:type="dxa"/>
            </w:tcMar>
          </w:tcPr>
          <w:p>
            <w:r>
              <w:rPr>
                <w:sz w:val="15"/>
              </w:rPr>
              <w:t>Create 45 t Vijayawada requirements and consolidate</w:t>
            </w:r>
          </w:p>
        </w:tc>
        <w:tc>
          <w:tcPr>
            <w:tcW w:type="dxa" w:w="4320"/>
            <w:vAlign w:val="center"/>
            <w:tcMar>
              <w:top w:w="80" w:type="dxa"/>
              <w:start w:w="80" w:type="dxa"/>
              <w:bottom w:w="80" w:type="dxa"/>
              <w:end w:w="80" w:type="dxa"/>
            </w:tcMar>
          </w:tcPr>
          <w:p>
            <w:r>
              <w:rPr>
                <w:sz w:val="15"/>
              </w:rPr>
              <w:t>3 × 16 t truck plan; fill 93.75%; no delivery-window violation</w:t>
            </w:r>
          </w:p>
        </w:tc>
        <w:tc>
          <w:tcPr>
            <w:tcW w:type="dxa" w:w="2376"/>
            <w:vAlign w:val="center"/>
            <w:tcMar>
              <w:top w:w="80" w:type="dxa"/>
              <w:start w:w="80" w:type="dxa"/>
              <w:bottom w:w="80" w:type="dxa"/>
              <w:end w:w="80" w:type="dxa"/>
            </w:tcMar>
          </w:tcPr>
          <w:p>
            <w:r>
              <w:rPr>
                <w:sz w:val="15"/>
              </w:rPr>
              <w:t>Planning screenshot / load list</w:t>
            </w:r>
          </w:p>
        </w:tc>
      </w:tr>
      <w:tr>
        <w:tc>
          <w:tcPr>
            <w:tcW w:type="dxa" w:w="936"/>
            <w:vAlign w:val="center"/>
            <w:tcMar>
              <w:top w:w="80" w:type="dxa"/>
              <w:start w:w="80" w:type="dxa"/>
              <w:bottom w:w="80" w:type="dxa"/>
              <w:end w:w="80" w:type="dxa"/>
            </w:tcMar>
          </w:tcPr>
          <w:p>
            <w:r>
              <w:rPr>
                <w:sz w:val="15"/>
              </w:rPr>
              <w:t>T02</w:t>
            </w:r>
          </w:p>
        </w:tc>
        <w:tc>
          <w:tcPr>
            <w:tcW w:type="dxa" w:w="3312"/>
            <w:vAlign w:val="center"/>
            <w:tcMar>
              <w:top w:w="80" w:type="dxa"/>
              <w:start w:w="80" w:type="dxa"/>
              <w:bottom w:w="80" w:type="dxa"/>
              <w:end w:w="80" w:type="dxa"/>
            </w:tcMar>
          </w:tcPr>
          <w:p>
            <w:r>
              <w:rPr>
                <w:sz w:val="15"/>
              </w:rPr>
              <w:t>Reduce one truck capacity from 16 t to 12 t</w:t>
            </w:r>
          </w:p>
        </w:tc>
        <w:tc>
          <w:tcPr>
            <w:tcW w:type="dxa" w:w="4320"/>
            <w:vAlign w:val="center"/>
            <w:tcMar>
              <w:top w:w="80" w:type="dxa"/>
              <w:start w:w="80" w:type="dxa"/>
              <w:bottom w:w="80" w:type="dxa"/>
              <w:end w:w="80" w:type="dxa"/>
            </w:tcMar>
          </w:tcPr>
          <w:p>
            <w:r>
              <w:rPr>
                <w:sz w:val="15"/>
              </w:rPr>
              <w:t>Planner identifies infeasible or additional-capacity requirement</w:t>
            </w:r>
          </w:p>
        </w:tc>
        <w:tc>
          <w:tcPr>
            <w:tcW w:type="dxa" w:w="2376"/>
            <w:vAlign w:val="center"/>
            <w:tcMar>
              <w:top w:w="80" w:type="dxa"/>
              <w:start w:w="80" w:type="dxa"/>
              <w:bottom w:w="80" w:type="dxa"/>
              <w:end w:w="80" w:type="dxa"/>
            </w:tcMar>
          </w:tcPr>
          <w:p>
            <w:r>
              <w:rPr>
                <w:sz w:val="15"/>
              </w:rPr>
              <w:t>Exception log / revised plan</w:t>
            </w:r>
          </w:p>
        </w:tc>
      </w:tr>
      <w:tr>
        <w:tc>
          <w:tcPr>
            <w:tcW w:type="dxa" w:w="936"/>
            <w:vAlign w:val="center"/>
            <w:tcMar>
              <w:top w:w="80" w:type="dxa"/>
              <w:start w:w="80" w:type="dxa"/>
              <w:bottom w:w="80" w:type="dxa"/>
              <w:end w:w="80" w:type="dxa"/>
            </w:tcMar>
          </w:tcPr>
          <w:p>
            <w:r>
              <w:rPr>
                <w:sz w:val="15"/>
              </w:rPr>
              <w:t>T03</w:t>
            </w:r>
          </w:p>
        </w:tc>
        <w:tc>
          <w:tcPr>
            <w:tcW w:type="dxa" w:w="3312"/>
            <w:vAlign w:val="center"/>
            <w:tcMar>
              <w:top w:w="80" w:type="dxa"/>
              <w:start w:w="80" w:type="dxa"/>
              <w:bottom w:w="80" w:type="dxa"/>
              <w:end w:w="80" w:type="dxa"/>
            </w:tcMar>
          </w:tcPr>
          <w:p>
            <w:r>
              <w:rPr>
                <w:sz w:val="15"/>
              </w:rPr>
              <w:t>Release outbound wave for 40 pallets</w:t>
            </w:r>
          </w:p>
        </w:tc>
        <w:tc>
          <w:tcPr>
            <w:tcW w:type="dxa" w:w="4320"/>
            <w:vAlign w:val="center"/>
            <w:tcMar>
              <w:top w:w="80" w:type="dxa"/>
              <w:start w:w="80" w:type="dxa"/>
              <w:bottom w:w="80" w:type="dxa"/>
              <w:end w:w="80" w:type="dxa"/>
            </w:tcMar>
          </w:tcPr>
          <w:p>
            <w:r>
              <w:rPr>
                <w:sz w:val="15"/>
              </w:rPr>
              <w:t>WTs created; staging capacity &lt;=60 pallets</w:t>
            </w:r>
          </w:p>
        </w:tc>
        <w:tc>
          <w:tcPr>
            <w:tcW w:type="dxa" w:w="2376"/>
            <w:vAlign w:val="center"/>
            <w:tcMar>
              <w:top w:w="80" w:type="dxa"/>
              <w:start w:w="80" w:type="dxa"/>
              <w:bottom w:w="80" w:type="dxa"/>
              <w:end w:w="80" w:type="dxa"/>
            </w:tcMar>
          </w:tcPr>
          <w:p>
            <w:r>
              <w:rPr>
                <w:sz w:val="15"/>
              </w:rPr>
              <w:t>Wave + WT summary</w:t>
            </w:r>
          </w:p>
        </w:tc>
      </w:tr>
      <w:tr>
        <w:tc>
          <w:tcPr>
            <w:tcW w:type="dxa" w:w="936"/>
            <w:vAlign w:val="center"/>
            <w:tcMar>
              <w:top w:w="80" w:type="dxa"/>
              <w:start w:w="80" w:type="dxa"/>
              <w:bottom w:w="80" w:type="dxa"/>
              <w:end w:w="80" w:type="dxa"/>
            </w:tcMar>
          </w:tcPr>
          <w:p>
            <w:r>
              <w:rPr>
                <w:sz w:val="15"/>
              </w:rPr>
              <w:t>T04</w:t>
            </w:r>
          </w:p>
        </w:tc>
        <w:tc>
          <w:tcPr>
            <w:tcW w:type="dxa" w:w="3312"/>
            <w:vAlign w:val="center"/>
            <w:tcMar>
              <w:top w:w="80" w:type="dxa"/>
              <w:start w:w="80" w:type="dxa"/>
              <w:bottom w:w="80" w:type="dxa"/>
              <w:end w:w="80" w:type="dxa"/>
            </w:tcMar>
          </w:tcPr>
          <w:p>
            <w:r>
              <w:rPr>
                <w:sz w:val="15"/>
              </w:rPr>
              <w:t>Create wave for 80 pallets without split</w:t>
            </w:r>
          </w:p>
        </w:tc>
        <w:tc>
          <w:tcPr>
            <w:tcW w:type="dxa" w:w="4320"/>
            <w:vAlign w:val="center"/>
            <w:tcMar>
              <w:top w:w="80" w:type="dxa"/>
              <w:start w:w="80" w:type="dxa"/>
              <w:bottom w:w="80" w:type="dxa"/>
              <w:end w:w="80" w:type="dxa"/>
            </w:tcMar>
          </w:tcPr>
          <w:p>
            <w:r>
              <w:rPr>
                <w:sz w:val="15"/>
              </w:rPr>
              <w:t>System / planner detects staging overload; split into &lt;=60-pallet waves</w:t>
            </w:r>
          </w:p>
        </w:tc>
        <w:tc>
          <w:tcPr>
            <w:tcW w:type="dxa" w:w="2376"/>
            <w:vAlign w:val="center"/>
            <w:tcMar>
              <w:top w:w="80" w:type="dxa"/>
              <w:start w:w="80" w:type="dxa"/>
              <w:bottom w:w="80" w:type="dxa"/>
              <w:end w:w="80" w:type="dxa"/>
            </w:tcMar>
          </w:tcPr>
          <w:p>
            <w:r>
              <w:rPr>
                <w:sz w:val="15"/>
              </w:rPr>
              <w:t>Wave plan / control note</w:t>
            </w:r>
          </w:p>
        </w:tc>
      </w:tr>
      <w:tr>
        <w:tc>
          <w:tcPr>
            <w:tcW w:type="dxa" w:w="936"/>
            <w:vAlign w:val="center"/>
            <w:tcMar>
              <w:top w:w="80" w:type="dxa"/>
              <w:start w:w="80" w:type="dxa"/>
              <w:bottom w:w="80" w:type="dxa"/>
              <w:end w:w="80" w:type="dxa"/>
            </w:tcMar>
          </w:tcPr>
          <w:p>
            <w:r>
              <w:rPr>
                <w:sz w:val="15"/>
              </w:rPr>
              <w:t>T05</w:t>
            </w:r>
          </w:p>
        </w:tc>
        <w:tc>
          <w:tcPr>
            <w:tcW w:type="dxa" w:w="3312"/>
            <w:vAlign w:val="center"/>
            <w:tcMar>
              <w:top w:w="80" w:type="dxa"/>
              <w:start w:w="80" w:type="dxa"/>
              <w:bottom w:w="80" w:type="dxa"/>
              <w:end w:w="80" w:type="dxa"/>
            </w:tcMar>
          </w:tcPr>
          <w:p>
            <w:r>
              <w:rPr>
                <w:sz w:val="15"/>
              </w:rPr>
              <w:t>Simulate stock shortage on 5 pallets</w:t>
            </w:r>
          </w:p>
        </w:tc>
        <w:tc>
          <w:tcPr>
            <w:tcW w:type="dxa" w:w="4320"/>
            <w:vAlign w:val="center"/>
            <w:tcMar>
              <w:top w:w="80" w:type="dxa"/>
              <w:start w:w="80" w:type="dxa"/>
              <w:bottom w:w="80" w:type="dxa"/>
              <w:end w:w="80" w:type="dxa"/>
            </w:tcMar>
          </w:tcPr>
          <w:p>
            <w:r>
              <w:rPr>
                <w:sz w:val="15"/>
              </w:rPr>
              <w:t>Shortage visible before loading; load not falsely completed</w:t>
            </w:r>
          </w:p>
        </w:tc>
        <w:tc>
          <w:tcPr>
            <w:tcW w:type="dxa" w:w="2376"/>
            <w:vAlign w:val="center"/>
            <w:tcMar>
              <w:top w:w="80" w:type="dxa"/>
              <w:start w:w="80" w:type="dxa"/>
              <w:bottom w:w="80" w:type="dxa"/>
              <w:end w:w="80" w:type="dxa"/>
            </w:tcMar>
          </w:tcPr>
          <w:p>
            <w:r>
              <w:rPr>
                <w:sz w:val="15"/>
              </w:rPr>
              <w:t>Shortage exception record</w:t>
            </w:r>
          </w:p>
        </w:tc>
      </w:tr>
      <w:tr>
        <w:tc>
          <w:tcPr>
            <w:tcW w:type="dxa" w:w="936"/>
            <w:vAlign w:val="center"/>
            <w:tcMar>
              <w:top w:w="80" w:type="dxa"/>
              <w:start w:w="80" w:type="dxa"/>
              <w:bottom w:w="80" w:type="dxa"/>
              <w:end w:w="80" w:type="dxa"/>
            </w:tcMar>
          </w:tcPr>
          <w:p>
            <w:r>
              <w:rPr>
                <w:sz w:val="15"/>
              </w:rPr>
              <w:t>T06</w:t>
            </w:r>
          </w:p>
        </w:tc>
        <w:tc>
          <w:tcPr>
            <w:tcW w:type="dxa" w:w="3312"/>
            <w:vAlign w:val="center"/>
            <w:tcMar>
              <w:top w:w="80" w:type="dxa"/>
              <w:start w:w="80" w:type="dxa"/>
              <w:bottom w:w="80" w:type="dxa"/>
              <w:end w:w="80" w:type="dxa"/>
            </w:tcMar>
          </w:tcPr>
          <w:p>
            <w:r>
              <w:rPr>
                <w:sz w:val="15"/>
              </w:rPr>
              <w:t>Change freight departure from 18:00 to 16:30</w:t>
            </w:r>
          </w:p>
        </w:tc>
        <w:tc>
          <w:tcPr>
            <w:tcW w:type="dxa" w:w="4320"/>
            <w:vAlign w:val="center"/>
            <w:tcMar>
              <w:top w:w="80" w:type="dxa"/>
              <w:start w:w="80" w:type="dxa"/>
              <w:bottom w:w="80" w:type="dxa"/>
              <w:end w:w="80" w:type="dxa"/>
            </w:tcMar>
          </w:tcPr>
          <w:p>
            <w:r>
              <w:rPr>
                <w:sz w:val="15"/>
              </w:rPr>
              <w:t>Warehouse plan is re-prioritized; impacted wave is flagged</w:t>
            </w:r>
          </w:p>
        </w:tc>
        <w:tc>
          <w:tcPr>
            <w:tcW w:type="dxa" w:w="2376"/>
            <w:vAlign w:val="center"/>
            <w:tcMar>
              <w:top w:w="80" w:type="dxa"/>
              <w:start w:w="80" w:type="dxa"/>
              <w:bottom w:w="80" w:type="dxa"/>
              <w:end w:w="80" w:type="dxa"/>
            </w:tcMar>
          </w:tcPr>
          <w:p>
            <w:r>
              <w:rPr>
                <w:sz w:val="15"/>
              </w:rPr>
              <w:t>Re-planning record</w:t>
            </w:r>
          </w:p>
        </w:tc>
      </w:tr>
      <w:tr>
        <w:tc>
          <w:tcPr>
            <w:tcW w:type="dxa" w:w="936"/>
            <w:vAlign w:val="center"/>
            <w:tcMar>
              <w:top w:w="80" w:type="dxa"/>
              <w:start w:w="80" w:type="dxa"/>
              <w:bottom w:w="80" w:type="dxa"/>
              <w:end w:w="80" w:type="dxa"/>
            </w:tcMar>
          </w:tcPr>
          <w:p>
            <w:r>
              <w:rPr>
                <w:sz w:val="15"/>
              </w:rPr>
              <w:t>T07</w:t>
            </w:r>
          </w:p>
        </w:tc>
        <w:tc>
          <w:tcPr>
            <w:tcW w:type="dxa" w:w="3312"/>
            <w:vAlign w:val="center"/>
            <w:tcMar>
              <w:top w:w="80" w:type="dxa"/>
              <w:start w:w="80" w:type="dxa"/>
              <w:bottom w:w="80" w:type="dxa"/>
              <w:end w:w="80" w:type="dxa"/>
            </w:tcMar>
          </w:tcPr>
          <w:p>
            <w:r>
              <w:rPr>
                <w:sz w:val="15"/>
              </w:rPr>
              <w:t>Incorrect door assignment</w:t>
            </w:r>
          </w:p>
        </w:tc>
        <w:tc>
          <w:tcPr>
            <w:tcW w:type="dxa" w:w="4320"/>
            <w:vAlign w:val="center"/>
            <w:tcMar>
              <w:top w:w="80" w:type="dxa"/>
              <w:start w:w="80" w:type="dxa"/>
              <w:bottom w:w="80" w:type="dxa"/>
              <w:end w:w="80" w:type="dxa"/>
            </w:tcMar>
          </w:tcPr>
          <w:p>
            <w:r>
              <w:rPr>
                <w:sz w:val="15"/>
              </w:rPr>
              <w:t>Mismatch detected before loading; door / staging corrected</w:t>
            </w:r>
          </w:p>
        </w:tc>
        <w:tc>
          <w:tcPr>
            <w:tcW w:type="dxa" w:w="2376"/>
            <w:vAlign w:val="center"/>
            <w:tcMar>
              <w:top w:w="80" w:type="dxa"/>
              <w:start w:w="80" w:type="dxa"/>
              <w:bottom w:w="80" w:type="dxa"/>
              <w:end w:w="80" w:type="dxa"/>
            </w:tcMar>
          </w:tcPr>
          <w:p>
            <w:r>
              <w:rPr>
                <w:sz w:val="15"/>
              </w:rPr>
              <w:t>Door assignment check</w:t>
            </w:r>
          </w:p>
        </w:tc>
      </w:tr>
      <w:tr>
        <w:tc>
          <w:tcPr>
            <w:tcW w:type="dxa" w:w="936"/>
            <w:vAlign w:val="center"/>
            <w:tcMar>
              <w:top w:w="80" w:type="dxa"/>
              <w:start w:w="80" w:type="dxa"/>
              <w:bottom w:w="80" w:type="dxa"/>
              <w:end w:w="80" w:type="dxa"/>
            </w:tcMar>
          </w:tcPr>
          <w:p>
            <w:r>
              <w:rPr>
                <w:sz w:val="15"/>
              </w:rPr>
              <w:t>T08</w:t>
            </w:r>
          </w:p>
        </w:tc>
        <w:tc>
          <w:tcPr>
            <w:tcW w:type="dxa" w:w="3312"/>
            <w:vAlign w:val="center"/>
            <w:tcMar>
              <w:top w:w="80" w:type="dxa"/>
              <w:start w:w="80" w:type="dxa"/>
              <w:bottom w:w="80" w:type="dxa"/>
              <w:end w:w="80" w:type="dxa"/>
            </w:tcMar>
          </w:tcPr>
          <w:p>
            <w:r>
              <w:rPr>
                <w:sz w:val="15"/>
              </w:rPr>
              <w:t>Quantity discrepancy at loading</w:t>
            </w:r>
          </w:p>
        </w:tc>
        <w:tc>
          <w:tcPr>
            <w:tcW w:type="dxa" w:w="4320"/>
            <w:vAlign w:val="center"/>
            <w:tcMar>
              <w:top w:w="80" w:type="dxa"/>
              <w:start w:w="80" w:type="dxa"/>
              <w:bottom w:w="80" w:type="dxa"/>
              <w:end w:w="80" w:type="dxa"/>
            </w:tcMar>
          </w:tcPr>
          <w:p>
            <w:r>
              <w:rPr>
                <w:sz w:val="15"/>
              </w:rPr>
              <w:t>Loading status captures variance; TM / ERP follow-up triggered</w:t>
            </w:r>
          </w:p>
        </w:tc>
        <w:tc>
          <w:tcPr>
            <w:tcW w:type="dxa" w:w="2376"/>
            <w:vAlign w:val="center"/>
            <w:tcMar>
              <w:top w:w="80" w:type="dxa"/>
              <w:start w:w="80" w:type="dxa"/>
              <w:bottom w:w="80" w:type="dxa"/>
              <w:end w:w="80" w:type="dxa"/>
            </w:tcMar>
          </w:tcPr>
          <w:p>
            <w:r>
              <w:rPr>
                <w:sz w:val="15"/>
              </w:rPr>
              <w:t>Discrepancy log</w:t>
            </w:r>
          </w:p>
        </w:tc>
      </w:tr>
      <w:tr>
        <w:tc>
          <w:tcPr>
            <w:tcW w:type="dxa" w:w="936"/>
            <w:vAlign w:val="center"/>
            <w:tcMar>
              <w:top w:w="80" w:type="dxa"/>
              <w:start w:w="80" w:type="dxa"/>
              <w:bottom w:w="80" w:type="dxa"/>
              <w:end w:w="80" w:type="dxa"/>
            </w:tcMar>
          </w:tcPr>
          <w:p>
            <w:r>
              <w:rPr>
                <w:sz w:val="15"/>
              </w:rPr>
              <w:t>T09</w:t>
            </w:r>
          </w:p>
        </w:tc>
        <w:tc>
          <w:tcPr>
            <w:tcW w:type="dxa" w:w="3312"/>
            <w:vAlign w:val="center"/>
            <w:tcMar>
              <w:top w:w="80" w:type="dxa"/>
              <w:start w:w="80" w:type="dxa"/>
              <w:bottom w:w="80" w:type="dxa"/>
              <w:end w:w="80" w:type="dxa"/>
            </w:tcMar>
          </w:tcPr>
          <w:p>
            <w:r>
              <w:rPr>
                <w:sz w:val="15"/>
              </w:rPr>
              <w:t>Vehicle arrives 120 min late</w:t>
            </w:r>
          </w:p>
        </w:tc>
        <w:tc>
          <w:tcPr>
            <w:tcW w:type="dxa" w:w="4320"/>
            <w:vAlign w:val="center"/>
            <w:tcMar>
              <w:top w:w="80" w:type="dxa"/>
              <w:start w:w="80" w:type="dxa"/>
              <w:bottom w:w="80" w:type="dxa"/>
              <w:end w:w="80" w:type="dxa"/>
            </w:tcMar>
          </w:tcPr>
          <w:p>
            <w:r>
              <w:rPr>
                <w:sz w:val="15"/>
              </w:rPr>
              <w:t>Dock slot / staging plan adjusted without route mixing</w:t>
            </w:r>
          </w:p>
        </w:tc>
        <w:tc>
          <w:tcPr>
            <w:tcW w:type="dxa" w:w="2376"/>
            <w:vAlign w:val="center"/>
            <w:tcMar>
              <w:top w:w="80" w:type="dxa"/>
              <w:start w:w="80" w:type="dxa"/>
              <w:bottom w:w="80" w:type="dxa"/>
              <w:end w:w="80" w:type="dxa"/>
            </w:tcMar>
          </w:tcPr>
          <w:p>
            <w:r>
              <w:rPr>
                <w:sz w:val="15"/>
              </w:rPr>
              <w:t>Appointment change record</w:t>
            </w:r>
          </w:p>
        </w:tc>
      </w:tr>
      <w:tr>
        <w:tc>
          <w:tcPr>
            <w:tcW w:type="dxa" w:w="936"/>
            <w:vAlign w:val="center"/>
            <w:tcMar>
              <w:top w:w="80" w:type="dxa"/>
              <w:start w:w="80" w:type="dxa"/>
              <w:bottom w:w="80" w:type="dxa"/>
              <w:end w:w="80" w:type="dxa"/>
            </w:tcMar>
          </w:tcPr>
          <w:p>
            <w:r>
              <w:rPr>
                <w:sz w:val="15"/>
              </w:rPr>
              <w:t>T10</w:t>
            </w:r>
          </w:p>
        </w:tc>
        <w:tc>
          <w:tcPr>
            <w:tcW w:type="dxa" w:w="3312"/>
            <w:vAlign w:val="center"/>
            <w:tcMar>
              <w:top w:w="80" w:type="dxa"/>
              <w:start w:w="80" w:type="dxa"/>
              <w:bottom w:w="80" w:type="dxa"/>
              <w:end w:w="80" w:type="dxa"/>
            </w:tcMar>
          </w:tcPr>
          <w:p>
            <w:r>
              <w:rPr>
                <w:sz w:val="15"/>
              </w:rPr>
              <w:t>Peak occupancy reaches 90%+</w:t>
            </w:r>
          </w:p>
        </w:tc>
        <w:tc>
          <w:tcPr>
            <w:tcW w:type="dxa" w:w="4320"/>
            <w:vAlign w:val="center"/>
            <w:tcMar>
              <w:top w:w="80" w:type="dxa"/>
              <w:start w:w="80" w:type="dxa"/>
              <w:bottom w:w="80" w:type="dxa"/>
              <w:end w:w="80" w:type="dxa"/>
            </w:tcMar>
          </w:tcPr>
          <w:p>
            <w:r>
              <w:rPr>
                <w:sz w:val="15"/>
              </w:rPr>
              <w:t>Escalation / inbound smoothing / outbound acceleration decision documented</w:t>
            </w:r>
          </w:p>
        </w:tc>
        <w:tc>
          <w:tcPr>
            <w:tcW w:type="dxa" w:w="2376"/>
            <w:vAlign w:val="center"/>
            <w:tcMar>
              <w:top w:w="80" w:type="dxa"/>
              <w:start w:w="80" w:type="dxa"/>
              <w:bottom w:w="80" w:type="dxa"/>
              <w:end w:w="80" w:type="dxa"/>
            </w:tcMar>
          </w:tcPr>
          <w:p>
            <w:r>
              <w:rPr>
                <w:sz w:val="15"/>
              </w:rPr>
              <w:t>Capacity dashboard / action log</w:t>
            </w:r>
          </w:p>
        </w:tc>
      </w:tr>
    </w:tbl>
    <w:p>
      <w:pPr>
        <w:spacing w:after="40"/>
      </w:pPr>
    </w:p>
    <w:p>
      <w:pPr>
        <w:pStyle w:val="Heading2"/>
      </w:pPr>
      <w:r>
        <w:t>9.1 Acceptance Approach</w:t>
      </w:r>
    </w:p>
    <w:p>
      <w:r>
        <w:t>The project would not be accepted simply because a transaction can be saved. Validation must show that the plan remains operationally feasible: truck capacity is respected, warehouse staging is not overloaded, the correct goods are loaded to the correct TU / freight order, status updates are consistent, and exceptions are visible before they become service failures.</w:t>
      </w:r>
    </w:p>
    <w:p>
      <w:r>
        <w:br w:type="page"/>
      </w:r>
    </w:p>
    <w:p>
      <w:pPr>
        <w:pStyle w:val="Heading1"/>
      </w:pPr>
      <w:r>
        <w:t>10. Governance, Ownership and Controls</w:t>
      </w:r>
    </w:p>
    <w:tbl>
      <w:tblPr>
        <w:tblStyle w:val="TableGrid"/>
        <w:tblW w:type="auto" w:w="0"/>
        <w:jc w:val="center"/>
        <w:tblLook w:firstColumn="1" w:firstRow="1" w:lastColumn="0" w:lastRow="0" w:noHBand="0" w:noVBand="1" w:val="04A0"/>
      </w:tblPr>
      <w:tblGrid>
        <w:gridCol w:w="2488"/>
        <w:gridCol w:w="2488"/>
        <w:gridCol w:w="2488"/>
        <w:gridCol w:w="2488"/>
      </w:tblGrid>
      <w:tr>
        <w:trPr>
          <w:tblHeader w:val="true"/>
        </w:trPr>
        <w:tc>
          <w:tcPr>
            <w:tcW w:type="dxa" w:w="3024"/>
            <w:shd w:fill="D9EAF7"/>
            <w:vAlign w:val="center"/>
            <w:tcMar>
              <w:top w:w="80" w:type="dxa"/>
              <w:start w:w="80" w:type="dxa"/>
              <w:bottom w:w="80" w:type="dxa"/>
              <w:end w:w="80" w:type="dxa"/>
            </w:tcMar>
          </w:tcPr>
          <w:p>
            <w:r>
              <w:rPr>
                <w:b/>
                <w:sz w:val="15"/>
              </w:rPr>
              <w:t>Activity / data</w:t>
            </w:r>
          </w:p>
        </w:tc>
        <w:tc>
          <w:tcPr>
            <w:tcW w:type="dxa" w:w="2232"/>
            <w:shd w:fill="D9EAF7"/>
            <w:vAlign w:val="center"/>
            <w:tcMar>
              <w:top w:w="80" w:type="dxa"/>
              <w:start w:w="80" w:type="dxa"/>
              <w:bottom w:w="80" w:type="dxa"/>
              <w:end w:w="80" w:type="dxa"/>
            </w:tcMar>
          </w:tcPr>
          <w:p>
            <w:r>
              <w:rPr>
                <w:b/>
                <w:sz w:val="15"/>
              </w:rPr>
              <w:t>Primary owner</w:t>
            </w:r>
          </w:p>
        </w:tc>
        <w:tc>
          <w:tcPr>
            <w:tcW w:type="dxa" w:w="1800"/>
            <w:shd w:fill="D9EAF7"/>
            <w:vAlign w:val="center"/>
            <w:tcMar>
              <w:top w:w="80" w:type="dxa"/>
              <w:start w:w="80" w:type="dxa"/>
              <w:bottom w:w="80" w:type="dxa"/>
              <w:end w:w="80" w:type="dxa"/>
            </w:tcMar>
          </w:tcPr>
          <w:p>
            <w:r>
              <w:rPr>
                <w:b/>
                <w:sz w:val="15"/>
              </w:rPr>
              <w:t>Frequency</w:t>
            </w:r>
          </w:p>
        </w:tc>
        <w:tc>
          <w:tcPr>
            <w:tcW w:type="dxa" w:w="3960"/>
            <w:shd w:fill="D9EAF7"/>
            <w:vAlign w:val="center"/>
            <w:tcMar>
              <w:top w:w="80" w:type="dxa"/>
              <w:start w:w="80" w:type="dxa"/>
              <w:bottom w:w="80" w:type="dxa"/>
              <w:end w:w="80" w:type="dxa"/>
            </w:tcMar>
          </w:tcPr>
          <w:p>
            <w:r>
              <w:rPr>
                <w:b/>
                <w:sz w:val="15"/>
              </w:rPr>
              <w:t>Control / approval</w:t>
            </w:r>
          </w:p>
        </w:tc>
      </w:tr>
      <w:tr>
        <w:tc>
          <w:tcPr>
            <w:tcW w:type="dxa" w:w="3024"/>
            <w:vAlign w:val="center"/>
            <w:tcMar>
              <w:top w:w="80" w:type="dxa"/>
              <w:start w:w="80" w:type="dxa"/>
              <w:bottom w:w="80" w:type="dxa"/>
              <w:end w:w="80" w:type="dxa"/>
            </w:tcMar>
          </w:tcPr>
          <w:p>
            <w:r>
              <w:rPr>
                <w:sz w:val="15"/>
              </w:rPr>
              <w:t>Transportation lanes, transit times, mode eligibility</w:t>
            </w:r>
          </w:p>
        </w:tc>
        <w:tc>
          <w:tcPr>
            <w:tcW w:type="dxa" w:w="2232"/>
            <w:vAlign w:val="center"/>
            <w:tcMar>
              <w:top w:w="80" w:type="dxa"/>
              <w:start w:w="80" w:type="dxa"/>
              <w:bottom w:w="80" w:type="dxa"/>
              <w:end w:w="80" w:type="dxa"/>
            </w:tcMar>
          </w:tcPr>
          <w:p>
            <w:r>
              <w:rPr>
                <w:sz w:val="15"/>
              </w:rPr>
              <w:t>Transport planner</w:t>
            </w:r>
          </w:p>
        </w:tc>
        <w:tc>
          <w:tcPr>
            <w:tcW w:type="dxa" w:w="1800"/>
            <w:vAlign w:val="center"/>
            <w:tcMar>
              <w:top w:w="80" w:type="dxa"/>
              <w:start w:w="80" w:type="dxa"/>
              <w:bottom w:w="80" w:type="dxa"/>
              <w:end w:w="80" w:type="dxa"/>
            </w:tcMar>
          </w:tcPr>
          <w:p>
            <w:r>
              <w:rPr>
                <w:sz w:val="15"/>
              </w:rPr>
              <w:t>Monthly / change event</w:t>
            </w:r>
          </w:p>
        </w:tc>
        <w:tc>
          <w:tcPr>
            <w:tcW w:type="dxa" w:w="3960"/>
            <w:vAlign w:val="center"/>
            <w:tcMar>
              <w:top w:w="80" w:type="dxa"/>
              <w:start w:w="80" w:type="dxa"/>
              <w:bottom w:w="80" w:type="dxa"/>
              <w:end w:w="80" w:type="dxa"/>
            </w:tcMar>
          </w:tcPr>
          <w:p>
            <w:r>
              <w:rPr>
                <w:sz w:val="15"/>
              </w:rPr>
              <w:t>Planner review + logistics manager approval</w:t>
            </w:r>
          </w:p>
        </w:tc>
      </w:tr>
      <w:tr>
        <w:tc>
          <w:tcPr>
            <w:tcW w:type="dxa" w:w="3024"/>
            <w:vAlign w:val="center"/>
            <w:tcMar>
              <w:top w:w="80" w:type="dxa"/>
              <w:start w:w="80" w:type="dxa"/>
              <w:bottom w:w="80" w:type="dxa"/>
              <w:end w:w="80" w:type="dxa"/>
            </w:tcMar>
          </w:tcPr>
          <w:p>
            <w:r>
              <w:rPr>
                <w:sz w:val="15"/>
              </w:rPr>
              <w:t>Carrier / resource capacity</w:t>
            </w:r>
          </w:p>
        </w:tc>
        <w:tc>
          <w:tcPr>
            <w:tcW w:type="dxa" w:w="2232"/>
            <w:vAlign w:val="center"/>
            <w:tcMar>
              <w:top w:w="80" w:type="dxa"/>
              <w:start w:w="80" w:type="dxa"/>
              <w:bottom w:w="80" w:type="dxa"/>
              <w:end w:w="80" w:type="dxa"/>
            </w:tcMar>
          </w:tcPr>
          <w:p>
            <w:r>
              <w:rPr>
                <w:sz w:val="15"/>
              </w:rPr>
              <w:t>Transport planner / carrier manager</w:t>
            </w:r>
          </w:p>
        </w:tc>
        <w:tc>
          <w:tcPr>
            <w:tcW w:type="dxa" w:w="1800"/>
            <w:vAlign w:val="center"/>
            <w:tcMar>
              <w:top w:w="80" w:type="dxa"/>
              <w:start w:w="80" w:type="dxa"/>
              <w:bottom w:w="80" w:type="dxa"/>
              <w:end w:w="80" w:type="dxa"/>
            </w:tcMar>
          </w:tcPr>
          <w:p>
            <w:r>
              <w:rPr>
                <w:sz w:val="15"/>
              </w:rPr>
              <w:t>Weekly</w:t>
            </w:r>
          </w:p>
        </w:tc>
        <w:tc>
          <w:tcPr>
            <w:tcW w:type="dxa" w:w="3960"/>
            <w:vAlign w:val="center"/>
            <w:tcMar>
              <w:top w:w="80" w:type="dxa"/>
              <w:start w:w="80" w:type="dxa"/>
              <w:bottom w:w="80" w:type="dxa"/>
              <w:end w:w="80" w:type="dxa"/>
            </w:tcMar>
          </w:tcPr>
          <w:p>
            <w:r>
              <w:rPr>
                <w:sz w:val="15"/>
              </w:rPr>
              <w:t>Capacity confirmation before planning horizon</w:t>
            </w:r>
          </w:p>
        </w:tc>
      </w:tr>
      <w:tr>
        <w:tc>
          <w:tcPr>
            <w:tcW w:type="dxa" w:w="3024"/>
            <w:vAlign w:val="center"/>
            <w:tcMar>
              <w:top w:w="80" w:type="dxa"/>
              <w:start w:w="80" w:type="dxa"/>
              <w:bottom w:w="80" w:type="dxa"/>
              <w:end w:w="80" w:type="dxa"/>
            </w:tcMar>
          </w:tcPr>
          <w:p>
            <w:r>
              <w:rPr>
                <w:sz w:val="15"/>
              </w:rPr>
              <w:t>Product weight / dimensions</w:t>
            </w:r>
          </w:p>
        </w:tc>
        <w:tc>
          <w:tcPr>
            <w:tcW w:type="dxa" w:w="2232"/>
            <w:vAlign w:val="center"/>
            <w:tcMar>
              <w:top w:w="80" w:type="dxa"/>
              <w:start w:w="80" w:type="dxa"/>
              <w:bottom w:w="80" w:type="dxa"/>
              <w:end w:w="80" w:type="dxa"/>
            </w:tcMar>
          </w:tcPr>
          <w:p>
            <w:r>
              <w:rPr>
                <w:sz w:val="15"/>
              </w:rPr>
              <w:t>Master-data owner</w:t>
            </w:r>
          </w:p>
        </w:tc>
        <w:tc>
          <w:tcPr>
            <w:tcW w:type="dxa" w:w="1800"/>
            <w:vAlign w:val="center"/>
            <w:tcMar>
              <w:top w:w="80" w:type="dxa"/>
              <w:start w:w="80" w:type="dxa"/>
              <w:bottom w:w="80" w:type="dxa"/>
              <w:end w:w="80" w:type="dxa"/>
            </w:tcMar>
          </w:tcPr>
          <w:p>
            <w:r>
              <w:rPr>
                <w:sz w:val="15"/>
              </w:rPr>
              <w:t>On change</w:t>
            </w:r>
          </w:p>
        </w:tc>
        <w:tc>
          <w:tcPr>
            <w:tcW w:type="dxa" w:w="3960"/>
            <w:vAlign w:val="center"/>
            <w:tcMar>
              <w:top w:w="80" w:type="dxa"/>
              <w:start w:w="80" w:type="dxa"/>
              <w:bottom w:w="80" w:type="dxa"/>
              <w:end w:w="80" w:type="dxa"/>
            </w:tcMar>
          </w:tcPr>
          <w:p>
            <w:r>
              <w:rPr>
                <w:sz w:val="15"/>
              </w:rPr>
              <w:t>Dual review against packaging specification</w:t>
            </w:r>
          </w:p>
        </w:tc>
      </w:tr>
      <w:tr>
        <w:tc>
          <w:tcPr>
            <w:tcW w:type="dxa" w:w="3024"/>
            <w:vAlign w:val="center"/>
            <w:tcMar>
              <w:top w:w="80" w:type="dxa"/>
              <w:start w:w="80" w:type="dxa"/>
              <w:bottom w:w="80" w:type="dxa"/>
              <w:end w:w="80" w:type="dxa"/>
            </w:tcMar>
          </w:tcPr>
          <w:p>
            <w:r>
              <w:rPr>
                <w:sz w:val="15"/>
              </w:rPr>
              <w:t>Door / staging assignment</w:t>
            </w:r>
          </w:p>
        </w:tc>
        <w:tc>
          <w:tcPr>
            <w:tcW w:type="dxa" w:w="2232"/>
            <w:vAlign w:val="center"/>
            <w:tcMar>
              <w:top w:w="80" w:type="dxa"/>
              <w:start w:w="80" w:type="dxa"/>
              <w:bottom w:w="80" w:type="dxa"/>
              <w:end w:w="80" w:type="dxa"/>
            </w:tcMar>
          </w:tcPr>
          <w:p>
            <w:r>
              <w:rPr>
                <w:sz w:val="15"/>
              </w:rPr>
              <w:t>Warehouse supervisor</w:t>
            </w:r>
          </w:p>
        </w:tc>
        <w:tc>
          <w:tcPr>
            <w:tcW w:type="dxa" w:w="1800"/>
            <w:vAlign w:val="center"/>
            <w:tcMar>
              <w:top w:w="80" w:type="dxa"/>
              <w:start w:w="80" w:type="dxa"/>
              <w:bottom w:w="80" w:type="dxa"/>
              <w:end w:w="80" w:type="dxa"/>
            </w:tcMar>
          </w:tcPr>
          <w:p>
            <w:r>
              <w:rPr>
                <w:sz w:val="15"/>
              </w:rPr>
              <w:t>Daily</w:t>
            </w:r>
          </w:p>
        </w:tc>
        <w:tc>
          <w:tcPr>
            <w:tcW w:type="dxa" w:w="3960"/>
            <w:vAlign w:val="center"/>
            <w:tcMar>
              <w:top w:w="80" w:type="dxa"/>
              <w:start w:w="80" w:type="dxa"/>
              <w:bottom w:w="80" w:type="dxa"/>
              <w:end w:w="80" w:type="dxa"/>
            </w:tcMar>
          </w:tcPr>
          <w:p>
            <w:r>
              <w:rPr>
                <w:sz w:val="15"/>
              </w:rPr>
              <w:t>Appointment and route board check</w:t>
            </w:r>
          </w:p>
        </w:tc>
      </w:tr>
      <w:tr>
        <w:tc>
          <w:tcPr>
            <w:tcW w:type="dxa" w:w="3024"/>
            <w:vAlign w:val="center"/>
            <w:tcMar>
              <w:top w:w="80" w:type="dxa"/>
              <w:start w:w="80" w:type="dxa"/>
              <w:bottom w:w="80" w:type="dxa"/>
              <w:end w:w="80" w:type="dxa"/>
            </w:tcMar>
          </w:tcPr>
          <w:p>
            <w:r>
              <w:rPr>
                <w:sz w:val="15"/>
              </w:rPr>
              <w:t>Wave template / release timing</w:t>
            </w:r>
          </w:p>
        </w:tc>
        <w:tc>
          <w:tcPr>
            <w:tcW w:type="dxa" w:w="2232"/>
            <w:vAlign w:val="center"/>
            <w:tcMar>
              <w:top w:w="80" w:type="dxa"/>
              <w:start w:w="80" w:type="dxa"/>
              <w:bottom w:w="80" w:type="dxa"/>
              <w:end w:w="80" w:type="dxa"/>
            </w:tcMar>
          </w:tcPr>
          <w:p>
            <w:r>
              <w:rPr>
                <w:sz w:val="15"/>
              </w:rPr>
              <w:t>Warehouse planning lead</w:t>
            </w:r>
          </w:p>
        </w:tc>
        <w:tc>
          <w:tcPr>
            <w:tcW w:type="dxa" w:w="1800"/>
            <w:vAlign w:val="center"/>
            <w:tcMar>
              <w:top w:w="80" w:type="dxa"/>
              <w:start w:w="80" w:type="dxa"/>
              <w:bottom w:w="80" w:type="dxa"/>
              <w:end w:w="80" w:type="dxa"/>
            </w:tcMar>
          </w:tcPr>
          <w:p>
            <w:r>
              <w:rPr>
                <w:sz w:val="15"/>
              </w:rPr>
              <w:t>Quarterly + peak review</w:t>
            </w:r>
          </w:p>
        </w:tc>
        <w:tc>
          <w:tcPr>
            <w:tcW w:type="dxa" w:w="3960"/>
            <w:vAlign w:val="center"/>
            <w:tcMar>
              <w:top w:w="80" w:type="dxa"/>
              <w:start w:w="80" w:type="dxa"/>
              <w:bottom w:w="80" w:type="dxa"/>
              <w:end w:w="80" w:type="dxa"/>
            </w:tcMar>
          </w:tcPr>
          <w:p>
            <w:r>
              <w:rPr>
                <w:sz w:val="15"/>
              </w:rPr>
              <w:t>Pilot before production use</w:t>
            </w:r>
          </w:p>
        </w:tc>
      </w:tr>
      <w:tr>
        <w:tc>
          <w:tcPr>
            <w:tcW w:type="dxa" w:w="3024"/>
            <w:vAlign w:val="center"/>
            <w:tcMar>
              <w:top w:w="80" w:type="dxa"/>
              <w:start w:w="80" w:type="dxa"/>
              <w:bottom w:w="80" w:type="dxa"/>
              <w:end w:w="80" w:type="dxa"/>
            </w:tcMar>
          </w:tcPr>
          <w:p>
            <w:r>
              <w:rPr>
                <w:sz w:val="15"/>
              </w:rPr>
              <w:t>Putaway / stock-removal strategy</w:t>
            </w:r>
          </w:p>
        </w:tc>
        <w:tc>
          <w:tcPr>
            <w:tcW w:type="dxa" w:w="2232"/>
            <w:vAlign w:val="center"/>
            <w:tcMar>
              <w:top w:w="80" w:type="dxa"/>
              <w:start w:w="80" w:type="dxa"/>
              <w:bottom w:w="80" w:type="dxa"/>
              <w:end w:w="80" w:type="dxa"/>
            </w:tcMar>
          </w:tcPr>
          <w:p>
            <w:r>
              <w:rPr>
                <w:sz w:val="15"/>
              </w:rPr>
              <w:t>EWM process owner</w:t>
            </w:r>
          </w:p>
        </w:tc>
        <w:tc>
          <w:tcPr>
            <w:tcW w:type="dxa" w:w="1800"/>
            <w:vAlign w:val="center"/>
            <w:tcMar>
              <w:top w:w="80" w:type="dxa"/>
              <w:start w:w="80" w:type="dxa"/>
              <w:bottom w:w="80" w:type="dxa"/>
              <w:end w:w="80" w:type="dxa"/>
            </w:tcMar>
          </w:tcPr>
          <w:p>
            <w:r>
              <w:rPr>
                <w:sz w:val="15"/>
              </w:rPr>
              <w:t>Quarterly</w:t>
            </w:r>
          </w:p>
        </w:tc>
        <w:tc>
          <w:tcPr>
            <w:tcW w:type="dxa" w:w="3960"/>
            <w:vAlign w:val="center"/>
            <w:tcMar>
              <w:top w:w="80" w:type="dxa"/>
              <w:start w:w="80" w:type="dxa"/>
              <w:bottom w:w="80" w:type="dxa"/>
              <w:end w:w="80" w:type="dxa"/>
            </w:tcMar>
          </w:tcPr>
          <w:p>
            <w:r>
              <w:rPr>
                <w:sz w:val="15"/>
              </w:rPr>
              <w:t>Exception-rate and travel analysis</w:t>
            </w:r>
          </w:p>
        </w:tc>
      </w:tr>
      <w:tr>
        <w:tc>
          <w:tcPr>
            <w:tcW w:type="dxa" w:w="3024"/>
            <w:vAlign w:val="center"/>
            <w:tcMar>
              <w:top w:w="80" w:type="dxa"/>
              <w:start w:w="80" w:type="dxa"/>
              <w:bottom w:w="80" w:type="dxa"/>
              <w:end w:w="80" w:type="dxa"/>
            </w:tcMar>
          </w:tcPr>
          <w:p>
            <w:r>
              <w:rPr>
                <w:sz w:val="15"/>
              </w:rPr>
              <w:t>Freight cost / rate assumptions</w:t>
            </w:r>
          </w:p>
        </w:tc>
        <w:tc>
          <w:tcPr>
            <w:tcW w:type="dxa" w:w="2232"/>
            <w:vAlign w:val="center"/>
            <w:tcMar>
              <w:top w:w="80" w:type="dxa"/>
              <w:start w:w="80" w:type="dxa"/>
              <w:bottom w:w="80" w:type="dxa"/>
              <w:end w:w="80" w:type="dxa"/>
            </w:tcMar>
          </w:tcPr>
          <w:p>
            <w:r>
              <w:rPr>
                <w:sz w:val="15"/>
              </w:rPr>
              <w:t>Logistics finance / procurement</w:t>
            </w:r>
          </w:p>
        </w:tc>
        <w:tc>
          <w:tcPr>
            <w:tcW w:type="dxa" w:w="1800"/>
            <w:vAlign w:val="center"/>
            <w:tcMar>
              <w:top w:w="80" w:type="dxa"/>
              <w:start w:w="80" w:type="dxa"/>
              <w:bottom w:w="80" w:type="dxa"/>
              <w:end w:w="80" w:type="dxa"/>
            </w:tcMar>
          </w:tcPr>
          <w:p>
            <w:r>
              <w:rPr>
                <w:sz w:val="15"/>
              </w:rPr>
              <w:t>Contract cycle</w:t>
            </w:r>
          </w:p>
        </w:tc>
        <w:tc>
          <w:tcPr>
            <w:tcW w:type="dxa" w:w="3960"/>
            <w:vAlign w:val="center"/>
            <w:tcMar>
              <w:top w:w="80" w:type="dxa"/>
              <w:start w:w="80" w:type="dxa"/>
              <w:bottom w:w="80" w:type="dxa"/>
              <w:end w:w="80" w:type="dxa"/>
            </w:tcMar>
          </w:tcPr>
          <w:p>
            <w:r>
              <w:rPr>
                <w:sz w:val="15"/>
              </w:rPr>
              <w:t>Rate-card approval</w:t>
            </w:r>
          </w:p>
        </w:tc>
      </w:tr>
      <w:tr>
        <w:tc>
          <w:tcPr>
            <w:tcW w:type="dxa" w:w="3024"/>
            <w:vAlign w:val="center"/>
            <w:tcMar>
              <w:top w:w="80" w:type="dxa"/>
              <w:start w:w="80" w:type="dxa"/>
              <w:bottom w:w="80" w:type="dxa"/>
              <w:end w:w="80" w:type="dxa"/>
            </w:tcMar>
          </w:tcPr>
          <w:p>
            <w:r>
              <w:rPr>
                <w:sz w:val="15"/>
              </w:rPr>
              <w:t>TM-EWM interface monitoring</w:t>
            </w:r>
          </w:p>
        </w:tc>
        <w:tc>
          <w:tcPr>
            <w:tcW w:type="dxa" w:w="2232"/>
            <w:vAlign w:val="center"/>
            <w:tcMar>
              <w:top w:w="80" w:type="dxa"/>
              <w:start w:w="80" w:type="dxa"/>
              <w:bottom w:w="80" w:type="dxa"/>
              <w:end w:w="80" w:type="dxa"/>
            </w:tcMar>
          </w:tcPr>
          <w:p>
            <w:r>
              <w:rPr>
                <w:sz w:val="15"/>
              </w:rPr>
              <w:t>IT integration support</w:t>
            </w:r>
          </w:p>
        </w:tc>
        <w:tc>
          <w:tcPr>
            <w:tcW w:type="dxa" w:w="1800"/>
            <w:vAlign w:val="center"/>
            <w:tcMar>
              <w:top w:w="80" w:type="dxa"/>
              <w:start w:w="80" w:type="dxa"/>
              <w:bottom w:w="80" w:type="dxa"/>
              <w:end w:w="80" w:type="dxa"/>
            </w:tcMar>
          </w:tcPr>
          <w:p>
            <w:r>
              <w:rPr>
                <w:sz w:val="15"/>
              </w:rPr>
              <w:t>Daily</w:t>
            </w:r>
          </w:p>
        </w:tc>
        <w:tc>
          <w:tcPr>
            <w:tcW w:type="dxa" w:w="3960"/>
            <w:vAlign w:val="center"/>
            <w:tcMar>
              <w:top w:w="80" w:type="dxa"/>
              <w:start w:w="80" w:type="dxa"/>
              <w:bottom w:w="80" w:type="dxa"/>
              <w:end w:w="80" w:type="dxa"/>
            </w:tcMar>
          </w:tcPr>
          <w:p>
            <w:r>
              <w:rPr>
                <w:sz w:val="15"/>
              </w:rPr>
              <w:t>Failed-message queue / status reconciliation</w:t>
            </w:r>
          </w:p>
        </w:tc>
      </w:tr>
      <w:tr>
        <w:tc>
          <w:tcPr>
            <w:tcW w:type="dxa" w:w="3024"/>
            <w:vAlign w:val="center"/>
            <w:tcMar>
              <w:top w:w="80" w:type="dxa"/>
              <w:start w:w="80" w:type="dxa"/>
              <w:bottom w:w="80" w:type="dxa"/>
              <w:end w:w="80" w:type="dxa"/>
            </w:tcMar>
          </w:tcPr>
          <w:p>
            <w:r>
              <w:rPr>
                <w:sz w:val="15"/>
              </w:rPr>
              <w:t>KPI review</w:t>
            </w:r>
          </w:p>
        </w:tc>
        <w:tc>
          <w:tcPr>
            <w:tcW w:type="dxa" w:w="2232"/>
            <w:vAlign w:val="center"/>
            <w:tcMar>
              <w:top w:w="80" w:type="dxa"/>
              <w:start w:w="80" w:type="dxa"/>
              <w:bottom w:w="80" w:type="dxa"/>
              <w:end w:w="80" w:type="dxa"/>
            </w:tcMar>
          </w:tcPr>
          <w:p>
            <w:r>
              <w:rPr>
                <w:sz w:val="15"/>
              </w:rPr>
              <w:t>SCM manager</w:t>
            </w:r>
          </w:p>
        </w:tc>
        <w:tc>
          <w:tcPr>
            <w:tcW w:type="dxa" w:w="1800"/>
            <w:vAlign w:val="center"/>
            <w:tcMar>
              <w:top w:w="80" w:type="dxa"/>
              <w:start w:w="80" w:type="dxa"/>
              <w:bottom w:w="80" w:type="dxa"/>
              <w:end w:w="80" w:type="dxa"/>
            </w:tcMar>
          </w:tcPr>
          <w:p>
            <w:r>
              <w:rPr>
                <w:sz w:val="15"/>
              </w:rPr>
              <w:t>Weekly / monthly</w:t>
            </w:r>
          </w:p>
        </w:tc>
        <w:tc>
          <w:tcPr>
            <w:tcW w:type="dxa" w:w="3960"/>
            <w:vAlign w:val="center"/>
            <w:tcMar>
              <w:top w:w="80" w:type="dxa"/>
              <w:start w:w="80" w:type="dxa"/>
              <w:bottom w:w="80" w:type="dxa"/>
              <w:end w:w="80" w:type="dxa"/>
            </w:tcMar>
          </w:tcPr>
          <w:p>
            <w:r>
              <w:rPr>
                <w:sz w:val="15"/>
              </w:rPr>
              <w:t>Root-cause action log and owner / due date</w:t>
            </w:r>
          </w:p>
        </w:tc>
      </w:tr>
    </w:tbl>
    <w:p>
      <w:pPr>
        <w:spacing w:after="40"/>
      </w:pPr>
    </w:p>
    <w:p>
      <w:pPr>
        <w:pStyle w:val="Heading2"/>
      </w:pPr>
      <w:r>
        <w:t>10.1 Change-Control Rules</w:t>
      </w:r>
    </w:p>
    <w:p>
      <w:pPr>
        <w:pStyle w:val="ListBullet"/>
      </w:pPr>
      <w:r>
        <w:t>No master-data change to truck capacity, product weight, door, staging area or route should be made without an owner and effective date.</w:t>
      </w:r>
    </w:p>
    <w:p>
      <w:pPr>
        <w:pStyle w:val="ListBullet"/>
      </w:pPr>
      <w:r>
        <w:t>Peak-season changes must be tested using a representative high-volume scenario before release.</w:t>
      </w:r>
    </w:p>
    <w:p>
      <w:pPr>
        <w:pStyle w:val="ListBullet"/>
      </w:pPr>
      <w:r>
        <w:t>Critical integration failures must have a manual fallback process and reconciliation step.</w:t>
      </w:r>
    </w:p>
    <w:p>
      <w:pPr>
        <w:pStyle w:val="ListBullet"/>
      </w:pPr>
      <w:r>
        <w:t>KPI deterioration for two consecutive review periods should trigger root-cause analysis rather than repeated parameter adjustment without evidence.</w:t>
      </w:r>
    </w:p>
    <w:p>
      <w:r>
        <w:br w:type="page"/>
      </w:r>
    </w:p>
    <w:p>
      <w:pPr>
        <w:pStyle w:val="Heading1"/>
      </w:pPr>
      <w:r>
        <w:t>11. Risk and Contingency Analysis</w:t>
      </w:r>
    </w:p>
    <w:tbl>
      <w:tblPr>
        <w:tblStyle w:val="TableGrid"/>
        <w:tblW w:type="auto" w:w="0"/>
        <w:jc w:val="center"/>
        <w:tblLook w:firstColumn="1" w:firstRow="1" w:lastColumn="0" w:lastRow="0" w:noHBand="0" w:noVBand="1" w:val="04A0"/>
      </w:tblPr>
      <w:tblGrid>
        <w:gridCol w:w="1990"/>
        <w:gridCol w:w="1990"/>
        <w:gridCol w:w="1990"/>
        <w:gridCol w:w="1990"/>
        <w:gridCol w:w="1990"/>
      </w:tblGrid>
      <w:tr>
        <w:trPr>
          <w:tblHeader w:val="true"/>
        </w:trPr>
        <w:tc>
          <w:tcPr>
            <w:tcW w:type="dxa" w:w="2088"/>
            <w:shd w:fill="D9EAF7"/>
            <w:vAlign w:val="center"/>
            <w:tcMar>
              <w:top w:w="80" w:type="dxa"/>
              <w:start w:w="80" w:type="dxa"/>
              <w:bottom w:w="80" w:type="dxa"/>
              <w:end w:w="80" w:type="dxa"/>
            </w:tcMar>
          </w:tcPr>
          <w:p>
            <w:r>
              <w:rPr>
                <w:b/>
                <w:sz w:val="14"/>
              </w:rPr>
              <w:t>Risk</w:t>
            </w:r>
          </w:p>
        </w:tc>
        <w:tc>
          <w:tcPr>
            <w:tcW w:type="dxa" w:w="1152"/>
            <w:shd w:fill="D9EAF7"/>
            <w:vAlign w:val="center"/>
            <w:tcMar>
              <w:top w:w="80" w:type="dxa"/>
              <w:start w:w="80" w:type="dxa"/>
              <w:bottom w:w="80" w:type="dxa"/>
              <w:end w:w="80" w:type="dxa"/>
            </w:tcMar>
          </w:tcPr>
          <w:p>
            <w:r>
              <w:rPr>
                <w:b/>
                <w:sz w:val="14"/>
              </w:rPr>
              <w:t>Likelihood</w:t>
            </w:r>
          </w:p>
        </w:tc>
        <w:tc>
          <w:tcPr>
            <w:tcW w:type="dxa" w:w="1080"/>
            <w:shd w:fill="D9EAF7"/>
            <w:vAlign w:val="center"/>
            <w:tcMar>
              <w:top w:w="80" w:type="dxa"/>
              <w:start w:w="80" w:type="dxa"/>
              <w:bottom w:w="80" w:type="dxa"/>
              <w:end w:w="80" w:type="dxa"/>
            </w:tcMar>
          </w:tcPr>
          <w:p>
            <w:r>
              <w:rPr>
                <w:b/>
                <w:sz w:val="14"/>
              </w:rPr>
              <w:t>Impact</w:t>
            </w:r>
          </w:p>
        </w:tc>
        <w:tc>
          <w:tcPr>
            <w:tcW w:type="dxa" w:w="2376"/>
            <w:shd w:fill="D9EAF7"/>
            <w:vAlign w:val="center"/>
            <w:tcMar>
              <w:top w:w="80" w:type="dxa"/>
              <w:start w:w="80" w:type="dxa"/>
              <w:bottom w:w="80" w:type="dxa"/>
              <w:end w:w="80" w:type="dxa"/>
            </w:tcMar>
          </w:tcPr>
          <w:p>
            <w:r>
              <w:rPr>
                <w:b/>
                <w:sz w:val="14"/>
              </w:rPr>
              <w:t>Early indicator</w:t>
            </w:r>
          </w:p>
        </w:tc>
        <w:tc>
          <w:tcPr>
            <w:tcW w:type="dxa" w:w="4320"/>
            <w:shd w:fill="D9EAF7"/>
            <w:vAlign w:val="center"/>
            <w:tcMar>
              <w:top w:w="80" w:type="dxa"/>
              <w:start w:w="80" w:type="dxa"/>
              <w:bottom w:w="80" w:type="dxa"/>
              <w:end w:w="80" w:type="dxa"/>
            </w:tcMar>
          </w:tcPr>
          <w:p>
            <w:r>
              <w:rPr>
                <w:b/>
                <w:sz w:val="14"/>
              </w:rPr>
              <w:t>Contingency / mitigation</w:t>
            </w:r>
          </w:p>
        </w:tc>
      </w:tr>
      <w:tr>
        <w:tc>
          <w:tcPr>
            <w:tcW w:type="dxa" w:w="2088"/>
            <w:vAlign w:val="center"/>
            <w:tcMar>
              <w:top w:w="80" w:type="dxa"/>
              <w:start w:w="80" w:type="dxa"/>
              <w:bottom w:w="80" w:type="dxa"/>
              <w:end w:w="80" w:type="dxa"/>
            </w:tcMar>
          </w:tcPr>
          <w:p>
            <w:r>
              <w:rPr>
                <w:sz w:val="14"/>
              </w:rPr>
              <w:t>Carrier no-show / vehicle breakdown</w:t>
            </w:r>
          </w:p>
        </w:tc>
        <w:tc>
          <w:tcPr>
            <w:tcW w:type="dxa" w:w="1152"/>
            <w:vAlign w:val="center"/>
            <w:tcMar>
              <w:top w:w="80" w:type="dxa"/>
              <w:start w:w="80" w:type="dxa"/>
              <w:bottom w:w="80" w:type="dxa"/>
              <w:end w:w="80" w:type="dxa"/>
            </w:tcMar>
          </w:tcPr>
          <w:p>
            <w:r>
              <w:rPr>
                <w:sz w:val="14"/>
              </w:rPr>
              <w:t>Medium</w:t>
            </w:r>
          </w:p>
        </w:tc>
        <w:tc>
          <w:tcPr>
            <w:tcW w:type="dxa" w:w="1080"/>
            <w:vAlign w:val="center"/>
            <w:tcMar>
              <w:top w:w="80" w:type="dxa"/>
              <w:start w:w="80" w:type="dxa"/>
              <w:bottom w:w="80" w:type="dxa"/>
              <w:end w:w="80" w:type="dxa"/>
            </w:tcMar>
          </w:tcPr>
          <w:p>
            <w:r>
              <w:rPr>
                <w:sz w:val="14"/>
              </w:rPr>
              <w:t>High</w:t>
            </w:r>
          </w:p>
        </w:tc>
        <w:tc>
          <w:tcPr>
            <w:tcW w:type="dxa" w:w="2376"/>
            <w:vAlign w:val="center"/>
            <w:tcMar>
              <w:top w:w="80" w:type="dxa"/>
              <w:start w:w="80" w:type="dxa"/>
              <w:bottom w:w="80" w:type="dxa"/>
              <w:end w:w="80" w:type="dxa"/>
            </w:tcMar>
          </w:tcPr>
          <w:p>
            <w:r>
              <w:rPr>
                <w:sz w:val="14"/>
              </w:rPr>
              <w:t>No GPS / appointment confirmation</w:t>
            </w:r>
          </w:p>
        </w:tc>
        <w:tc>
          <w:tcPr>
            <w:tcW w:type="dxa" w:w="4320"/>
            <w:vAlign w:val="center"/>
            <w:tcMar>
              <w:top w:w="80" w:type="dxa"/>
              <w:start w:w="80" w:type="dxa"/>
              <w:bottom w:w="80" w:type="dxa"/>
              <w:end w:w="80" w:type="dxa"/>
            </w:tcMar>
          </w:tcPr>
          <w:p>
            <w:r>
              <w:rPr>
                <w:sz w:val="14"/>
              </w:rPr>
              <w:t>Activate backup carrier; protect priority loads; re-tender / re-plan freight order.</w:t>
            </w:r>
          </w:p>
        </w:tc>
      </w:tr>
      <w:tr>
        <w:tc>
          <w:tcPr>
            <w:tcW w:type="dxa" w:w="2088"/>
            <w:vAlign w:val="center"/>
            <w:tcMar>
              <w:top w:w="80" w:type="dxa"/>
              <w:start w:w="80" w:type="dxa"/>
              <w:bottom w:w="80" w:type="dxa"/>
              <w:end w:w="80" w:type="dxa"/>
            </w:tcMar>
          </w:tcPr>
          <w:p>
            <w:r>
              <w:rPr>
                <w:sz w:val="14"/>
              </w:rPr>
              <w:t>Monsoon / road disruption</w:t>
            </w:r>
          </w:p>
        </w:tc>
        <w:tc>
          <w:tcPr>
            <w:tcW w:type="dxa" w:w="1152"/>
            <w:vAlign w:val="center"/>
            <w:tcMar>
              <w:top w:w="80" w:type="dxa"/>
              <w:start w:w="80" w:type="dxa"/>
              <w:bottom w:w="80" w:type="dxa"/>
              <w:end w:w="80" w:type="dxa"/>
            </w:tcMar>
          </w:tcPr>
          <w:p>
            <w:r>
              <w:rPr>
                <w:sz w:val="14"/>
              </w:rPr>
              <w:t>Medium</w:t>
            </w:r>
          </w:p>
        </w:tc>
        <w:tc>
          <w:tcPr>
            <w:tcW w:type="dxa" w:w="1080"/>
            <w:vAlign w:val="center"/>
            <w:tcMar>
              <w:top w:w="80" w:type="dxa"/>
              <w:start w:w="80" w:type="dxa"/>
              <w:bottom w:w="80" w:type="dxa"/>
              <w:end w:w="80" w:type="dxa"/>
            </w:tcMar>
          </w:tcPr>
          <w:p>
            <w:r>
              <w:rPr>
                <w:sz w:val="14"/>
              </w:rPr>
              <w:t>High</w:t>
            </w:r>
          </w:p>
        </w:tc>
        <w:tc>
          <w:tcPr>
            <w:tcW w:type="dxa" w:w="2376"/>
            <w:vAlign w:val="center"/>
            <w:tcMar>
              <w:top w:w="80" w:type="dxa"/>
              <w:start w:w="80" w:type="dxa"/>
              <w:bottom w:w="80" w:type="dxa"/>
              <w:end w:w="80" w:type="dxa"/>
            </w:tcMar>
          </w:tcPr>
          <w:p>
            <w:r>
              <w:rPr>
                <w:sz w:val="14"/>
              </w:rPr>
              <w:t>ETA deterioration / route alert</w:t>
            </w:r>
          </w:p>
        </w:tc>
        <w:tc>
          <w:tcPr>
            <w:tcW w:type="dxa" w:w="4320"/>
            <w:vAlign w:val="center"/>
            <w:tcMar>
              <w:top w:w="80" w:type="dxa"/>
              <w:start w:w="80" w:type="dxa"/>
              <w:bottom w:w="80" w:type="dxa"/>
              <w:end w:w="80" w:type="dxa"/>
            </w:tcMar>
          </w:tcPr>
          <w:p>
            <w:r>
              <w:rPr>
                <w:sz w:val="14"/>
              </w:rPr>
              <w:t>Use alternate route, advance dispatch, rail-linked option for stable volume, increase buffer selectively.</w:t>
            </w:r>
          </w:p>
        </w:tc>
      </w:tr>
      <w:tr>
        <w:tc>
          <w:tcPr>
            <w:tcW w:type="dxa" w:w="2088"/>
            <w:vAlign w:val="center"/>
            <w:tcMar>
              <w:top w:w="80" w:type="dxa"/>
              <w:start w:w="80" w:type="dxa"/>
              <w:bottom w:w="80" w:type="dxa"/>
              <w:end w:w="80" w:type="dxa"/>
            </w:tcMar>
          </w:tcPr>
          <w:p>
            <w:r>
              <w:rPr>
                <w:sz w:val="14"/>
              </w:rPr>
              <w:t>Rail cut-off missed</w:t>
            </w:r>
          </w:p>
        </w:tc>
        <w:tc>
          <w:tcPr>
            <w:tcW w:type="dxa" w:w="1152"/>
            <w:vAlign w:val="center"/>
            <w:tcMar>
              <w:top w:w="80" w:type="dxa"/>
              <w:start w:w="80" w:type="dxa"/>
              <w:bottom w:w="80" w:type="dxa"/>
              <w:end w:w="80" w:type="dxa"/>
            </w:tcMar>
          </w:tcPr>
          <w:p>
            <w:r>
              <w:rPr>
                <w:sz w:val="14"/>
              </w:rPr>
              <w:t>Low-Med</w:t>
            </w:r>
          </w:p>
        </w:tc>
        <w:tc>
          <w:tcPr>
            <w:tcW w:type="dxa" w:w="1080"/>
            <w:vAlign w:val="center"/>
            <w:tcMar>
              <w:top w:w="80" w:type="dxa"/>
              <w:start w:w="80" w:type="dxa"/>
              <w:bottom w:w="80" w:type="dxa"/>
              <w:end w:w="80" w:type="dxa"/>
            </w:tcMar>
          </w:tcPr>
          <w:p>
            <w:r>
              <w:rPr>
                <w:sz w:val="14"/>
              </w:rPr>
              <w:t>High</w:t>
            </w:r>
          </w:p>
        </w:tc>
        <w:tc>
          <w:tcPr>
            <w:tcW w:type="dxa" w:w="2376"/>
            <w:vAlign w:val="center"/>
            <w:tcMar>
              <w:top w:w="80" w:type="dxa"/>
              <w:start w:w="80" w:type="dxa"/>
              <w:bottom w:w="80" w:type="dxa"/>
              <w:end w:w="80" w:type="dxa"/>
            </w:tcMar>
          </w:tcPr>
          <w:p>
            <w:r>
              <w:rPr>
                <w:sz w:val="14"/>
              </w:rPr>
              <w:t>Warehouse wave late vs rail cut-off</w:t>
            </w:r>
          </w:p>
        </w:tc>
        <w:tc>
          <w:tcPr>
            <w:tcW w:type="dxa" w:w="4320"/>
            <w:vAlign w:val="center"/>
            <w:tcMar>
              <w:top w:w="80" w:type="dxa"/>
              <w:start w:w="80" w:type="dxa"/>
              <w:bottom w:w="80" w:type="dxa"/>
              <w:end w:w="80" w:type="dxa"/>
            </w:tcMar>
          </w:tcPr>
          <w:p>
            <w:r>
              <w:rPr>
                <w:sz w:val="14"/>
              </w:rPr>
              <w:t>Shift urgent volume to road backup; review departure-driven wave timing.</w:t>
            </w:r>
          </w:p>
        </w:tc>
      </w:tr>
      <w:tr>
        <w:tc>
          <w:tcPr>
            <w:tcW w:type="dxa" w:w="2088"/>
            <w:vAlign w:val="center"/>
            <w:tcMar>
              <w:top w:w="80" w:type="dxa"/>
              <w:start w:w="80" w:type="dxa"/>
              <w:bottom w:w="80" w:type="dxa"/>
              <w:end w:w="80" w:type="dxa"/>
            </w:tcMar>
          </w:tcPr>
          <w:p>
            <w:r>
              <w:rPr>
                <w:sz w:val="14"/>
              </w:rPr>
              <w:t>Warehouse &gt;90% occupancy</w:t>
            </w:r>
          </w:p>
        </w:tc>
        <w:tc>
          <w:tcPr>
            <w:tcW w:type="dxa" w:w="1152"/>
            <w:vAlign w:val="center"/>
            <w:tcMar>
              <w:top w:w="80" w:type="dxa"/>
              <w:start w:w="80" w:type="dxa"/>
              <w:bottom w:w="80" w:type="dxa"/>
              <w:end w:w="80" w:type="dxa"/>
            </w:tcMar>
          </w:tcPr>
          <w:p>
            <w:r>
              <w:rPr>
                <w:sz w:val="14"/>
              </w:rPr>
              <w:t>Medium</w:t>
            </w:r>
          </w:p>
        </w:tc>
        <w:tc>
          <w:tcPr>
            <w:tcW w:type="dxa" w:w="1080"/>
            <w:vAlign w:val="center"/>
            <w:tcMar>
              <w:top w:w="80" w:type="dxa"/>
              <w:start w:w="80" w:type="dxa"/>
              <w:bottom w:w="80" w:type="dxa"/>
              <w:end w:w="80" w:type="dxa"/>
            </w:tcMar>
          </w:tcPr>
          <w:p>
            <w:r>
              <w:rPr>
                <w:sz w:val="14"/>
              </w:rPr>
              <w:t>High</w:t>
            </w:r>
          </w:p>
        </w:tc>
        <w:tc>
          <w:tcPr>
            <w:tcW w:type="dxa" w:w="2376"/>
            <w:vAlign w:val="center"/>
            <w:tcMar>
              <w:top w:w="80" w:type="dxa"/>
              <w:start w:w="80" w:type="dxa"/>
              <w:bottom w:w="80" w:type="dxa"/>
              <w:end w:w="80" w:type="dxa"/>
            </w:tcMar>
          </w:tcPr>
          <w:p>
            <w:r>
              <w:rPr>
                <w:sz w:val="14"/>
              </w:rPr>
              <w:t>Free bins &lt;400</w:t>
            </w:r>
          </w:p>
        </w:tc>
        <w:tc>
          <w:tcPr>
            <w:tcW w:type="dxa" w:w="4320"/>
            <w:vAlign w:val="center"/>
            <w:tcMar>
              <w:top w:w="80" w:type="dxa"/>
              <w:start w:w="80" w:type="dxa"/>
              <w:bottom w:w="80" w:type="dxa"/>
              <w:end w:w="80" w:type="dxa"/>
            </w:tcMar>
          </w:tcPr>
          <w:p>
            <w:r>
              <w:rPr>
                <w:sz w:val="14"/>
              </w:rPr>
              <w:t>Accelerate outbound, smooth inbound appointments, use overflow / cross-dock decision rules.</w:t>
            </w:r>
          </w:p>
        </w:tc>
      </w:tr>
      <w:tr>
        <w:tc>
          <w:tcPr>
            <w:tcW w:type="dxa" w:w="2088"/>
            <w:vAlign w:val="center"/>
            <w:tcMar>
              <w:top w:w="80" w:type="dxa"/>
              <w:start w:w="80" w:type="dxa"/>
              <w:bottom w:w="80" w:type="dxa"/>
              <w:end w:w="80" w:type="dxa"/>
            </w:tcMar>
          </w:tcPr>
          <w:p>
            <w:r>
              <w:rPr>
                <w:sz w:val="14"/>
              </w:rPr>
              <w:t>Staging overflow</w:t>
            </w:r>
          </w:p>
        </w:tc>
        <w:tc>
          <w:tcPr>
            <w:tcW w:type="dxa" w:w="1152"/>
            <w:vAlign w:val="center"/>
            <w:tcMar>
              <w:top w:w="80" w:type="dxa"/>
              <w:start w:w="80" w:type="dxa"/>
              <w:bottom w:w="80" w:type="dxa"/>
              <w:end w:w="80" w:type="dxa"/>
            </w:tcMar>
          </w:tcPr>
          <w:p>
            <w:r>
              <w:rPr>
                <w:sz w:val="14"/>
              </w:rPr>
              <w:t>Medium</w:t>
            </w:r>
          </w:p>
        </w:tc>
        <w:tc>
          <w:tcPr>
            <w:tcW w:type="dxa" w:w="1080"/>
            <w:vAlign w:val="center"/>
            <w:tcMar>
              <w:top w:w="80" w:type="dxa"/>
              <w:start w:w="80" w:type="dxa"/>
              <w:bottom w:w="80" w:type="dxa"/>
              <w:end w:w="80" w:type="dxa"/>
            </w:tcMar>
          </w:tcPr>
          <w:p>
            <w:r>
              <w:rPr>
                <w:sz w:val="14"/>
              </w:rPr>
              <w:t>Medium-High</w:t>
            </w:r>
          </w:p>
        </w:tc>
        <w:tc>
          <w:tcPr>
            <w:tcW w:type="dxa" w:w="2376"/>
            <w:vAlign w:val="center"/>
            <w:tcMar>
              <w:top w:w="80" w:type="dxa"/>
              <w:start w:w="80" w:type="dxa"/>
              <w:bottom w:w="80" w:type="dxa"/>
              <w:end w:w="80" w:type="dxa"/>
            </w:tcMar>
          </w:tcPr>
          <w:p>
            <w:r>
              <w:rPr>
                <w:sz w:val="14"/>
              </w:rPr>
              <w:t>Planned wave &gt;60 pallets</w:t>
            </w:r>
          </w:p>
        </w:tc>
        <w:tc>
          <w:tcPr>
            <w:tcW w:type="dxa" w:w="4320"/>
            <w:vAlign w:val="center"/>
            <w:tcMar>
              <w:top w:w="80" w:type="dxa"/>
              <w:start w:w="80" w:type="dxa"/>
              <w:bottom w:w="80" w:type="dxa"/>
              <w:end w:w="80" w:type="dxa"/>
            </w:tcMar>
          </w:tcPr>
          <w:p>
            <w:r>
              <w:rPr>
                <w:sz w:val="14"/>
              </w:rPr>
              <w:t>Split wave, re-time release, allocate separate staging by route / TU.</w:t>
            </w:r>
          </w:p>
        </w:tc>
      </w:tr>
      <w:tr>
        <w:tc>
          <w:tcPr>
            <w:tcW w:type="dxa" w:w="2088"/>
            <w:vAlign w:val="center"/>
            <w:tcMar>
              <w:top w:w="80" w:type="dxa"/>
              <w:start w:w="80" w:type="dxa"/>
              <w:bottom w:w="80" w:type="dxa"/>
              <w:end w:w="80" w:type="dxa"/>
            </w:tcMar>
          </w:tcPr>
          <w:p>
            <w:r>
              <w:rPr>
                <w:sz w:val="14"/>
              </w:rPr>
              <w:t>Inventory mismatch</w:t>
            </w:r>
          </w:p>
        </w:tc>
        <w:tc>
          <w:tcPr>
            <w:tcW w:type="dxa" w:w="1152"/>
            <w:vAlign w:val="center"/>
            <w:tcMar>
              <w:top w:w="80" w:type="dxa"/>
              <w:start w:w="80" w:type="dxa"/>
              <w:bottom w:w="80" w:type="dxa"/>
              <w:end w:w="80" w:type="dxa"/>
            </w:tcMar>
          </w:tcPr>
          <w:p>
            <w:r>
              <w:rPr>
                <w:sz w:val="14"/>
              </w:rPr>
              <w:t>Medium</w:t>
            </w:r>
          </w:p>
        </w:tc>
        <w:tc>
          <w:tcPr>
            <w:tcW w:type="dxa" w:w="1080"/>
            <w:vAlign w:val="center"/>
            <w:tcMar>
              <w:top w:w="80" w:type="dxa"/>
              <w:start w:w="80" w:type="dxa"/>
              <w:bottom w:w="80" w:type="dxa"/>
              <w:end w:w="80" w:type="dxa"/>
            </w:tcMar>
          </w:tcPr>
          <w:p>
            <w:r>
              <w:rPr>
                <w:sz w:val="14"/>
              </w:rPr>
              <w:t>High</w:t>
            </w:r>
          </w:p>
        </w:tc>
        <w:tc>
          <w:tcPr>
            <w:tcW w:type="dxa" w:w="2376"/>
            <w:vAlign w:val="center"/>
            <w:tcMar>
              <w:top w:w="80" w:type="dxa"/>
              <w:start w:w="80" w:type="dxa"/>
              <w:bottom w:w="80" w:type="dxa"/>
              <w:end w:w="80" w:type="dxa"/>
            </w:tcMar>
          </w:tcPr>
          <w:p>
            <w:r>
              <w:rPr>
                <w:sz w:val="14"/>
              </w:rPr>
              <w:t>Pick shortage / negative difference</w:t>
            </w:r>
          </w:p>
        </w:tc>
        <w:tc>
          <w:tcPr>
            <w:tcW w:type="dxa" w:w="4320"/>
            <w:vAlign w:val="center"/>
            <w:tcMar>
              <w:top w:w="80" w:type="dxa"/>
              <w:start w:w="80" w:type="dxa"/>
              <w:bottom w:w="80" w:type="dxa"/>
              <w:end w:w="80" w:type="dxa"/>
            </w:tcMar>
          </w:tcPr>
          <w:p>
            <w:r>
              <w:rPr>
                <w:sz w:val="14"/>
              </w:rPr>
              <w:t>Cycle count, block affected stock, reallocate alternate stock, update plan.</w:t>
            </w:r>
          </w:p>
        </w:tc>
      </w:tr>
      <w:tr>
        <w:tc>
          <w:tcPr>
            <w:tcW w:type="dxa" w:w="2088"/>
            <w:vAlign w:val="center"/>
            <w:tcMar>
              <w:top w:w="80" w:type="dxa"/>
              <w:start w:w="80" w:type="dxa"/>
              <w:bottom w:w="80" w:type="dxa"/>
              <w:end w:w="80" w:type="dxa"/>
            </w:tcMar>
          </w:tcPr>
          <w:p>
            <w:r>
              <w:rPr>
                <w:sz w:val="14"/>
              </w:rPr>
              <w:t>Wrong load / route mix</w:t>
            </w:r>
          </w:p>
        </w:tc>
        <w:tc>
          <w:tcPr>
            <w:tcW w:type="dxa" w:w="1152"/>
            <w:vAlign w:val="center"/>
            <w:tcMar>
              <w:top w:w="80" w:type="dxa"/>
              <w:start w:w="80" w:type="dxa"/>
              <w:bottom w:w="80" w:type="dxa"/>
              <w:end w:w="80" w:type="dxa"/>
            </w:tcMar>
          </w:tcPr>
          <w:p>
            <w:r>
              <w:rPr>
                <w:sz w:val="14"/>
              </w:rPr>
              <w:t>Low</w:t>
            </w:r>
          </w:p>
        </w:tc>
        <w:tc>
          <w:tcPr>
            <w:tcW w:type="dxa" w:w="1080"/>
            <w:vAlign w:val="center"/>
            <w:tcMar>
              <w:top w:w="80" w:type="dxa"/>
              <w:start w:w="80" w:type="dxa"/>
              <w:bottom w:w="80" w:type="dxa"/>
              <w:end w:w="80" w:type="dxa"/>
            </w:tcMar>
          </w:tcPr>
          <w:p>
            <w:r>
              <w:rPr>
                <w:sz w:val="14"/>
              </w:rPr>
              <w:t>High</w:t>
            </w:r>
          </w:p>
        </w:tc>
        <w:tc>
          <w:tcPr>
            <w:tcW w:type="dxa" w:w="2376"/>
            <w:vAlign w:val="center"/>
            <w:tcMar>
              <w:top w:w="80" w:type="dxa"/>
              <w:start w:w="80" w:type="dxa"/>
              <w:bottom w:w="80" w:type="dxa"/>
              <w:end w:w="80" w:type="dxa"/>
            </w:tcMar>
          </w:tcPr>
          <w:p>
            <w:r>
              <w:rPr>
                <w:sz w:val="14"/>
              </w:rPr>
              <w:t>HU / TU scan mismatch</w:t>
            </w:r>
          </w:p>
        </w:tc>
        <w:tc>
          <w:tcPr>
            <w:tcW w:type="dxa" w:w="4320"/>
            <w:vAlign w:val="center"/>
            <w:tcMar>
              <w:top w:w="80" w:type="dxa"/>
              <w:start w:w="80" w:type="dxa"/>
              <w:bottom w:w="80" w:type="dxa"/>
              <w:end w:w="80" w:type="dxa"/>
            </w:tcMar>
          </w:tcPr>
          <w:p>
            <w:r>
              <w:rPr>
                <w:sz w:val="14"/>
              </w:rPr>
              <w:t>Stop loading, scan validation, segregated staging, supervisor release.</w:t>
            </w:r>
          </w:p>
        </w:tc>
      </w:tr>
      <w:tr>
        <w:tc>
          <w:tcPr>
            <w:tcW w:type="dxa" w:w="2088"/>
            <w:vAlign w:val="center"/>
            <w:tcMar>
              <w:top w:w="80" w:type="dxa"/>
              <w:start w:w="80" w:type="dxa"/>
              <w:bottom w:w="80" w:type="dxa"/>
              <w:end w:w="80" w:type="dxa"/>
            </w:tcMar>
          </w:tcPr>
          <w:p>
            <w:r>
              <w:rPr>
                <w:sz w:val="14"/>
              </w:rPr>
              <w:t>TM-EWM status mismatch</w:t>
            </w:r>
          </w:p>
        </w:tc>
        <w:tc>
          <w:tcPr>
            <w:tcW w:type="dxa" w:w="1152"/>
            <w:vAlign w:val="center"/>
            <w:tcMar>
              <w:top w:w="80" w:type="dxa"/>
              <w:start w:w="80" w:type="dxa"/>
              <w:bottom w:w="80" w:type="dxa"/>
              <w:end w:w="80" w:type="dxa"/>
            </w:tcMar>
          </w:tcPr>
          <w:p>
            <w:r>
              <w:rPr>
                <w:sz w:val="14"/>
              </w:rPr>
              <w:t>Low-Med</w:t>
            </w:r>
          </w:p>
        </w:tc>
        <w:tc>
          <w:tcPr>
            <w:tcW w:type="dxa" w:w="1080"/>
            <w:vAlign w:val="center"/>
            <w:tcMar>
              <w:top w:w="80" w:type="dxa"/>
              <w:start w:w="80" w:type="dxa"/>
              <w:bottom w:w="80" w:type="dxa"/>
              <w:end w:w="80" w:type="dxa"/>
            </w:tcMar>
          </w:tcPr>
          <w:p>
            <w:r>
              <w:rPr>
                <w:sz w:val="14"/>
              </w:rPr>
              <w:t>High</w:t>
            </w:r>
          </w:p>
        </w:tc>
        <w:tc>
          <w:tcPr>
            <w:tcW w:type="dxa" w:w="2376"/>
            <w:vAlign w:val="center"/>
            <w:tcMar>
              <w:top w:w="80" w:type="dxa"/>
              <w:start w:w="80" w:type="dxa"/>
              <w:bottom w:w="80" w:type="dxa"/>
              <w:end w:w="80" w:type="dxa"/>
            </w:tcMar>
          </w:tcPr>
          <w:p>
            <w:r>
              <w:rPr>
                <w:sz w:val="14"/>
              </w:rPr>
              <w:t>Loaded in EWM but open in TM</w:t>
            </w:r>
          </w:p>
        </w:tc>
        <w:tc>
          <w:tcPr>
            <w:tcW w:type="dxa" w:w="4320"/>
            <w:vAlign w:val="center"/>
            <w:tcMar>
              <w:top w:w="80" w:type="dxa"/>
              <w:start w:w="80" w:type="dxa"/>
              <w:bottom w:w="80" w:type="dxa"/>
              <w:end w:w="80" w:type="dxa"/>
            </w:tcMar>
          </w:tcPr>
          <w:p>
            <w:r>
              <w:rPr>
                <w:sz w:val="14"/>
              </w:rPr>
              <w:t>Interface monitoring, message reprocessing, manual reconciliation and documented handoff.</w:t>
            </w:r>
          </w:p>
        </w:tc>
      </w:tr>
      <w:tr>
        <w:tc>
          <w:tcPr>
            <w:tcW w:type="dxa" w:w="2088"/>
            <w:vAlign w:val="center"/>
            <w:tcMar>
              <w:top w:w="80" w:type="dxa"/>
              <w:start w:w="80" w:type="dxa"/>
              <w:bottom w:w="80" w:type="dxa"/>
              <w:end w:w="80" w:type="dxa"/>
            </w:tcMar>
          </w:tcPr>
          <w:p>
            <w:r>
              <w:rPr>
                <w:sz w:val="14"/>
              </w:rPr>
              <w:t>Dock congestion</w:t>
            </w:r>
          </w:p>
        </w:tc>
        <w:tc>
          <w:tcPr>
            <w:tcW w:type="dxa" w:w="1152"/>
            <w:vAlign w:val="center"/>
            <w:tcMar>
              <w:top w:w="80" w:type="dxa"/>
              <w:start w:w="80" w:type="dxa"/>
              <w:bottom w:w="80" w:type="dxa"/>
              <w:end w:w="80" w:type="dxa"/>
            </w:tcMar>
          </w:tcPr>
          <w:p>
            <w:r>
              <w:rPr>
                <w:sz w:val="14"/>
              </w:rPr>
              <w:t>Medium</w:t>
            </w:r>
          </w:p>
        </w:tc>
        <w:tc>
          <w:tcPr>
            <w:tcW w:type="dxa" w:w="1080"/>
            <w:vAlign w:val="center"/>
            <w:tcMar>
              <w:top w:w="80" w:type="dxa"/>
              <w:start w:w="80" w:type="dxa"/>
              <w:bottom w:w="80" w:type="dxa"/>
              <w:end w:w="80" w:type="dxa"/>
            </w:tcMar>
          </w:tcPr>
          <w:p>
            <w:r>
              <w:rPr>
                <w:sz w:val="14"/>
              </w:rPr>
              <w:t>Medium</w:t>
            </w:r>
          </w:p>
        </w:tc>
        <w:tc>
          <w:tcPr>
            <w:tcW w:type="dxa" w:w="2376"/>
            <w:vAlign w:val="center"/>
            <w:tcMar>
              <w:top w:w="80" w:type="dxa"/>
              <w:start w:w="80" w:type="dxa"/>
              <w:bottom w:w="80" w:type="dxa"/>
              <w:end w:w="80" w:type="dxa"/>
            </w:tcMar>
          </w:tcPr>
          <w:p>
            <w:r>
              <w:rPr>
                <w:sz w:val="14"/>
              </w:rPr>
              <w:t>Truck queue / turnaround &gt;90 min</w:t>
            </w:r>
          </w:p>
        </w:tc>
        <w:tc>
          <w:tcPr>
            <w:tcW w:type="dxa" w:w="4320"/>
            <w:vAlign w:val="center"/>
            <w:tcMar>
              <w:top w:w="80" w:type="dxa"/>
              <w:start w:w="80" w:type="dxa"/>
              <w:bottom w:w="80" w:type="dxa"/>
              <w:end w:w="80" w:type="dxa"/>
            </w:tcMar>
          </w:tcPr>
          <w:p>
            <w:r>
              <w:rPr>
                <w:sz w:val="14"/>
              </w:rPr>
              <w:t>Appointment slots, door balancing, pre-staging, overflow waiting rule.</w:t>
            </w:r>
          </w:p>
        </w:tc>
      </w:tr>
      <w:tr>
        <w:tc>
          <w:tcPr>
            <w:tcW w:type="dxa" w:w="2088"/>
            <w:vAlign w:val="center"/>
            <w:tcMar>
              <w:top w:w="80" w:type="dxa"/>
              <w:start w:w="80" w:type="dxa"/>
              <w:bottom w:w="80" w:type="dxa"/>
              <w:end w:w="80" w:type="dxa"/>
            </w:tcMar>
          </w:tcPr>
          <w:p>
            <w:r>
              <w:rPr>
                <w:sz w:val="14"/>
              </w:rPr>
              <w:t>Demand spike + transport shortage</w:t>
            </w:r>
          </w:p>
        </w:tc>
        <w:tc>
          <w:tcPr>
            <w:tcW w:type="dxa" w:w="1152"/>
            <w:vAlign w:val="center"/>
            <w:tcMar>
              <w:top w:w="80" w:type="dxa"/>
              <w:start w:w="80" w:type="dxa"/>
              <w:bottom w:w="80" w:type="dxa"/>
              <w:end w:w="80" w:type="dxa"/>
            </w:tcMar>
          </w:tcPr>
          <w:p>
            <w:r>
              <w:rPr>
                <w:sz w:val="14"/>
              </w:rPr>
              <w:t>Medium</w:t>
            </w:r>
          </w:p>
        </w:tc>
        <w:tc>
          <w:tcPr>
            <w:tcW w:type="dxa" w:w="1080"/>
            <w:vAlign w:val="center"/>
            <w:tcMar>
              <w:top w:w="80" w:type="dxa"/>
              <w:start w:w="80" w:type="dxa"/>
              <w:bottom w:w="80" w:type="dxa"/>
              <w:end w:w="80" w:type="dxa"/>
            </w:tcMar>
          </w:tcPr>
          <w:p>
            <w:r>
              <w:rPr>
                <w:sz w:val="14"/>
              </w:rPr>
              <w:t>High</w:t>
            </w:r>
          </w:p>
        </w:tc>
        <w:tc>
          <w:tcPr>
            <w:tcW w:type="dxa" w:w="2376"/>
            <w:vAlign w:val="center"/>
            <w:tcMar>
              <w:top w:w="80" w:type="dxa"/>
              <w:start w:w="80" w:type="dxa"/>
              <w:bottom w:w="80" w:type="dxa"/>
              <w:end w:w="80" w:type="dxa"/>
            </w:tcMar>
          </w:tcPr>
          <w:p>
            <w:r>
              <w:rPr>
                <w:sz w:val="14"/>
              </w:rPr>
              <w:t>Open demand exceeds booked capacity</w:t>
            </w:r>
          </w:p>
        </w:tc>
        <w:tc>
          <w:tcPr>
            <w:tcW w:type="dxa" w:w="4320"/>
            <w:vAlign w:val="center"/>
            <w:tcMar>
              <w:top w:w="80" w:type="dxa"/>
              <w:start w:w="80" w:type="dxa"/>
              <w:bottom w:w="80" w:type="dxa"/>
              <w:end w:w="80" w:type="dxa"/>
            </w:tcMar>
          </w:tcPr>
          <w:p>
            <w:r>
              <w:rPr>
                <w:sz w:val="14"/>
              </w:rPr>
              <w:t>Prioritize confirmed orders, add spot capacity, split delivery, communicate service impact.</w:t>
            </w:r>
          </w:p>
        </w:tc>
      </w:tr>
    </w:tbl>
    <w:p>
      <w:pPr>
        <w:spacing w:after="40"/>
      </w:pPr>
    </w:p>
    <w:p>
      <w:r>
        <w:br w:type="page"/>
      </w:r>
    </w:p>
    <w:p>
      <w:pPr>
        <w:pStyle w:val="Heading1"/>
      </w:pPr>
      <w:r>
        <w:t>12. Estimated 33-Hour Work Plan</w:t>
      </w:r>
    </w:p>
    <w:tbl>
      <w:tblPr>
        <w:tblStyle w:val="TableGrid"/>
        <w:tblW w:type="auto" w:w="0"/>
        <w:jc w:val="center"/>
        <w:tblLook w:firstColumn="1" w:firstRow="1" w:lastColumn="0" w:lastRow="0" w:noHBand="0" w:noVBand="1" w:val="04A0"/>
      </w:tblPr>
      <w:tblGrid>
        <w:gridCol w:w="3317"/>
        <w:gridCol w:w="3317"/>
        <w:gridCol w:w="3317"/>
      </w:tblGrid>
      <w:tr>
        <w:trPr>
          <w:tblHeader w:val="true"/>
        </w:trPr>
        <w:tc>
          <w:tcPr>
            <w:tcW w:type="dxa" w:w="4320"/>
            <w:shd w:fill="D9EAF7"/>
            <w:vAlign w:val="center"/>
            <w:tcMar>
              <w:top w:w="80" w:type="dxa"/>
              <w:start w:w="80" w:type="dxa"/>
              <w:bottom w:w="80" w:type="dxa"/>
              <w:end w:w="80" w:type="dxa"/>
            </w:tcMar>
          </w:tcPr>
          <w:p>
            <w:r>
              <w:rPr>
                <w:b/>
                <w:sz w:val="16"/>
              </w:rPr>
              <w:t>Activity</w:t>
            </w:r>
          </w:p>
        </w:tc>
        <w:tc>
          <w:tcPr>
            <w:tcW w:type="dxa" w:w="1152"/>
            <w:shd w:fill="D9EAF7"/>
            <w:vAlign w:val="center"/>
            <w:tcMar>
              <w:top w:w="80" w:type="dxa"/>
              <w:start w:w="80" w:type="dxa"/>
              <w:bottom w:w="80" w:type="dxa"/>
              <w:end w:w="80" w:type="dxa"/>
            </w:tcMar>
          </w:tcPr>
          <w:p>
            <w:r>
              <w:rPr>
                <w:b/>
                <w:sz w:val="16"/>
              </w:rPr>
              <w:t>Hours</w:t>
            </w:r>
          </w:p>
        </w:tc>
        <w:tc>
          <w:tcPr>
            <w:tcW w:type="dxa" w:w="5328"/>
            <w:shd w:fill="D9EAF7"/>
            <w:vAlign w:val="center"/>
            <w:tcMar>
              <w:top w:w="80" w:type="dxa"/>
              <w:start w:w="80" w:type="dxa"/>
              <w:bottom w:w="80" w:type="dxa"/>
              <w:end w:w="80" w:type="dxa"/>
            </w:tcMar>
          </w:tcPr>
          <w:p>
            <w:r>
              <w:rPr>
                <w:b/>
                <w:sz w:val="16"/>
              </w:rPr>
              <w:t>Concrete output / evidence</w:t>
            </w:r>
          </w:p>
        </w:tc>
      </w:tr>
      <w:tr>
        <w:tc>
          <w:tcPr>
            <w:tcW w:type="dxa" w:w="4320"/>
            <w:vAlign w:val="center"/>
            <w:tcMar>
              <w:top w:w="80" w:type="dxa"/>
              <w:start w:w="80" w:type="dxa"/>
              <w:bottom w:w="80" w:type="dxa"/>
              <w:end w:w="80" w:type="dxa"/>
            </w:tcMar>
          </w:tcPr>
          <w:p>
            <w:r>
              <w:rPr>
                <w:sz w:val="16"/>
              </w:rPr>
              <w:t>Research SAP TM / EWM / SNP logistics concepts</w:t>
            </w:r>
          </w:p>
        </w:tc>
        <w:tc>
          <w:tcPr>
            <w:tcW w:type="dxa" w:w="1152"/>
            <w:vAlign w:val="center"/>
            <w:tcMar>
              <w:top w:w="80" w:type="dxa"/>
              <w:start w:w="80" w:type="dxa"/>
              <w:bottom w:w="80" w:type="dxa"/>
              <w:end w:w="80" w:type="dxa"/>
            </w:tcMar>
          </w:tcPr>
          <w:p>
            <w:r>
              <w:rPr>
                <w:sz w:val="16"/>
              </w:rPr>
              <w:t>4.0</w:t>
            </w:r>
          </w:p>
        </w:tc>
        <w:tc>
          <w:tcPr>
            <w:tcW w:type="dxa" w:w="5328"/>
            <w:vAlign w:val="center"/>
            <w:tcMar>
              <w:top w:w="80" w:type="dxa"/>
              <w:start w:w="80" w:type="dxa"/>
              <w:bottom w:w="80" w:type="dxa"/>
              <w:end w:w="80" w:type="dxa"/>
            </w:tcMar>
          </w:tcPr>
          <w:p>
            <w:r>
              <w:rPr>
                <w:sz w:val="16"/>
              </w:rPr>
              <w:t>Reference notes; list of relevant objects and process boundaries</w:t>
            </w:r>
          </w:p>
        </w:tc>
      </w:tr>
      <w:tr>
        <w:tc>
          <w:tcPr>
            <w:tcW w:type="dxa" w:w="4320"/>
            <w:vAlign w:val="center"/>
            <w:tcMar>
              <w:top w:w="80" w:type="dxa"/>
              <w:start w:w="80" w:type="dxa"/>
              <w:bottom w:w="80" w:type="dxa"/>
              <w:end w:w="80" w:type="dxa"/>
            </w:tcMar>
          </w:tcPr>
          <w:p>
            <w:r>
              <w:rPr>
                <w:sz w:val="16"/>
              </w:rPr>
              <w:t>Scenario and data design</w:t>
            </w:r>
          </w:p>
        </w:tc>
        <w:tc>
          <w:tcPr>
            <w:tcW w:type="dxa" w:w="1152"/>
            <w:vAlign w:val="center"/>
            <w:tcMar>
              <w:top w:w="80" w:type="dxa"/>
              <w:start w:w="80" w:type="dxa"/>
              <w:bottom w:w="80" w:type="dxa"/>
              <w:end w:w="80" w:type="dxa"/>
            </w:tcMar>
          </w:tcPr>
          <w:p>
            <w:r>
              <w:rPr>
                <w:sz w:val="16"/>
              </w:rPr>
              <w:t>3.0</w:t>
            </w:r>
          </w:p>
        </w:tc>
        <w:tc>
          <w:tcPr>
            <w:tcW w:type="dxa" w:w="5328"/>
            <w:vAlign w:val="center"/>
            <w:tcMar>
              <w:top w:w="80" w:type="dxa"/>
              <w:start w:w="80" w:type="dxa"/>
              <w:bottom w:w="80" w:type="dxa"/>
              <w:end w:w="80" w:type="dxa"/>
            </w:tcMar>
          </w:tcPr>
          <w:p>
            <w:r>
              <w:rPr>
                <w:sz w:val="16"/>
              </w:rPr>
              <w:t>Demand, route, mode, warehouse and capacity baseline table</w:t>
            </w:r>
          </w:p>
        </w:tc>
      </w:tr>
      <w:tr>
        <w:tc>
          <w:tcPr>
            <w:tcW w:type="dxa" w:w="4320"/>
            <w:vAlign w:val="center"/>
            <w:tcMar>
              <w:top w:w="80" w:type="dxa"/>
              <w:start w:w="80" w:type="dxa"/>
              <w:bottom w:w="80" w:type="dxa"/>
              <w:end w:w="80" w:type="dxa"/>
            </w:tcMar>
          </w:tcPr>
          <w:p>
            <w:r>
              <w:rPr>
                <w:sz w:val="16"/>
              </w:rPr>
              <w:t>Transportation master-data mapping</w:t>
            </w:r>
          </w:p>
        </w:tc>
        <w:tc>
          <w:tcPr>
            <w:tcW w:type="dxa" w:w="1152"/>
            <w:vAlign w:val="center"/>
            <w:tcMar>
              <w:top w:w="80" w:type="dxa"/>
              <w:start w:w="80" w:type="dxa"/>
              <w:bottom w:w="80" w:type="dxa"/>
              <w:end w:w="80" w:type="dxa"/>
            </w:tcMar>
          </w:tcPr>
          <w:p>
            <w:r>
              <w:rPr>
                <w:sz w:val="16"/>
              </w:rPr>
              <w:t>3.0</w:t>
            </w:r>
          </w:p>
        </w:tc>
        <w:tc>
          <w:tcPr>
            <w:tcW w:type="dxa" w:w="5328"/>
            <w:vAlign w:val="center"/>
            <w:tcMar>
              <w:top w:w="80" w:type="dxa"/>
              <w:start w:w="80" w:type="dxa"/>
              <w:bottom w:w="80" w:type="dxa"/>
              <w:end w:w="80" w:type="dxa"/>
            </w:tcMar>
          </w:tcPr>
          <w:p>
            <w:r>
              <w:rPr>
                <w:sz w:val="16"/>
              </w:rPr>
              <w:t>Locations, lanes, modes, resources, calendars, partner mapping</w:t>
            </w:r>
          </w:p>
        </w:tc>
      </w:tr>
      <w:tr>
        <w:tc>
          <w:tcPr>
            <w:tcW w:type="dxa" w:w="4320"/>
            <w:vAlign w:val="center"/>
            <w:tcMar>
              <w:top w:w="80" w:type="dxa"/>
              <w:start w:w="80" w:type="dxa"/>
              <w:bottom w:w="80" w:type="dxa"/>
              <w:end w:w="80" w:type="dxa"/>
            </w:tcMar>
          </w:tcPr>
          <w:p>
            <w:r>
              <w:rPr>
                <w:sz w:val="16"/>
              </w:rPr>
              <w:t>Warehouse structure / process design</w:t>
            </w:r>
          </w:p>
        </w:tc>
        <w:tc>
          <w:tcPr>
            <w:tcW w:type="dxa" w:w="1152"/>
            <w:vAlign w:val="center"/>
            <w:tcMar>
              <w:top w:w="80" w:type="dxa"/>
              <w:start w:w="80" w:type="dxa"/>
              <w:bottom w:w="80" w:type="dxa"/>
              <w:end w:w="80" w:type="dxa"/>
            </w:tcMar>
          </w:tcPr>
          <w:p>
            <w:r>
              <w:rPr>
                <w:sz w:val="16"/>
              </w:rPr>
              <w:t>4.0</w:t>
            </w:r>
          </w:p>
        </w:tc>
        <w:tc>
          <w:tcPr>
            <w:tcW w:type="dxa" w:w="5328"/>
            <w:vAlign w:val="center"/>
            <w:tcMar>
              <w:top w:w="80" w:type="dxa"/>
              <w:start w:w="80" w:type="dxa"/>
              <w:bottom w:w="80" w:type="dxa"/>
              <w:end w:w="80" w:type="dxa"/>
            </w:tcMar>
          </w:tcPr>
          <w:p>
            <w:r>
              <w:rPr>
                <w:sz w:val="16"/>
              </w:rPr>
              <w:t>Storage types, bins, doors, staging, WPT and workflow map</w:t>
            </w:r>
          </w:p>
        </w:tc>
      </w:tr>
      <w:tr>
        <w:tc>
          <w:tcPr>
            <w:tcW w:type="dxa" w:w="4320"/>
            <w:vAlign w:val="center"/>
            <w:tcMar>
              <w:top w:w="80" w:type="dxa"/>
              <w:start w:w="80" w:type="dxa"/>
              <w:bottom w:w="80" w:type="dxa"/>
              <w:end w:w="80" w:type="dxa"/>
            </w:tcMar>
          </w:tcPr>
          <w:p>
            <w:r>
              <w:rPr>
                <w:sz w:val="16"/>
              </w:rPr>
              <w:t>TM configuration guideline</w:t>
            </w:r>
          </w:p>
        </w:tc>
        <w:tc>
          <w:tcPr>
            <w:tcW w:type="dxa" w:w="1152"/>
            <w:vAlign w:val="center"/>
            <w:tcMar>
              <w:top w:w="80" w:type="dxa"/>
              <w:start w:w="80" w:type="dxa"/>
              <w:bottom w:w="80" w:type="dxa"/>
              <w:end w:w="80" w:type="dxa"/>
            </w:tcMar>
          </w:tcPr>
          <w:p>
            <w:r>
              <w:rPr>
                <w:sz w:val="16"/>
              </w:rPr>
              <w:t>3.0</w:t>
            </w:r>
          </w:p>
        </w:tc>
        <w:tc>
          <w:tcPr>
            <w:tcW w:type="dxa" w:w="5328"/>
            <w:vAlign w:val="center"/>
            <w:tcMar>
              <w:top w:w="80" w:type="dxa"/>
              <w:start w:w="80" w:type="dxa"/>
              <w:bottom w:w="80" w:type="dxa"/>
              <w:end w:w="80" w:type="dxa"/>
            </w:tcMar>
          </w:tcPr>
          <w:p>
            <w:r>
              <w:rPr>
                <w:sz w:val="16"/>
              </w:rPr>
              <w:t>Requirement-to-freight-order planning sequence</w:t>
            </w:r>
          </w:p>
        </w:tc>
      </w:tr>
      <w:tr>
        <w:tc>
          <w:tcPr>
            <w:tcW w:type="dxa" w:w="4320"/>
            <w:vAlign w:val="center"/>
            <w:tcMar>
              <w:top w:w="80" w:type="dxa"/>
              <w:start w:w="80" w:type="dxa"/>
              <w:bottom w:w="80" w:type="dxa"/>
              <w:end w:w="80" w:type="dxa"/>
            </w:tcMar>
          </w:tcPr>
          <w:p>
            <w:r>
              <w:rPr>
                <w:sz w:val="16"/>
              </w:rPr>
              <w:t>EWM configuration guideline</w:t>
            </w:r>
          </w:p>
        </w:tc>
        <w:tc>
          <w:tcPr>
            <w:tcW w:type="dxa" w:w="1152"/>
            <w:vAlign w:val="center"/>
            <w:tcMar>
              <w:top w:w="80" w:type="dxa"/>
              <w:start w:w="80" w:type="dxa"/>
              <w:bottom w:w="80" w:type="dxa"/>
              <w:end w:w="80" w:type="dxa"/>
            </w:tcMar>
          </w:tcPr>
          <w:p>
            <w:r>
              <w:rPr>
                <w:sz w:val="16"/>
              </w:rPr>
              <w:t>3.0</w:t>
            </w:r>
          </w:p>
        </w:tc>
        <w:tc>
          <w:tcPr>
            <w:tcW w:type="dxa" w:w="5328"/>
            <w:vAlign w:val="center"/>
            <w:tcMar>
              <w:top w:w="80" w:type="dxa"/>
              <w:start w:w="80" w:type="dxa"/>
              <w:bottom w:w="80" w:type="dxa"/>
              <w:end w:w="80" w:type="dxa"/>
            </w:tcMar>
          </w:tcPr>
          <w:p>
            <w:r>
              <w:rPr>
                <w:sz w:val="16"/>
              </w:rPr>
              <w:t>Inbound / outbound and wave / WT sequence</w:t>
            </w:r>
          </w:p>
        </w:tc>
      </w:tr>
      <w:tr>
        <w:tc>
          <w:tcPr>
            <w:tcW w:type="dxa" w:w="4320"/>
            <w:vAlign w:val="center"/>
            <w:tcMar>
              <w:top w:w="80" w:type="dxa"/>
              <w:start w:w="80" w:type="dxa"/>
              <w:bottom w:w="80" w:type="dxa"/>
              <w:end w:w="80" w:type="dxa"/>
            </w:tcMar>
          </w:tcPr>
          <w:p>
            <w:r>
              <w:rPr>
                <w:sz w:val="16"/>
              </w:rPr>
              <w:t>Integration workflow design</w:t>
            </w:r>
          </w:p>
        </w:tc>
        <w:tc>
          <w:tcPr>
            <w:tcW w:type="dxa" w:w="1152"/>
            <w:vAlign w:val="center"/>
            <w:tcMar>
              <w:top w:w="80" w:type="dxa"/>
              <w:start w:w="80" w:type="dxa"/>
              <w:bottom w:w="80" w:type="dxa"/>
              <w:end w:w="80" w:type="dxa"/>
            </w:tcMar>
          </w:tcPr>
          <w:p>
            <w:r>
              <w:rPr>
                <w:sz w:val="16"/>
              </w:rPr>
              <w:t>3.0</w:t>
            </w:r>
          </w:p>
        </w:tc>
        <w:tc>
          <w:tcPr>
            <w:tcW w:type="dxa" w:w="5328"/>
            <w:vAlign w:val="center"/>
            <w:tcMar>
              <w:top w:w="80" w:type="dxa"/>
              <w:start w:w="80" w:type="dxa"/>
              <w:bottom w:w="80" w:type="dxa"/>
              <w:end w:w="80" w:type="dxa"/>
            </w:tcMar>
          </w:tcPr>
          <w:p>
            <w:r>
              <w:rPr>
                <w:sz w:val="16"/>
              </w:rPr>
              <w:t>ERP-TM-EWM synchronization diagram and controls</w:t>
            </w:r>
          </w:p>
        </w:tc>
      </w:tr>
      <w:tr>
        <w:tc>
          <w:tcPr>
            <w:tcW w:type="dxa" w:w="4320"/>
            <w:vAlign w:val="center"/>
            <w:tcMar>
              <w:top w:w="80" w:type="dxa"/>
              <w:start w:w="80" w:type="dxa"/>
              <w:bottom w:w="80" w:type="dxa"/>
              <w:end w:w="80" w:type="dxa"/>
            </w:tcMar>
          </w:tcPr>
          <w:p>
            <w:r>
              <w:rPr>
                <w:sz w:val="16"/>
              </w:rPr>
              <w:t>Worked examples / calculations</w:t>
            </w:r>
          </w:p>
        </w:tc>
        <w:tc>
          <w:tcPr>
            <w:tcW w:type="dxa" w:w="1152"/>
            <w:vAlign w:val="center"/>
            <w:tcMar>
              <w:top w:w="80" w:type="dxa"/>
              <w:start w:w="80" w:type="dxa"/>
              <w:bottom w:w="80" w:type="dxa"/>
              <w:end w:w="80" w:type="dxa"/>
            </w:tcMar>
          </w:tcPr>
          <w:p>
            <w:r>
              <w:rPr>
                <w:sz w:val="16"/>
              </w:rPr>
              <w:t>3.0</w:t>
            </w:r>
          </w:p>
        </w:tc>
        <w:tc>
          <w:tcPr>
            <w:tcW w:type="dxa" w:w="5328"/>
            <w:vAlign w:val="center"/>
            <w:tcMar>
              <w:top w:w="80" w:type="dxa"/>
              <w:start w:w="80" w:type="dxa"/>
              <w:bottom w:w="80" w:type="dxa"/>
              <w:end w:w="80" w:type="dxa"/>
            </w:tcMar>
          </w:tcPr>
          <w:p>
            <w:r>
              <w:rPr>
                <w:sz w:val="16"/>
              </w:rPr>
              <w:t>Consolidation, occupancy, slotting and dock-turnaround calculations</w:t>
            </w:r>
          </w:p>
        </w:tc>
      </w:tr>
      <w:tr>
        <w:tc>
          <w:tcPr>
            <w:tcW w:type="dxa" w:w="4320"/>
            <w:vAlign w:val="center"/>
            <w:tcMar>
              <w:top w:w="80" w:type="dxa"/>
              <w:start w:w="80" w:type="dxa"/>
              <w:bottom w:w="80" w:type="dxa"/>
              <w:end w:w="80" w:type="dxa"/>
            </w:tcMar>
          </w:tcPr>
          <w:p>
            <w:r>
              <w:rPr>
                <w:sz w:val="16"/>
              </w:rPr>
              <w:t>Risk and contingency analysis</w:t>
            </w:r>
          </w:p>
        </w:tc>
        <w:tc>
          <w:tcPr>
            <w:tcW w:type="dxa" w:w="1152"/>
            <w:vAlign w:val="center"/>
            <w:tcMar>
              <w:top w:w="80" w:type="dxa"/>
              <w:start w:w="80" w:type="dxa"/>
              <w:bottom w:w="80" w:type="dxa"/>
              <w:end w:w="80" w:type="dxa"/>
            </w:tcMar>
          </w:tcPr>
          <w:p>
            <w:r>
              <w:rPr>
                <w:sz w:val="16"/>
              </w:rPr>
              <w:t>2.0</w:t>
            </w:r>
          </w:p>
        </w:tc>
        <w:tc>
          <w:tcPr>
            <w:tcW w:type="dxa" w:w="5328"/>
            <w:vAlign w:val="center"/>
            <w:tcMar>
              <w:top w:w="80" w:type="dxa"/>
              <w:start w:w="80" w:type="dxa"/>
              <w:bottom w:w="80" w:type="dxa"/>
              <w:end w:w="80" w:type="dxa"/>
            </w:tcMar>
          </w:tcPr>
          <w:p>
            <w:r>
              <w:rPr>
                <w:sz w:val="16"/>
              </w:rPr>
              <w:t>Risk register with indicators and response actions</w:t>
            </w:r>
          </w:p>
        </w:tc>
      </w:tr>
      <w:tr>
        <w:tc>
          <w:tcPr>
            <w:tcW w:type="dxa" w:w="4320"/>
            <w:vAlign w:val="center"/>
            <w:tcMar>
              <w:top w:w="80" w:type="dxa"/>
              <w:start w:w="80" w:type="dxa"/>
              <w:bottom w:w="80" w:type="dxa"/>
              <w:end w:w="80" w:type="dxa"/>
            </w:tcMar>
          </w:tcPr>
          <w:p>
            <w:r>
              <w:rPr>
                <w:sz w:val="16"/>
              </w:rPr>
              <w:t>Validation / governance design</w:t>
            </w:r>
          </w:p>
        </w:tc>
        <w:tc>
          <w:tcPr>
            <w:tcW w:type="dxa" w:w="1152"/>
            <w:vAlign w:val="center"/>
            <w:tcMar>
              <w:top w:w="80" w:type="dxa"/>
              <w:start w:w="80" w:type="dxa"/>
              <w:bottom w:w="80" w:type="dxa"/>
              <w:end w:w="80" w:type="dxa"/>
            </w:tcMar>
          </w:tcPr>
          <w:p>
            <w:r>
              <w:rPr>
                <w:sz w:val="16"/>
              </w:rPr>
              <w:t>2.0</w:t>
            </w:r>
          </w:p>
        </w:tc>
        <w:tc>
          <w:tcPr>
            <w:tcW w:type="dxa" w:w="5328"/>
            <w:vAlign w:val="center"/>
            <w:tcMar>
              <w:top w:w="80" w:type="dxa"/>
              <w:start w:w="80" w:type="dxa"/>
              <w:bottom w:w="80" w:type="dxa"/>
              <w:end w:w="80" w:type="dxa"/>
            </w:tcMar>
          </w:tcPr>
          <w:p>
            <w:r>
              <w:rPr>
                <w:sz w:val="16"/>
              </w:rPr>
              <w:t>10-test validation plan plus ownership matrix</w:t>
            </w:r>
          </w:p>
        </w:tc>
      </w:tr>
      <w:tr>
        <w:tc>
          <w:tcPr>
            <w:tcW w:type="dxa" w:w="4320"/>
            <w:vAlign w:val="center"/>
            <w:tcMar>
              <w:top w:w="80" w:type="dxa"/>
              <w:start w:w="80" w:type="dxa"/>
              <w:bottom w:w="80" w:type="dxa"/>
              <w:end w:w="80" w:type="dxa"/>
            </w:tcMar>
          </w:tcPr>
          <w:p>
            <w:r>
              <w:rPr>
                <w:sz w:val="16"/>
              </w:rPr>
              <w:t>KPI framework and evaluation</w:t>
            </w:r>
          </w:p>
        </w:tc>
        <w:tc>
          <w:tcPr>
            <w:tcW w:type="dxa" w:w="1152"/>
            <w:vAlign w:val="center"/>
            <w:tcMar>
              <w:top w:w="80" w:type="dxa"/>
              <w:start w:w="80" w:type="dxa"/>
              <w:bottom w:w="80" w:type="dxa"/>
              <w:end w:w="80" w:type="dxa"/>
            </w:tcMar>
          </w:tcPr>
          <w:p>
            <w:r>
              <w:rPr>
                <w:sz w:val="16"/>
              </w:rPr>
              <w:t>1.5</w:t>
            </w:r>
          </w:p>
        </w:tc>
        <w:tc>
          <w:tcPr>
            <w:tcW w:type="dxa" w:w="5328"/>
            <w:vAlign w:val="center"/>
            <w:tcMar>
              <w:top w:w="80" w:type="dxa"/>
              <w:start w:w="80" w:type="dxa"/>
              <w:bottom w:w="80" w:type="dxa"/>
              <w:end w:w="80" w:type="dxa"/>
            </w:tcMar>
          </w:tcPr>
          <w:p>
            <w:r>
              <w:rPr>
                <w:sz w:val="16"/>
              </w:rPr>
              <w:t>Baseline / target KPI table</w:t>
            </w:r>
          </w:p>
        </w:tc>
      </w:tr>
      <w:tr>
        <w:tc>
          <w:tcPr>
            <w:tcW w:type="dxa" w:w="4320"/>
            <w:vAlign w:val="center"/>
            <w:tcMar>
              <w:top w:w="80" w:type="dxa"/>
              <w:start w:w="80" w:type="dxa"/>
              <w:bottom w:w="80" w:type="dxa"/>
              <w:end w:w="80" w:type="dxa"/>
            </w:tcMar>
          </w:tcPr>
          <w:p>
            <w:r>
              <w:rPr>
                <w:sz w:val="16"/>
              </w:rPr>
              <w:t>Formatting, review and final documentation</w:t>
            </w:r>
          </w:p>
        </w:tc>
        <w:tc>
          <w:tcPr>
            <w:tcW w:type="dxa" w:w="1152"/>
            <w:vAlign w:val="center"/>
            <w:tcMar>
              <w:top w:w="80" w:type="dxa"/>
              <w:start w:w="80" w:type="dxa"/>
              <w:bottom w:w="80" w:type="dxa"/>
              <w:end w:w="80" w:type="dxa"/>
            </w:tcMar>
          </w:tcPr>
          <w:p>
            <w:r>
              <w:rPr>
                <w:sz w:val="16"/>
              </w:rPr>
              <w:t>1.5</w:t>
            </w:r>
          </w:p>
        </w:tc>
        <w:tc>
          <w:tcPr>
            <w:tcW w:type="dxa" w:w="5328"/>
            <w:vAlign w:val="center"/>
            <w:tcMar>
              <w:top w:w="80" w:type="dxa"/>
              <w:start w:w="80" w:type="dxa"/>
              <w:bottom w:w="80" w:type="dxa"/>
              <w:end w:w="80" w:type="dxa"/>
            </w:tcMar>
          </w:tcPr>
          <w:p>
            <w:r>
              <w:rPr>
                <w:sz w:val="16"/>
              </w:rPr>
              <w:t>Final report QA and submission-ready DOCX</w:t>
            </w:r>
          </w:p>
        </w:tc>
      </w:tr>
    </w:tbl>
    <w:p>
      <w:pPr>
        <w:spacing w:after="40"/>
      </w:pPr>
    </w:p>
    <w:p>
      <w:r>
        <w:t>Total estimated effort = 33.0 hours, within the requested 30-35 hour range. The table is an effort plan for the assignment, not a claim of system-logged working hours.</w:t>
      </w:r>
    </w:p>
    <w:p>
      <w:r>
        <w:br w:type="page"/>
      </w:r>
    </w:p>
    <w:p>
      <w:pPr>
        <w:pStyle w:val="Heading1"/>
      </w:pPr>
      <w:r>
        <w:t>13. Learning Outcomes and Analytical Evaluation</w:t>
      </w:r>
    </w:p>
    <w:p>
      <w:r>
        <w:t>The strongest learning from this project is that transportation and warehouse optimization cannot be treated as separate topics. A low-cost transport plan can fail if the warehouse cannot pick and stage the load before departure. Likewise, a highly efficient picking wave can still create poor logistics performance if it is released too early and blocks staging capacity or if it is not aligned to the correct carrier and route.</w:t>
      </w:r>
    </w:p>
    <w:p>
      <w:r>
        <w:t>The quantitative examples also changed the planning decision. The Vijayawada case shows that vehicle-fill improvement is valuable only when delivery windows remain feasible. The 92% warehouse peak occupancy shows why inventory capacity must include working space, not only storage positions. The slotting example provides a measurable hypothesis that should be piloted and verified before a large rearrangement.</w:t>
      </w:r>
    </w:p>
    <w:p>
      <w:r>
        <w:t>From an SAP perspective, the exercise connected transportation requirements, freight planning, freight orders, warehouse requests, waves, warehouse tasks, staging, transportation units and loading status into one end-to-end process. It also reinforced the need for clear ownership of master data and interfaces.</w:t>
      </w:r>
    </w:p>
    <w:p>
      <w:pPr>
        <w:pStyle w:val="Heading1"/>
      </w:pPr>
      <w:r>
        <w:t>14. Conclusion</w:t>
      </w:r>
    </w:p>
    <w:p>
      <w:r>
        <w:t>This Week 4 project designed an integrated transportation and warehouse logistics framework for a 150-tonne-per-week packaged-food network. The proposed process uses road, rail-linked and local-delivery modes, shipment consolidation, departure-driven wave planning, EWM-style warehouse execution and ERP / TM / EWM synchronization. The report moves beyond conceptual definitions by using worked load, capacity, occupancy, travel-distance and turnaround calculations, supported by validation tests and governance controls.</w:t>
      </w:r>
    </w:p>
    <w:p>
      <w:r>
        <w:t>The recommended operating model is to consolidate compatible freight, keep peak warehouse occupancy below escalation thresholds, release waves according to transport departure, segregate staging by route / TU, monitor integration mismatches, and use contingency capacity for disruptions. The result is a logistics design that balances freight cost, service, warehouse flow and execution feasibility rather than optimizing any one metric in isolation.</w:t>
      </w:r>
    </w:p>
    <w:p>
      <w:r>
        <w:br w:type="page"/>
      </w:r>
    </w:p>
    <w:p>
      <w:pPr>
        <w:pStyle w:val="Heading1"/>
      </w:pPr>
      <w:r>
        <w:t>15. References</w:t>
      </w:r>
    </w:p>
    <w:p>
      <w:r>
        <w:rPr>
          <w:b/>
        </w:rPr>
        <w:t>SAP Help Portal - Outbound-Delivery-Based Transportation Planning (SAP TM)</w:t>
      </w:r>
      <w:r>
        <w:t xml:space="preserve"> - Explains planning based on outbound deliveries and direct TM-EWM integration for warehouse loading. Accessed 7 September 2026.</w:t>
      </w:r>
    </w:p>
    <w:p>
      <w:r>
        <w:rPr>
          <w:b/>
        </w:rPr>
        <w:t>SAP Help Portal - Integration with Extended Warehouse Management (TM)</w:t>
      </w:r>
      <w:r>
        <w:t xml:space="preserve"> - Describes direct TM-EWM integration options, including freight-order and delivery / TU-based approaches. Accessed 7 September 2026.</w:t>
      </w:r>
    </w:p>
    <w:p>
      <w:r>
        <w:rPr>
          <w:b/>
        </w:rPr>
        <w:t>SAP Help Portal - Freight Order Management (SAP TM)</w:t>
      </w:r>
      <w:r>
        <w:t xml:space="preserve"> - Describes freight orders / bookings and their role in transportation planning and execution. Accessed 7 September 2026.</w:t>
      </w:r>
    </w:p>
    <w:p>
      <w:r>
        <w:rPr>
          <w:b/>
        </w:rPr>
        <w:t>SAP Help Portal - ERP Logistics Integration (SAP TM)</w:t>
      </w:r>
      <w:r>
        <w:t xml:space="preserve"> - Describes how ERP orders and deliveries are represented in TM and used for transportation planning. Accessed 7 September 2026.</w:t>
      </w:r>
    </w:p>
    <w:p>
      <w:r>
        <w:rPr>
          <w:b/>
        </w:rPr>
        <w:t>SAP Help Portal - Transport Load Builder / TLB Planner (SAP SCM SNP)</w:t>
      </w:r>
      <w:r>
        <w:t xml:space="preserve"> - Explains grouping of planned transport loads within weight / volume limits and transportation-lane / profile setup. Accessed 7 September 2026.</w:t>
      </w:r>
    </w:p>
    <w:p>
      <w:r>
        <w:rPr>
          <w:b/>
        </w:rPr>
        <w:t>SAP Help Portal - Putaway and Stock Removal Strategies (SAP EWM)</w:t>
      </w:r>
      <w:r>
        <w:t xml:space="preserve"> - Describes EWM bin determination for goods receipt, goods issue and internal movements. Accessed 7 September 2026.</w:t>
      </w:r>
    </w:p>
    <w:p>
      <w:r>
        <w:rPr>
          <w:b/>
        </w:rPr>
        <w:t>SAP Help Portal - Creation of Warehouse Tasks for Stock Removal (SAP EWM)</w:t>
      </w:r>
      <w:r>
        <w:t xml:space="preserve"> - Explains creation of outbound warehouse tasks and wave release. Accessed 7 September 2026.</w:t>
      </w:r>
    </w:p>
    <w:p>
      <w:r>
        <w:rPr>
          <w:b/>
        </w:rPr>
        <w:t>SAP Help Portal - Staging Area and Door (SAP EWM)</w:t>
      </w:r>
      <w:r>
        <w:t xml:space="preserve"> - Explains staging areas, doors and their role in goods receipt / issue and vehicle loading / unloading. Accessed 7 September 2026.</w:t>
      </w:r>
    </w:p>
    <w:p>
      <w:r>
        <w:t>Reference note: SAP product architecture differs by system release (for example, standalone SAP SCM / APO, standalone TM / EWM, or embedded S/4HANA capabilities). This report therefore presents a conceptual integration blueprint and avoids claiming that every object is configured in a single identical system landscape.</w:t>
      </w:r>
    </w:p>
    <w:p>
      <w:pPr>
        <w:pStyle w:val="Heading1"/>
      </w:pPr>
      <w:r>
        <w:t>Portal Submission Description (200+ words)</w:t>
      </w:r>
    </w:p>
    <w:p>
      <w:r>
        <w:t>This Week 4 report presents a Transportation Management and Warehouse Logistics project using SAP supply-chain concepts, with emphasis on the integration of SAP Transportation Management, SAP Extended Warehouse Management, ERP logistics and SAP SCM/SNP Transport Load Builder principles. I continued the fictional Deccan Harvest Foods Pvt. Ltd. scenario and modeled approximately 150 tonnes of weekly finished-goods movement from Hyderabad to Telangana, Andhra Pradesh and Karnataka using road, rail-linked and local-delivery modes. The report explains transportation master data, freight-unit and freight-order planning, carrier and capacity considerations, transportation lanes, load consolidation and synchronization with warehouse execution.</w:t>
        <w:br/>
        <w:br/>
        <w:t>The warehouse section covers storage types, bins, activity areas, warehouse process types, doors, staging areas, waves, warehouse tasks, picking, packing, loading and putaway. The operational workflow links planned departure times with wave release and staging so that transport and warehouse activities remain synchronized. I included specific worked examples to strengthen the analysis: a Vijayawada load-consolidation case improves modeled vehicle fill from 70.3% to 93.75% and avoids one truck trip per week; a warehouse slotting example reduces modeled picker travel by 29%; and peak warehouse occupancy is evaluated at 92%. The report also includes KPI targets, ten validation tests, governance ownership, integration controls, a risk register and an estimated 33-hour project plan. All quantities, costs and performance results are illustrative and are presented as an internship planning simulation rather than live SAP execution.</w:t>
      </w:r>
    </w:p>
    <w:sectPr w:rsidR="00FC693F" w:rsidRPr="0006063C" w:rsidSect="00034616">
      <w:footerReference w:type="default" r:id="rId9"/>
      <w:headerReference w:type="default" r:id="rId10"/>
      <w:pgSz w:w="11909" w:h="16834"/>
      <w:pgMar w:top="893" w:right="979" w:bottom="893"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 xml:space="preserve">Week 4 - SAP SCM Transportation &amp; Warehouse Logistics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Hrudhai Prem Kumar Patwari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ptos Display" w:hAnsi="Aptos Display"/>
      <w:b/>
      <w:bCs/>
      <w:color w:val="1F3751"/>
      <w:sz w:val="36"/>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Aptos Display" w:hAnsi="Aptos Display"/>
      <w:b/>
      <w:bCs/>
      <w:color w:val="1F375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375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3751"/>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i/>
      <w:color w:val="5A5A5A"/>
      <w:sz w:val="17"/>
    </w:rPr>
  </w:style>
  <w:style w:type="paragraph" w:customStyle="1" w:styleId="TableText">
    <w:name w:val="Table Text"/>
    <w:rPr>
      <w:rFonts w:ascii="Aptos" w:hAnsi="Apto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