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Salesforce Performance Evaluation and Improvement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presents a simulated performance review for the Cedarline Office Products training scenario. It demonstrates how an operations team might define a small set of indicators, establish a transparent baseline, and prioritize improvement actions without confusing a planning target with a measured result. The example covers lead assignment timeliness, account and opportunity data completeness, case first-response timeliness, and user-practice completion. Each measure is defined with a numerator, denominator, period, and intended interpretation. The sample is hypothetical and is included only to illustrate KPI and dashboard planning.</w:t>
        <w:br/>
        <w:br/>
        <w:t>The simulated baseline assumes 84% of leads are assigned within one business day, 82% of selected account fields are complete, 78% of open opportunities have a documented next step, and 76% of eligible cases receive a first response within a training target. Proposed targets are 96%, 95%, 92%, and 88%, respectively; a separate practice completion target is 85%. These are goals for discussion, not predictions. The report explains how ownership clarification, improved entry guidance, routing exception review, and user practice could be evaluated over time. It cautions that definitions, data quality, volume, seasonality, and policy changes affect interpretation. No live Salesforce telemetry was accessed, no dashboard was built, and no improvement was implemented or measured. Every number is labeled simulated training data. The report demonstrates KPI reasoning and continuous-improvement planning without presenting illustrative values as realized business outcomes.</w:t>
      </w:r>
    </w:p>
    <w:p>
      <w:r>
        <w:rPr>
          <w:i/>
        </w:rPr>
        <w:t>Description length: 225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Use a hypothetical monthly period. Rates equal eligible records or cases meeting the condition divided by all eligible records or cases reviewed. Baselines and targets are illustrative; no real data extract or telemetry was used.</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Lead assignment within one business day</w:t>
      </w:r>
    </w:p>
    <w:p>
      <w:r>
        <w:t>Formula: eligible new leads assigned within one business day ÷ eligible new leads × 100. Simulated baseline 84%; planning target 96%. The metric alone cannot distinguish missing routing data from workload imbalance.</w:t>
      </w:r>
    </w:p>
    <w:p>
      <w:pPr>
        <w:pStyle w:val="Heading2"/>
      </w:pPr>
      <w:r>
        <w:t>Account profile completeness</w:t>
      </w:r>
    </w:p>
    <w:p>
      <w:r>
        <w:t>Formula: audited accounts with selected required fields ÷ accounts reviewed × 100. Simulated baseline 82%; planning target 95%. Define the fields and denominator before comparison.</w:t>
      </w:r>
    </w:p>
    <w:p>
      <w:pPr>
        <w:pStyle w:val="Heading2"/>
      </w:pPr>
      <w:r>
        <w:t>Opportunity next-step completeness</w:t>
      </w:r>
    </w:p>
    <w:p>
      <w:r>
        <w:t>Formula: open opportunities with next step ÷ open opportunities reviewed × 100. Simulated baseline 78%; planning target 92%. Interpret with stage and age.</w:t>
      </w:r>
    </w:p>
    <w:p>
      <w:pPr>
        <w:pStyle w:val="Heading2"/>
      </w:pPr>
      <w:r>
        <w:t>Case first response within target</w:t>
      </w:r>
    </w:p>
    <w:p>
      <w:r>
        <w:t>Formula: eligible cases meeting the agreed first-response time ÷ eligible cases reviewed × 100. Simulated baseline 76%; planning target 88%. The service duration and exclusions must be defined.</w:t>
      </w:r>
    </w:p>
    <w:p>
      <w:pPr>
        <w:pStyle w:val="Heading2"/>
      </w:pPr>
      <w:r>
        <w:t>Training practice completion</w:t>
      </w:r>
    </w:p>
    <w:p>
      <w:r>
        <w:t>Formula: users completing assigned practice ÷ users assigned practice × 100. Illustrative target 85%. Completion does not prove proficiency.</w:t>
      </w:r>
    </w:p>
    <w:p>
      <w:pPr>
        <w:pStyle w:val="Heading1"/>
      </w:pPr>
      <w:r>
        <w:t>Recommendations</w:t>
      </w:r>
    </w:p>
    <w:p>
      <w:pPr>
        <w:pStyle w:val="ListNumber"/>
      </w:pPr>
      <w:r>
        <w:t>Publish metric owners, formulas, source fields, exclusions, period, and refresh cadence.</w:t>
      </w:r>
    </w:p>
    <w:p>
      <w:pPr>
        <w:pStyle w:val="ListNumber"/>
      </w:pPr>
      <w:r>
        <w:t>Validate counts before setting commitments.</w:t>
      </w:r>
    </w:p>
    <w:p>
      <w:pPr>
        <w:pStyle w:val="ListNumber"/>
      </w:pPr>
      <w:r>
        <w:t>Prioritize a small number of interventions and track exceptions.</w:t>
      </w:r>
    </w:p>
    <w:p>
      <w:pPr>
        <w:pStyle w:val="ListNumber"/>
      </w:pPr>
      <w:r>
        <w:t>Compare similar periods and investigate causes before attributing changes.</w:t>
      </w:r>
    </w:p>
    <w:p>
      <w:pPr>
        <w:pStyle w:val="ListNumber"/>
      </w:pPr>
      <w:r>
        <w:t>Report actual outcomes only after approved data collection; keep targets distinct from results.</w:t>
      </w:r>
    </w:p>
    <w:p>
      <w:pPr>
        <w:pStyle w:val="Heading1"/>
      </w:pPr>
      <w:r>
        <w:t>Conclusion and next steps</w:t>
      </w:r>
    </w:p>
    <w:p>
      <w:r>
        <w:t>A useful performance review links consistent definitions to actions. These illustrative figures do not establish current performance or forecast gains. A real review would validate data, access, and policy definitions before intervention. No live dashboard or improvement is claimed.</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