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pPr>
      <w:r>
        <w:rPr>
          <w:b/>
          <w:color w:val="16697A"/>
          <w:sz w:val="20"/>
        </w:rPr>
        <w:t>WEEK 1  /  STRATEGIC PLAN</w:t>
      </w:r>
    </w:p>
    <w:p>
      <w:pPr>
        <w:pStyle w:val="Title"/>
      </w:pPr>
      <w:r>
        <w:t>Strategic Planning for SAP SD Integration</w:t>
      </w:r>
    </w:p>
    <w:p>
      <w:pPr>
        <w:spacing w:after="440"/>
      </w:pPr>
      <w:r>
        <w:rPr>
          <w:color w:val="556470"/>
          <w:sz w:val="24"/>
        </w:rPr>
        <w:t>Business alignment, feasibility, delivery plan, estimated budget, resources, and risk controls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880"/>
            <w:vAlign w:val="center"/>
            <w:shd w:fill="15324B"/>
          </w:tcPr>
          <w:p>
            <w:pPr>
              <w:spacing w:after="20"/>
            </w:pPr>
            <w:r/>
            <w:r>
              <w:rPr>
                <w:rFonts w:ascii="Aptos" w:hAnsi="Aptos"/>
                <w:b/>
                <w:color w:val="FFFFFF"/>
                <w:sz w:val="16"/>
              </w:rPr>
              <w:t>REPORT DETAILS</w:t>
            </w:r>
          </w:p>
        </w:tc>
        <w:tc>
          <w:tcPr>
            <w:tcW w:type="dxa" w:w="7056"/>
            <w:vAlign w:val="center"/>
            <w:shd w:fill="15324B"/>
          </w:tcPr>
          <w:p>
            <w:pPr>
              <w:spacing w:after="20"/>
            </w:pPr>
            <w:r/>
            <w:r>
              <w:rPr>
                <w:rFonts w:ascii="Aptos" w:hAnsi="Aptos"/>
                <w:b/>
                <w:color w:val="FFFFFF"/>
                <w:sz w:val="16"/>
              </w:rPr>
              <w:t>VALUE</w:t>
            </w:r>
          </w:p>
        </w:tc>
      </w:tr>
      <w:tr>
        <w:tc>
          <w:tcPr>
            <w:tcW w:type="dxa" w:w="2880"/>
            <w:vAlign w:val="center"/>
            <w:shd w:fill="F1F6F8"/>
          </w:tcPr>
          <w:p>
            <w:pPr>
              <w:spacing w:after="20"/>
            </w:pPr>
            <w:r/>
            <w:r>
              <w:rPr>
                <w:rFonts w:ascii="Aptos" w:hAnsi="Aptos"/>
                <w:b w:val="0"/>
                <w:sz w:val="15"/>
              </w:rPr>
              <w:t>Program</w:t>
            </w:r>
          </w:p>
        </w:tc>
        <w:tc>
          <w:tcPr>
            <w:tcW w:type="dxa" w:w="7056"/>
            <w:vAlign w:val="center"/>
            <w:shd w:fill="F1F6F8"/>
          </w:tcPr>
          <w:p>
            <w:pPr>
              <w:spacing w:after="20"/>
            </w:pPr>
            <w:r/>
            <w:r>
              <w:rPr>
                <w:rFonts w:ascii="Aptos" w:hAnsi="Aptos"/>
                <w:b w:val="0"/>
                <w:sz w:val="15"/>
              </w:rPr>
              <w:t>Junior SAP SD Integration Specialist virtual internship</w:t>
            </w:r>
          </w:p>
        </w:tc>
      </w:tr>
      <w:tr>
        <w:tc>
          <w:tcPr>
            <w:tcW w:type="dxa" w:w="2880"/>
            <w:vAlign w:val="center"/>
            <w:shd w:fill="FFFFFF"/>
          </w:tcPr>
          <w:p>
            <w:pPr>
              <w:spacing w:after="20"/>
            </w:pPr>
            <w:r/>
            <w:r>
              <w:rPr>
                <w:rFonts w:ascii="Aptos" w:hAnsi="Aptos"/>
                <w:b w:val="0"/>
                <w:sz w:val="15"/>
              </w:rPr>
              <w:t>Task period</w:t>
            </w:r>
          </w:p>
        </w:tc>
        <w:tc>
          <w:tcPr>
            <w:tcW w:type="dxa" w:w="7056"/>
            <w:vAlign w:val="center"/>
            <w:shd w:fill="FFFFFF"/>
          </w:tcPr>
          <w:p>
            <w:pPr>
              <w:spacing w:after="20"/>
            </w:pPr>
            <w:r/>
            <w:r>
              <w:rPr>
                <w:rFonts w:ascii="Aptos" w:hAnsi="Aptos"/>
                <w:b w:val="0"/>
                <w:sz w:val="15"/>
              </w:rPr>
              <w:t>30 October–6 November 2026 (Week 1 of 30 October–27 November 2026)</w:t>
            </w:r>
          </w:p>
        </w:tc>
      </w:tr>
      <w:tr>
        <w:tc>
          <w:tcPr>
            <w:tcW w:type="dxa" w:w="2880"/>
            <w:vAlign w:val="center"/>
            <w:shd w:fill="F1F6F8"/>
          </w:tcPr>
          <w:p>
            <w:pPr>
              <w:spacing w:after="20"/>
            </w:pPr>
            <w:r/>
            <w:r>
              <w:rPr>
                <w:rFonts w:ascii="Aptos" w:hAnsi="Aptos"/>
                <w:b w:val="0"/>
                <w:sz w:val="15"/>
              </w:rPr>
              <w:t>Prepared</w:t>
            </w:r>
          </w:p>
        </w:tc>
        <w:tc>
          <w:tcPr>
            <w:tcW w:type="dxa" w:w="7056"/>
            <w:vAlign w:val="center"/>
            <w:shd w:fill="F1F6F8"/>
          </w:tcPr>
          <w:p>
            <w:pPr>
              <w:spacing w:after="20"/>
            </w:pPr>
            <w:r/>
            <w:r>
              <w:rPr>
                <w:rFonts w:ascii="Aptos" w:hAnsi="Aptos"/>
                <w:b w:val="0"/>
                <w:sz w:val="15"/>
              </w:rPr>
              <w:t>30 October 2026</w:t>
            </w:r>
          </w:p>
        </w:tc>
      </w:tr>
      <w:tr>
        <w:tc>
          <w:tcPr>
            <w:tcW w:type="dxa" w:w="2880"/>
            <w:vAlign w:val="center"/>
            <w:shd w:fill="FFFFFF"/>
          </w:tcPr>
          <w:p>
            <w:pPr>
              <w:spacing w:after="20"/>
            </w:pPr>
            <w:r/>
            <w:r>
              <w:rPr>
                <w:rFonts w:ascii="Aptos" w:hAnsi="Aptos"/>
                <w:b w:val="0"/>
                <w:sz w:val="15"/>
              </w:rPr>
              <w:t>Version</w:t>
            </w:r>
          </w:p>
        </w:tc>
        <w:tc>
          <w:tcPr>
            <w:tcW w:type="dxa" w:w="7056"/>
            <w:vAlign w:val="center"/>
            <w:shd w:fill="FFFFFF"/>
          </w:tcPr>
          <w:p>
            <w:pPr>
              <w:spacing w:after="20"/>
            </w:pPr>
            <w:r/>
            <w:r>
              <w:rPr>
                <w:rFonts w:ascii="Aptos" w:hAnsi="Aptos"/>
                <w:b w:val="0"/>
                <w:sz w:val="15"/>
              </w:rPr>
              <w:t>1.0 — portfolio case study</w:t>
            </w:r>
          </w:p>
        </w:tc>
      </w:tr>
      <w:tr>
        <w:tc>
          <w:tcPr>
            <w:tcW w:type="dxa" w:w="2880"/>
            <w:vAlign w:val="center"/>
            <w:shd w:fill="F1F6F8"/>
          </w:tcPr>
          <w:p>
            <w:pPr>
              <w:spacing w:after="20"/>
            </w:pPr>
            <w:r/>
            <w:r>
              <w:rPr>
                <w:rFonts w:ascii="Aptos" w:hAnsi="Aptos"/>
                <w:b w:val="0"/>
                <w:sz w:val="15"/>
              </w:rPr>
              <w:t>Case organization</w:t>
            </w:r>
          </w:p>
        </w:tc>
        <w:tc>
          <w:tcPr>
            <w:tcW w:type="dxa" w:w="7056"/>
            <w:vAlign w:val="center"/>
            <w:shd w:fill="F1F6F8"/>
          </w:tcPr>
          <w:p>
            <w:pPr>
              <w:spacing w:after="20"/>
            </w:pPr>
            <w:r/>
            <w:r>
              <w:rPr>
                <w:rFonts w:ascii="Aptos" w:hAnsi="Aptos"/>
                <w:b w:val="0"/>
                <w:sz w:val="15"/>
              </w:rPr>
              <w:t>Fictional mid-sized distributor (illustrative)</w:t>
            </w:r>
          </w:p>
        </w:tc>
      </w:tr>
      <w:tr>
        <w:tc>
          <w:tcPr>
            <w:tcW w:type="dxa" w:w="2880"/>
            <w:vAlign w:val="center"/>
            <w:shd w:fill="FFFFFF"/>
          </w:tcPr>
          <w:p>
            <w:pPr>
              <w:spacing w:after="20"/>
            </w:pPr>
            <w:r/>
            <w:r>
              <w:rPr>
                <w:rFonts w:ascii="Aptos" w:hAnsi="Aptos"/>
                <w:b w:val="0"/>
                <w:sz w:val="15"/>
              </w:rPr>
              <w:t>Estimated task effort</w:t>
            </w:r>
          </w:p>
        </w:tc>
        <w:tc>
          <w:tcPr>
            <w:tcW w:type="dxa" w:w="7056"/>
            <w:vAlign w:val="center"/>
            <w:shd w:fill="FFFFFF"/>
          </w:tcPr>
          <w:p>
            <w:pPr>
              <w:spacing w:after="20"/>
            </w:pPr>
            <w:r/>
            <w:r>
              <w:rPr>
                <w:rFonts w:ascii="Aptos" w:hAnsi="Aptos"/>
                <w:b w:val="0"/>
                <w:sz w:val="15"/>
              </w:rPr>
              <w:t>30–35 hours expected by the task brief; completion hours not asserted</w:t>
            </w:r>
          </w:p>
        </w:tc>
      </w:tr>
    </w:tbl>
    <w:p>
      <w:pPr>
        <w:spacing w:after="20"/>
      </w:pPr>
    </w:p>
    <w:p>
      <w:pPr>
        <w:spacing w:before="360"/>
      </w:pPr>
      <w:r>
        <w:rPr>
          <w:b/>
          <w:color w:val="16697A"/>
        </w:rPr>
        <w:t xml:space="preserve">Planning conclusion  </w:t>
      </w:r>
      <w:r>
        <w:t>Proceed to a bounded discovery and design phase, subject to business-owner confirmation, security review, and interface feasibility. Use a phased order-to-cash integration proposal with explicit acceptance criteria and a contingency buffer. All organization, scope, cost, schedule, and volume details in this report are assumptions for analysis, not facts about an internship host.</w:t>
      </w:r>
    </w:p>
    <w:p>
      <w:r>
        <w:br w:type="page"/>
      </w:r>
    </w:p>
    <w:p>
      <w:pPr>
        <w:pStyle w:val="Heading1"/>
      </w:pPr>
      <w:r>
        <w:t>Executive summary</w:t>
      </w:r>
    </w:p>
    <w:p>
      <w:r>
        <w:t>This strategic plan sets out a proposed approach for integrating a fictional distributor’s SAP Sales and Distribution (SD) order-to-cash process with an external digital sales channel. The business case is to reduce manual order re-entry, improve order-status visibility, and establish controlled exchange of order and fulfillment information. The recommendation is to validate requirements and interface feasibility first, then move through design, build/configuration, controlled testing, and readiness review with named decision gates.</w:t>
      </w:r>
    </w:p>
    <w:p>
      <w:r>
        <w:t>The plan assumes one sales channel, a limited initial order scope, and a non-production pilot before any broader rollout. A baseline-to-target business case, actual system landscape, vendor selection, and approved budget are not available in the task brief; they must be confirmed by real stakeholders before implementation. The illustrative schedule spans 12 weeks after authorization. The indicative implementation estimate is 650–900 delivery hours and USD 65,000–135,000, based on stated role-hour and blended-rate assumptions. These figures are planning examples, not a quote or approved budget.</w:t>
      </w:r>
    </w:p>
    <w:p>
      <w:r>
        <w:t>Key controls are early data and interface validation, clear ownership of master data and exceptions, security review before connectivity, traceable tests, reconciliation, and a rollback or manual-processing contingency. No live SAP access, configuration, implementation, or stakeholder consultation is represented here.</w:t>
      </w:r>
    </w:p>
    <w:p>
      <w:pPr>
        <w:pStyle w:val="Heading1"/>
      </w:pPr>
      <w:r>
        <w:t>1. Purpose and task alignment</w:t>
      </w:r>
    </w:p>
    <w:p>
      <w:r>
        <w:t>The supplied Week 1 task asks for strategic planning for SAP SD integration, including business and technical requirements, timeline and contingency, risk analysis, resource allocation, and budget estimation. This report provides a proposed planning baseline and identifies the decisions and evidence required before the case could be treated as an executable project plan.</w:t>
      </w:r>
    </w:p>
    <w:p>
      <w:pPr>
        <w:pStyle w:val="Heading2"/>
      </w:pPr>
      <w:r>
        <w:t>Objectives</w:t>
      </w:r>
    </w:p>
    <w:p>
      <w:pPr>
        <w:pStyle w:val="ListBullet"/>
        <w:spacing w:after="40"/>
      </w:pPr>
      <w:r>
        <w:t>Align the proposed integration with order-to-cash outcomes and measurable business needs.</w:t>
      </w:r>
    </w:p>
    <w:p>
      <w:pPr>
        <w:pStyle w:val="ListBullet"/>
        <w:spacing w:after="40"/>
      </w:pPr>
      <w:r>
        <w:t>Identify functional, data, technical, security, operational, and governance requirements for discovery.</w:t>
      </w:r>
    </w:p>
    <w:p>
      <w:pPr>
        <w:pStyle w:val="ListBullet"/>
        <w:spacing w:after="40"/>
      </w:pPr>
      <w:r>
        <w:t>Define a phased schedule, indicative effort and budget, roles, decision gates, and contingency.</w:t>
      </w:r>
    </w:p>
    <w:p>
      <w:pPr>
        <w:pStyle w:val="ListBullet"/>
        <w:spacing w:after="40"/>
      </w:pPr>
      <w:r>
        <w:t>Surface material risks early and assign a response and accountable role to each.</w:t>
      </w:r>
    </w:p>
    <w:p>
      <w:pPr>
        <w:pStyle w:val="ListBullet"/>
        <w:spacing w:after="40"/>
      </w:pPr>
      <w:r>
        <w:t>Set evidence boundaries so recommendations and assumptions are not mistaken for implementation results.</w:t>
      </w:r>
    </w:p>
    <w:p>
      <w:pPr>
        <w:pStyle w:val="Heading2"/>
      </w:pPr>
      <w:r>
        <w:t>Planning principles</w:t>
      </w:r>
    </w:p>
    <w:p>
      <w:pPr>
        <w:pStyle w:val="ListBullet"/>
        <w:spacing w:after="40"/>
      </w:pPr>
      <w:r>
        <w:t>Start with process ownership and business outcomes, then select interface patterns.</w:t>
      </w:r>
    </w:p>
    <w:p>
      <w:pPr>
        <w:pStyle w:val="ListBullet"/>
        <w:spacing w:after="40"/>
      </w:pPr>
      <w:r>
        <w:t>Keep the first release narrow and reversible; expand only after agreed acceptance criteria are met.</w:t>
      </w:r>
    </w:p>
    <w:p>
      <w:pPr>
        <w:pStyle w:val="ListBullet"/>
        <w:spacing w:after="40"/>
      </w:pPr>
      <w:r>
        <w:t>Design for duplicate protection, observable failures, controlled recovery, and reconciliation.</w:t>
      </w:r>
    </w:p>
    <w:p>
      <w:pPr>
        <w:pStyle w:val="ListBullet"/>
        <w:spacing w:after="40"/>
      </w:pPr>
      <w:r>
        <w:t>Require security and privacy review before exchange of any real data.</w:t>
      </w:r>
    </w:p>
    <w:p>
      <w:pPr>
        <w:pStyle w:val="ListBullet"/>
        <w:spacing w:after="40"/>
      </w:pPr>
      <w:r>
        <w:t>Maintain traceability from requirement to design decision, test case, and acceptance evidence.</w:t>
      </w:r>
    </w:p>
    <w:p>
      <w:pPr>
        <w:pStyle w:val="Heading1"/>
      </w:pPr>
      <w:r>
        <w:t>2. Case context, scope, and boundaries</w:t>
      </w:r>
    </w:p>
    <w:p>
      <w:pPr>
        <w:pStyle w:val="Heading2"/>
      </w:pPr>
      <w:r>
        <w:t>Illustrative business context</w:t>
      </w:r>
    </w:p>
    <w:p>
      <w:r>
        <w:t>The case organization is a fictional distributor that receives customer orders through an external web sales channel. The proposed exchange would send validated order information toward the SAP SD process and return order acknowledgement and selected status information to the channel. This scenario is used to focus the planning exercise; it is not a description of an actual company landscape.</w:t>
      </w:r>
    </w:p>
    <w:p>
      <w:pPr>
        <w:pStyle w:val="Heading2"/>
      </w:pPr>
      <w:r>
        <w:t>In scope</w:t>
      </w:r>
    </w:p>
    <w:p>
      <w:pPr>
        <w:pStyle w:val="ListBullet"/>
        <w:spacing w:after="40"/>
      </w:pPr>
      <w:r>
        <w:t>Discovery and prioritization of business and technical requirements for a single-channel pilot.</w:t>
      </w:r>
    </w:p>
    <w:p>
      <w:pPr>
        <w:pStyle w:val="ListBullet"/>
        <w:spacing w:after="40"/>
      </w:pPr>
      <w:r>
        <w:t>Conceptual integration of order submission, acknowledgement, and selected order-status updates.</w:t>
      </w:r>
    </w:p>
    <w:p>
      <w:pPr>
        <w:pStyle w:val="ListBullet"/>
        <w:spacing w:after="40"/>
      </w:pPr>
      <w:r>
        <w:t>Master-data and reference-data dependencies relevant to customer, material, units, pricing, and delivery information.</w:t>
      </w:r>
    </w:p>
    <w:p>
      <w:pPr>
        <w:pStyle w:val="ListBullet"/>
        <w:spacing w:after="40"/>
      </w:pPr>
      <w:r>
        <w:t>Planning for security, monitoring, exception management, reconciliation, testing, change, and support readiness.</w:t>
      </w:r>
    </w:p>
    <w:p>
      <w:pPr>
        <w:pStyle w:val="Heading2"/>
      </w:pPr>
      <w:r>
        <w:t>Out of scope</w:t>
      </w:r>
    </w:p>
    <w:p>
      <w:pPr>
        <w:pStyle w:val="ListBullet"/>
        <w:spacing w:after="40"/>
      </w:pPr>
      <w:r>
        <w:t>SAP configuration, custom development, interface activation, or connectivity to any tenant.</w:t>
      </w:r>
    </w:p>
    <w:p>
      <w:pPr>
        <w:pStyle w:val="ListBullet"/>
        <w:spacing w:after="40"/>
      </w:pPr>
      <w:r>
        <w:t>Production deployment, migration, operational support, or measured benefit realization.</w:t>
      </w:r>
    </w:p>
    <w:p>
      <w:pPr>
        <w:pStyle w:val="ListBullet"/>
        <w:spacing w:after="40"/>
      </w:pPr>
      <w:r>
        <w:t>Detailed solution selection or binding commitment to a vendor, platform, API, or protocol.</w:t>
      </w:r>
    </w:p>
    <w:p>
      <w:pPr>
        <w:pStyle w:val="ListBullet"/>
        <w:spacing w:after="40"/>
      </w:pPr>
      <w:r>
        <w:t>Real customer data, actual stakeholder interviews, contractual estimates, and organization-approved budgets.</w:t>
      </w:r>
    </w:p>
    <w:p>
      <w:pPr>
        <w:pStyle w:val="Heading1"/>
      </w:pPr>
      <w:r>
        <w:t>3. Strategic alignment and value measures</w:t>
      </w:r>
    </w:p>
    <w:p>
      <w:r>
        <w:t>The integration should be funded only if discovery confirms that the proposed outcomes matter to process owners and can be measured against a credible baseline. The measures below are candidate definitions; target values must be agreed from real baseline data and operational constraints.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vAlign w:val="center"/>
            <w:shd w:fill="15324B"/>
          </w:tcPr>
          <w:p>
            <w:pPr>
              <w:spacing w:after="20"/>
            </w:pPr>
            <w:r/>
            <w:r>
              <w:rPr>
                <w:rFonts w:ascii="Aptos" w:hAnsi="Aptos"/>
                <w:b/>
                <w:color w:val="FFFFFF"/>
                <w:sz w:val="16"/>
              </w:rPr>
              <w:t>BUSINESS OUTCOME</w:t>
            </w:r>
          </w:p>
        </w:tc>
        <w:tc>
          <w:tcPr>
            <w:tcW w:type="dxa" w:w="3816"/>
            <w:vAlign w:val="center"/>
            <w:shd w:fill="15324B"/>
          </w:tcPr>
          <w:p>
            <w:pPr>
              <w:spacing w:after="20"/>
            </w:pPr>
            <w:r/>
            <w:r>
              <w:rPr>
                <w:rFonts w:ascii="Aptos" w:hAnsi="Aptos"/>
                <w:b/>
                <w:color w:val="FFFFFF"/>
                <w:sz w:val="16"/>
              </w:rPr>
              <w:t>CANDIDATE MEASURE</w:t>
            </w:r>
          </w:p>
        </w:tc>
        <w:tc>
          <w:tcPr>
            <w:tcW w:type="dxa" w:w="4032"/>
            <w:vAlign w:val="center"/>
            <w:shd w:fill="15324B"/>
          </w:tcPr>
          <w:p>
            <w:pPr>
              <w:spacing w:after="20"/>
            </w:pPr>
            <w:r/>
            <w:r>
              <w:rPr>
                <w:rFonts w:ascii="Aptos" w:hAnsi="Aptos"/>
                <w:b/>
                <w:color w:val="FFFFFF"/>
                <w:sz w:val="16"/>
              </w:rPr>
              <w:t>BASELINE / TARGET STATUS</w:t>
            </w:r>
          </w:p>
        </w:tc>
      </w:tr>
      <w:tr>
        <w:tc>
          <w:tcPr>
            <w:tcW w:type="dxa" w:w="2088"/>
            <w:vAlign w:val="center"/>
            <w:shd w:fill="F1F6F8"/>
          </w:tcPr>
          <w:p>
            <w:pPr>
              <w:spacing w:after="20"/>
            </w:pPr>
            <w:r/>
            <w:r>
              <w:rPr>
                <w:rFonts w:ascii="Aptos" w:hAnsi="Aptos"/>
                <w:b w:val="0"/>
                <w:sz w:val="15"/>
              </w:rPr>
              <w:t>Reduce manual re-entry</w:t>
            </w:r>
          </w:p>
        </w:tc>
        <w:tc>
          <w:tcPr>
            <w:tcW w:type="dxa" w:w="3816"/>
            <w:vAlign w:val="center"/>
            <w:shd w:fill="F1F6F8"/>
          </w:tcPr>
          <w:p>
            <w:pPr>
              <w:spacing w:after="20"/>
            </w:pPr>
            <w:r/>
            <w:r>
              <w:rPr>
                <w:rFonts w:ascii="Aptos" w:hAnsi="Aptos"/>
                <w:b w:val="0"/>
                <w:sz w:val="15"/>
              </w:rPr>
              <w:t>Share of in-scope orders processed without manual re-keying</w:t>
            </w:r>
          </w:p>
        </w:tc>
        <w:tc>
          <w:tcPr>
            <w:tcW w:type="dxa" w:w="4032"/>
            <w:vAlign w:val="center"/>
            <w:shd w:fill="F1F6F8"/>
          </w:tcPr>
          <w:p>
            <w:pPr>
              <w:spacing w:after="20"/>
            </w:pPr>
            <w:r/>
            <w:r>
              <w:rPr>
                <w:rFonts w:ascii="Aptos" w:hAnsi="Aptos"/>
                <w:b w:val="0"/>
                <w:sz w:val="15"/>
              </w:rPr>
              <w:t>Baseline and target to be established with process owner</w:t>
            </w:r>
          </w:p>
        </w:tc>
      </w:tr>
      <w:tr>
        <w:tc>
          <w:tcPr>
            <w:tcW w:type="dxa" w:w="2088"/>
            <w:vAlign w:val="center"/>
            <w:shd w:fill="FFFFFF"/>
          </w:tcPr>
          <w:p>
            <w:pPr>
              <w:spacing w:after="20"/>
            </w:pPr>
            <w:r/>
            <w:r>
              <w:rPr>
                <w:rFonts w:ascii="Aptos" w:hAnsi="Aptos"/>
                <w:b w:val="0"/>
                <w:sz w:val="15"/>
              </w:rPr>
              <w:t>Improve order visibility</w:t>
            </w:r>
          </w:p>
        </w:tc>
        <w:tc>
          <w:tcPr>
            <w:tcW w:type="dxa" w:w="3816"/>
            <w:vAlign w:val="center"/>
            <w:shd w:fill="FFFFFF"/>
          </w:tcPr>
          <w:p>
            <w:pPr>
              <w:spacing w:after="20"/>
            </w:pPr>
            <w:r/>
            <w:r>
              <w:rPr>
                <w:rFonts w:ascii="Aptos" w:hAnsi="Aptos"/>
                <w:b w:val="0"/>
                <w:sz w:val="15"/>
              </w:rPr>
              <w:t>Elapsed time from order submission to channel acknowledgement</w:t>
            </w:r>
          </w:p>
        </w:tc>
        <w:tc>
          <w:tcPr>
            <w:tcW w:type="dxa" w:w="4032"/>
            <w:vAlign w:val="center"/>
            <w:shd w:fill="FFFFFF"/>
          </w:tcPr>
          <w:p>
            <w:pPr>
              <w:spacing w:after="20"/>
            </w:pPr>
            <w:r/>
            <w:r>
              <w:rPr>
                <w:rFonts w:ascii="Aptos" w:hAnsi="Aptos"/>
                <w:b w:val="0"/>
                <w:sz w:val="15"/>
              </w:rPr>
              <w:t>Define percentile and service window after discovery</w:t>
            </w:r>
          </w:p>
        </w:tc>
      </w:tr>
      <w:tr>
        <w:tc>
          <w:tcPr>
            <w:tcW w:type="dxa" w:w="2088"/>
            <w:vAlign w:val="center"/>
            <w:shd w:fill="F1F6F8"/>
          </w:tcPr>
          <w:p>
            <w:pPr>
              <w:spacing w:after="20"/>
            </w:pPr>
            <w:r/>
            <w:r>
              <w:rPr>
                <w:rFonts w:ascii="Aptos" w:hAnsi="Aptos"/>
                <w:b w:val="0"/>
                <w:sz w:val="15"/>
              </w:rPr>
              <w:t>Protect order quality</w:t>
            </w:r>
          </w:p>
        </w:tc>
        <w:tc>
          <w:tcPr>
            <w:tcW w:type="dxa" w:w="3816"/>
            <w:vAlign w:val="center"/>
            <w:shd w:fill="F1F6F8"/>
          </w:tcPr>
          <w:p>
            <w:pPr>
              <w:spacing w:after="20"/>
            </w:pPr>
            <w:r/>
            <w:r>
              <w:rPr>
                <w:rFonts w:ascii="Aptos" w:hAnsi="Aptos"/>
                <w:b w:val="0"/>
                <w:sz w:val="15"/>
              </w:rPr>
              <w:t>First-pass valid order rate; correction rate by reason</w:t>
            </w:r>
          </w:p>
        </w:tc>
        <w:tc>
          <w:tcPr>
            <w:tcW w:type="dxa" w:w="4032"/>
            <w:vAlign w:val="center"/>
            <w:shd w:fill="F1F6F8"/>
          </w:tcPr>
          <w:p>
            <w:pPr>
              <w:spacing w:after="20"/>
            </w:pPr>
            <w:r/>
            <w:r>
              <w:rPr>
                <w:rFonts w:ascii="Aptos" w:hAnsi="Aptos"/>
                <w:b w:val="0"/>
                <w:sz w:val="15"/>
              </w:rPr>
              <w:t>Agree definitions and data source before pilot</w:t>
            </w:r>
          </w:p>
        </w:tc>
      </w:tr>
      <w:tr>
        <w:tc>
          <w:tcPr>
            <w:tcW w:type="dxa" w:w="2088"/>
            <w:vAlign w:val="center"/>
            <w:shd w:fill="FFFFFF"/>
          </w:tcPr>
          <w:p>
            <w:pPr>
              <w:spacing w:after="20"/>
            </w:pPr>
            <w:r/>
            <w:r>
              <w:rPr>
                <w:rFonts w:ascii="Aptos" w:hAnsi="Aptos"/>
                <w:b w:val="0"/>
                <w:sz w:val="15"/>
              </w:rPr>
              <w:t>Improve exception handling</w:t>
            </w:r>
          </w:p>
        </w:tc>
        <w:tc>
          <w:tcPr>
            <w:tcW w:type="dxa" w:w="3816"/>
            <w:vAlign w:val="center"/>
            <w:shd w:fill="FFFFFF"/>
          </w:tcPr>
          <w:p>
            <w:pPr>
              <w:spacing w:after="20"/>
            </w:pPr>
            <w:r/>
            <w:r>
              <w:rPr>
                <w:rFonts w:ascii="Aptos" w:hAnsi="Aptos"/>
                <w:b w:val="0"/>
                <w:sz w:val="15"/>
              </w:rPr>
              <w:t>Time from integration exception to acknowledged ownership</w:t>
            </w:r>
          </w:p>
        </w:tc>
        <w:tc>
          <w:tcPr>
            <w:tcW w:type="dxa" w:w="4032"/>
            <w:vAlign w:val="center"/>
            <w:shd w:fill="FFFFFF"/>
          </w:tcPr>
          <w:p>
            <w:pPr>
              <w:spacing w:after="20"/>
            </w:pPr>
            <w:r/>
            <w:r>
              <w:rPr>
                <w:rFonts w:ascii="Aptos" w:hAnsi="Aptos"/>
                <w:b w:val="0"/>
                <w:sz w:val="15"/>
              </w:rPr>
              <w:t>Set support hours, severity rules, and target after operating model review</w:t>
            </w:r>
          </w:p>
        </w:tc>
      </w:tr>
      <w:tr>
        <w:tc>
          <w:tcPr>
            <w:tcW w:type="dxa" w:w="2088"/>
            <w:vAlign w:val="center"/>
            <w:shd w:fill="F1F6F8"/>
          </w:tcPr>
          <w:p>
            <w:pPr>
              <w:spacing w:after="20"/>
            </w:pPr>
            <w:r/>
            <w:r>
              <w:rPr>
                <w:rFonts w:ascii="Aptos" w:hAnsi="Aptos"/>
                <w:b w:val="0"/>
                <w:sz w:val="15"/>
              </w:rPr>
              <w:t>Maintain control</w:t>
            </w:r>
          </w:p>
        </w:tc>
        <w:tc>
          <w:tcPr>
            <w:tcW w:type="dxa" w:w="3816"/>
            <w:vAlign w:val="center"/>
            <w:shd w:fill="F1F6F8"/>
          </w:tcPr>
          <w:p>
            <w:pPr>
              <w:spacing w:after="20"/>
            </w:pPr>
            <w:r/>
            <w:r>
              <w:rPr>
                <w:rFonts w:ascii="Aptos" w:hAnsi="Aptos"/>
                <w:b w:val="0"/>
                <w:sz w:val="15"/>
              </w:rPr>
              <w:t>Unreconciled or duplicate order count per reporting period</w:t>
            </w:r>
          </w:p>
        </w:tc>
        <w:tc>
          <w:tcPr>
            <w:tcW w:type="dxa" w:w="4032"/>
            <w:vAlign w:val="center"/>
            <w:shd w:fill="F1F6F8"/>
          </w:tcPr>
          <w:p>
            <w:pPr>
              <w:spacing w:after="20"/>
            </w:pPr>
            <w:r/>
            <w:r>
              <w:rPr>
                <w:rFonts w:ascii="Aptos" w:hAnsi="Aptos"/>
                <w:b w:val="0"/>
                <w:sz w:val="15"/>
              </w:rPr>
              <w:t>Target and reconciliation frequency require business approval</w:t>
            </w:r>
          </w:p>
        </w:tc>
      </w:tr>
    </w:tbl>
    <w:p>
      <w:pPr>
        <w:spacing w:after="20"/>
      </w:pPr>
    </w:p>
    <w:p>
      <w:r>
        <w:t>A benefits owner should confirm the baseline, data source, measurement period, exclusions, and target for each selected measure. Avoid claiming savings or service improvement until a pilot produces comparable evidence.</w:t>
      </w:r>
    </w:p>
    <w:p>
      <w:pPr>
        <w:pStyle w:val="Heading1"/>
      </w:pPr>
      <w:r>
        <w:t>4. Requirements and discovery questions</w:t>
      </w:r>
    </w:p>
    <w:p>
      <w:pPr>
        <w:pStyle w:val="Heading2"/>
      </w:pPr>
      <w:r>
        <w:t>Business requirements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936"/>
            <w:vAlign w:val="center"/>
            <w:shd w:fill="15324B"/>
          </w:tcPr>
          <w:p>
            <w:pPr>
              <w:spacing w:after="20"/>
            </w:pPr>
            <w:r/>
            <w:r>
              <w:rPr>
                <w:rFonts w:ascii="Aptos" w:hAnsi="Aptos"/>
                <w:b/>
                <w:color w:val="FFFFFF"/>
                <w:sz w:val="16"/>
              </w:rPr>
              <w:t>ID</w:t>
            </w:r>
          </w:p>
        </w:tc>
        <w:tc>
          <w:tcPr>
            <w:tcW w:type="dxa" w:w="4464"/>
            <w:vAlign w:val="center"/>
            <w:shd w:fill="15324B"/>
          </w:tcPr>
          <w:p>
            <w:pPr>
              <w:spacing w:after="20"/>
            </w:pPr>
            <w:r/>
            <w:r>
              <w:rPr>
                <w:rFonts w:ascii="Aptos" w:hAnsi="Aptos"/>
                <w:b/>
                <w:color w:val="FFFFFF"/>
                <w:sz w:val="16"/>
              </w:rPr>
              <w:t>REQUIREMENT</w:t>
            </w:r>
          </w:p>
        </w:tc>
        <w:tc>
          <w:tcPr>
            <w:tcW w:type="dxa" w:w="1080"/>
            <w:vAlign w:val="center"/>
            <w:shd w:fill="15324B"/>
          </w:tcPr>
          <w:p>
            <w:pPr>
              <w:spacing w:after="20"/>
            </w:pPr>
            <w:r/>
            <w:r>
              <w:rPr>
                <w:rFonts w:ascii="Aptos" w:hAnsi="Aptos"/>
                <w:b/>
                <w:color w:val="FFFFFF"/>
                <w:sz w:val="16"/>
              </w:rPr>
              <w:t>PRIORITY</w:t>
            </w:r>
          </w:p>
        </w:tc>
        <w:tc>
          <w:tcPr>
            <w:tcW w:type="dxa" w:w="3456"/>
            <w:vAlign w:val="center"/>
            <w:shd w:fill="15324B"/>
          </w:tcPr>
          <w:p>
            <w:pPr>
              <w:spacing w:after="20"/>
            </w:pPr>
            <w:r/>
            <w:r>
              <w:rPr>
                <w:rFonts w:ascii="Aptos" w:hAnsi="Aptos"/>
                <w:b/>
                <w:color w:val="FFFFFF"/>
                <w:sz w:val="16"/>
              </w:rPr>
              <w:t>VALIDATION EVIDENCE</w:t>
            </w:r>
          </w:p>
        </w:tc>
      </w:tr>
      <w:tr>
        <w:tc>
          <w:tcPr>
            <w:tcW w:type="dxa" w:w="936"/>
            <w:vAlign w:val="center"/>
            <w:shd w:fill="F1F6F8"/>
          </w:tcPr>
          <w:p>
            <w:pPr>
              <w:spacing w:after="20"/>
            </w:pPr>
            <w:r/>
            <w:r>
              <w:rPr>
                <w:rFonts w:ascii="Aptos" w:hAnsi="Aptos"/>
                <w:b w:val="0"/>
                <w:sz w:val="15"/>
              </w:rPr>
              <w:t>BR-01</w:t>
            </w:r>
          </w:p>
        </w:tc>
        <w:tc>
          <w:tcPr>
            <w:tcW w:type="dxa" w:w="4464"/>
            <w:vAlign w:val="center"/>
            <w:shd w:fill="F1F6F8"/>
          </w:tcPr>
          <w:p>
            <w:pPr>
              <w:spacing w:after="20"/>
            </w:pPr>
            <w:r/>
            <w:r>
              <w:rPr>
                <w:rFonts w:ascii="Aptos" w:hAnsi="Aptos"/>
                <w:b w:val="0"/>
                <w:sz w:val="15"/>
              </w:rPr>
              <w:t>Transmit an eligible customer order with a stable external reference and receive a traceable acknowledgement.</w:t>
            </w:r>
          </w:p>
        </w:tc>
        <w:tc>
          <w:tcPr>
            <w:tcW w:type="dxa" w:w="1080"/>
            <w:vAlign w:val="center"/>
            <w:shd w:fill="F1F6F8"/>
          </w:tcPr>
          <w:p>
            <w:pPr>
              <w:spacing w:after="20"/>
            </w:pPr>
            <w:r/>
            <w:r>
              <w:rPr>
                <w:rFonts w:ascii="Aptos" w:hAnsi="Aptos"/>
                <w:b w:val="0"/>
                <w:sz w:val="15"/>
              </w:rPr>
              <w:t>Must</w:t>
            </w:r>
          </w:p>
        </w:tc>
        <w:tc>
          <w:tcPr>
            <w:tcW w:type="dxa" w:w="3456"/>
            <w:vAlign w:val="center"/>
            <w:shd w:fill="F1F6F8"/>
          </w:tcPr>
          <w:p>
            <w:pPr>
              <w:spacing w:after="20"/>
            </w:pPr>
            <w:r/>
            <w:r>
              <w:rPr>
                <w:rFonts w:ascii="Aptos" w:hAnsi="Aptos"/>
                <w:b w:val="0"/>
                <w:sz w:val="15"/>
              </w:rPr>
              <w:t>Process-owner walkthrough and agreed acceptance criteria</w:t>
            </w:r>
          </w:p>
        </w:tc>
      </w:tr>
      <w:tr>
        <w:tc>
          <w:tcPr>
            <w:tcW w:type="dxa" w:w="936"/>
            <w:vAlign w:val="center"/>
            <w:shd w:fill="FFFFFF"/>
          </w:tcPr>
          <w:p>
            <w:pPr>
              <w:spacing w:after="20"/>
            </w:pPr>
            <w:r/>
            <w:r>
              <w:rPr>
                <w:rFonts w:ascii="Aptos" w:hAnsi="Aptos"/>
                <w:b w:val="0"/>
                <w:sz w:val="15"/>
              </w:rPr>
              <w:t>BR-02</w:t>
            </w:r>
          </w:p>
        </w:tc>
        <w:tc>
          <w:tcPr>
            <w:tcW w:type="dxa" w:w="4464"/>
            <w:vAlign w:val="center"/>
            <w:shd w:fill="FFFFFF"/>
          </w:tcPr>
          <w:p>
            <w:pPr>
              <w:spacing w:after="20"/>
            </w:pPr>
            <w:r/>
            <w:r>
              <w:rPr>
                <w:rFonts w:ascii="Aptos" w:hAnsi="Aptos"/>
                <w:b w:val="0"/>
                <w:sz w:val="15"/>
              </w:rPr>
              <w:t>Return agreed order status events to the originating channel.</w:t>
            </w:r>
          </w:p>
        </w:tc>
        <w:tc>
          <w:tcPr>
            <w:tcW w:type="dxa" w:w="1080"/>
            <w:vAlign w:val="center"/>
            <w:shd w:fill="FFFFFF"/>
          </w:tcPr>
          <w:p>
            <w:pPr>
              <w:spacing w:after="20"/>
            </w:pPr>
            <w:r/>
            <w:r>
              <w:rPr>
                <w:rFonts w:ascii="Aptos" w:hAnsi="Aptos"/>
                <w:b w:val="0"/>
                <w:sz w:val="15"/>
              </w:rPr>
              <w:t>Must</w:t>
            </w:r>
          </w:p>
        </w:tc>
        <w:tc>
          <w:tcPr>
            <w:tcW w:type="dxa" w:w="3456"/>
            <w:vAlign w:val="center"/>
            <w:shd w:fill="FFFFFF"/>
          </w:tcPr>
          <w:p>
            <w:pPr>
              <w:spacing w:after="20"/>
            </w:pPr>
            <w:r/>
            <w:r>
              <w:rPr>
                <w:rFonts w:ascii="Aptos" w:hAnsi="Aptos"/>
                <w:b w:val="0"/>
                <w:sz w:val="15"/>
              </w:rPr>
              <w:t>Status vocabulary and ownership approved</w:t>
            </w:r>
          </w:p>
        </w:tc>
      </w:tr>
      <w:tr>
        <w:tc>
          <w:tcPr>
            <w:tcW w:type="dxa" w:w="936"/>
            <w:vAlign w:val="center"/>
            <w:shd w:fill="F1F6F8"/>
          </w:tcPr>
          <w:p>
            <w:pPr>
              <w:spacing w:after="20"/>
            </w:pPr>
            <w:r/>
            <w:r>
              <w:rPr>
                <w:rFonts w:ascii="Aptos" w:hAnsi="Aptos"/>
                <w:b w:val="0"/>
                <w:sz w:val="15"/>
              </w:rPr>
              <w:t>BR-03</w:t>
            </w:r>
          </w:p>
        </w:tc>
        <w:tc>
          <w:tcPr>
            <w:tcW w:type="dxa" w:w="4464"/>
            <w:vAlign w:val="center"/>
            <w:shd w:fill="F1F6F8"/>
          </w:tcPr>
          <w:p>
            <w:pPr>
              <w:spacing w:after="20"/>
            </w:pPr>
            <w:r/>
            <w:r>
              <w:rPr>
                <w:rFonts w:ascii="Aptos" w:hAnsi="Aptos"/>
                <w:b w:val="0"/>
                <w:sz w:val="15"/>
              </w:rPr>
              <w:t>Prevent or identify duplicate order creation during retries and resubmission.</w:t>
            </w:r>
          </w:p>
        </w:tc>
        <w:tc>
          <w:tcPr>
            <w:tcW w:type="dxa" w:w="1080"/>
            <w:vAlign w:val="center"/>
            <w:shd w:fill="F1F6F8"/>
          </w:tcPr>
          <w:p>
            <w:pPr>
              <w:spacing w:after="20"/>
            </w:pPr>
            <w:r/>
            <w:r>
              <w:rPr>
                <w:rFonts w:ascii="Aptos" w:hAnsi="Aptos"/>
                <w:b w:val="0"/>
                <w:sz w:val="15"/>
              </w:rPr>
              <w:t>Must</w:t>
            </w:r>
          </w:p>
        </w:tc>
        <w:tc>
          <w:tcPr>
            <w:tcW w:type="dxa" w:w="3456"/>
            <w:vAlign w:val="center"/>
            <w:shd w:fill="F1F6F8"/>
          </w:tcPr>
          <w:p>
            <w:pPr>
              <w:spacing w:after="20"/>
            </w:pPr>
            <w:r/>
            <w:r>
              <w:rPr>
                <w:rFonts w:ascii="Aptos" w:hAnsi="Aptos"/>
                <w:b w:val="0"/>
                <w:sz w:val="15"/>
              </w:rPr>
              <w:t>Duplicate policy and scenario acceptance defined</w:t>
            </w:r>
          </w:p>
        </w:tc>
      </w:tr>
      <w:tr>
        <w:tc>
          <w:tcPr>
            <w:tcW w:type="dxa" w:w="936"/>
            <w:vAlign w:val="center"/>
            <w:shd w:fill="FFFFFF"/>
          </w:tcPr>
          <w:p>
            <w:pPr>
              <w:spacing w:after="20"/>
            </w:pPr>
            <w:r/>
            <w:r>
              <w:rPr>
                <w:rFonts w:ascii="Aptos" w:hAnsi="Aptos"/>
                <w:b w:val="0"/>
                <w:sz w:val="15"/>
              </w:rPr>
              <w:t>BR-04</w:t>
            </w:r>
          </w:p>
        </w:tc>
        <w:tc>
          <w:tcPr>
            <w:tcW w:type="dxa" w:w="4464"/>
            <w:vAlign w:val="center"/>
            <w:shd w:fill="FFFFFF"/>
          </w:tcPr>
          <w:p>
            <w:pPr>
              <w:spacing w:after="20"/>
            </w:pPr>
            <w:r/>
            <w:r>
              <w:rPr>
                <w:rFonts w:ascii="Aptos" w:hAnsi="Aptos"/>
                <w:b w:val="0"/>
                <w:sz w:val="15"/>
              </w:rPr>
              <w:t>Route rejected or unresolved records to an owned exception process.</w:t>
            </w:r>
          </w:p>
        </w:tc>
        <w:tc>
          <w:tcPr>
            <w:tcW w:type="dxa" w:w="1080"/>
            <w:vAlign w:val="center"/>
            <w:shd w:fill="FFFFFF"/>
          </w:tcPr>
          <w:p>
            <w:pPr>
              <w:spacing w:after="20"/>
            </w:pPr>
            <w:r/>
            <w:r>
              <w:rPr>
                <w:rFonts w:ascii="Aptos" w:hAnsi="Aptos"/>
                <w:b w:val="0"/>
                <w:sz w:val="15"/>
              </w:rPr>
              <w:t>Must</w:t>
            </w:r>
          </w:p>
        </w:tc>
        <w:tc>
          <w:tcPr>
            <w:tcW w:type="dxa" w:w="3456"/>
            <w:vAlign w:val="center"/>
            <w:shd w:fill="FFFFFF"/>
          </w:tcPr>
          <w:p>
            <w:pPr>
              <w:spacing w:after="20"/>
            </w:pPr>
            <w:r/>
            <w:r>
              <w:rPr>
                <w:rFonts w:ascii="Aptos" w:hAnsi="Aptos"/>
                <w:b w:val="0"/>
                <w:sz w:val="15"/>
              </w:rPr>
              <w:t>Support role, response target, and escalation agreed</w:t>
            </w:r>
          </w:p>
        </w:tc>
      </w:tr>
      <w:tr>
        <w:tc>
          <w:tcPr>
            <w:tcW w:type="dxa" w:w="936"/>
            <w:vAlign w:val="center"/>
            <w:shd w:fill="F1F6F8"/>
          </w:tcPr>
          <w:p>
            <w:pPr>
              <w:spacing w:after="20"/>
            </w:pPr>
            <w:r/>
            <w:r>
              <w:rPr>
                <w:rFonts w:ascii="Aptos" w:hAnsi="Aptos"/>
                <w:b w:val="0"/>
                <w:sz w:val="15"/>
              </w:rPr>
              <w:t>BR-05</w:t>
            </w:r>
          </w:p>
        </w:tc>
        <w:tc>
          <w:tcPr>
            <w:tcW w:type="dxa" w:w="4464"/>
            <w:vAlign w:val="center"/>
            <w:shd w:fill="F1F6F8"/>
          </w:tcPr>
          <w:p>
            <w:pPr>
              <w:spacing w:after="20"/>
            </w:pPr>
            <w:r/>
            <w:r>
              <w:rPr>
                <w:rFonts w:ascii="Aptos" w:hAnsi="Aptos"/>
                <w:b w:val="0"/>
                <w:sz w:val="15"/>
              </w:rPr>
              <w:t>Reconcile accepted, rejected, and pending messages between endpoints.</w:t>
            </w:r>
          </w:p>
        </w:tc>
        <w:tc>
          <w:tcPr>
            <w:tcW w:type="dxa" w:w="1080"/>
            <w:vAlign w:val="center"/>
            <w:shd w:fill="F1F6F8"/>
          </w:tcPr>
          <w:p>
            <w:pPr>
              <w:spacing w:after="20"/>
            </w:pPr>
            <w:r/>
            <w:r>
              <w:rPr>
                <w:rFonts w:ascii="Aptos" w:hAnsi="Aptos"/>
                <w:b w:val="0"/>
                <w:sz w:val="15"/>
              </w:rPr>
              <w:t>Should</w:t>
            </w:r>
          </w:p>
        </w:tc>
        <w:tc>
          <w:tcPr>
            <w:tcW w:type="dxa" w:w="3456"/>
            <w:vAlign w:val="center"/>
            <w:shd w:fill="F1F6F8"/>
          </w:tcPr>
          <w:p>
            <w:pPr>
              <w:spacing w:after="20"/>
            </w:pPr>
            <w:r/>
            <w:r>
              <w:rPr>
                <w:rFonts w:ascii="Aptos" w:hAnsi="Aptos"/>
                <w:b w:val="0"/>
                <w:sz w:val="15"/>
              </w:rPr>
              <w:t>Reconciliation frequency and report owner approved</w:t>
            </w:r>
          </w:p>
        </w:tc>
      </w:tr>
      <w:tr>
        <w:tc>
          <w:tcPr>
            <w:tcW w:type="dxa" w:w="936"/>
            <w:vAlign w:val="center"/>
            <w:shd w:fill="FFFFFF"/>
          </w:tcPr>
          <w:p>
            <w:pPr>
              <w:spacing w:after="20"/>
            </w:pPr>
            <w:r/>
            <w:r>
              <w:rPr>
                <w:rFonts w:ascii="Aptos" w:hAnsi="Aptos"/>
                <w:b w:val="0"/>
                <w:sz w:val="15"/>
              </w:rPr>
              <w:t>BR-06</w:t>
            </w:r>
          </w:p>
        </w:tc>
        <w:tc>
          <w:tcPr>
            <w:tcW w:type="dxa" w:w="4464"/>
            <w:vAlign w:val="center"/>
            <w:shd w:fill="FFFFFF"/>
          </w:tcPr>
          <w:p>
            <w:pPr>
              <w:spacing w:after="20"/>
            </w:pPr>
            <w:r/>
            <w:r>
              <w:rPr>
                <w:rFonts w:ascii="Aptos" w:hAnsi="Aptos"/>
                <w:b w:val="0"/>
                <w:sz w:val="15"/>
              </w:rPr>
              <w:t>Retain an auditable record of message lifecycle and key decisions.</w:t>
            </w:r>
          </w:p>
        </w:tc>
        <w:tc>
          <w:tcPr>
            <w:tcW w:type="dxa" w:w="1080"/>
            <w:vAlign w:val="center"/>
            <w:shd w:fill="FFFFFF"/>
          </w:tcPr>
          <w:p>
            <w:pPr>
              <w:spacing w:after="20"/>
            </w:pPr>
            <w:r/>
            <w:r>
              <w:rPr>
                <w:rFonts w:ascii="Aptos" w:hAnsi="Aptos"/>
                <w:b w:val="0"/>
                <w:sz w:val="15"/>
              </w:rPr>
              <w:t>Should</w:t>
            </w:r>
          </w:p>
        </w:tc>
        <w:tc>
          <w:tcPr>
            <w:tcW w:type="dxa" w:w="3456"/>
            <w:vAlign w:val="center"/>
            <w:shd w:fill="FFFFFF"/>
          </w:tcPr>
          <w:p>
            <w:pPr>
              <w:spacing w:after="20"/>
            </w:pPr>
            <w:r/>
            <w:r>
              <w:rPr>
                <w:rFonts w:ascii="Aptos" w:hAnsi="Aptos"/>
                <w:b w:val="0"/>
                <w:sz w:val="15"/>
              </w:rPr>
              <w:t>Retention, access, and audit needs confirmed</w:t>
            </w:r>
          </w:p>
        </w:tc>
      </w:tr>
    </w:tbl>
    <w:p>
      <w:pPr>
        <w:spacing w:after="20"/>
      </w:pPr>
    </w:p>
    <w:p>
      <w:pPr>
        <w:pStyle w:val="Heading2"/>
      </w:pPr>
      <w:r>
        <w:t>Technical and nonfunctional requirements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584"/>
            <w:vAlign w:val="center"/>
            <w:shd w:fill="15324B"/>
          </w:tcPr>
          <w:p>
            <w:pPr>
              <w:spacing w:after="20"/>
            </w:pPr>
            <w:r/>
            <w:r>
              <w:rPr>
                <w:rFonts w:ascii="Aptos" w:hAnsi="Aptos"/>
                <w:b/>
                <w:color w:val="FFFFFF"/>
                <w:sz w:val="16"/>
              </w:rPr>
              <w:t>AREA</w:t>
            </w:r>
          </w:p>
        </w:tc>
        <w:tc>
          <w:tcPr>
            <w:tcW w:type="dxa" w:w="8352"/>
            <w:vAlign w:val="center"/>
            <w:shd w:fill="15324B"/>
          </w:tcPr>
          <w:p>
            <w:pPr>
              <w:spacing w:after="20"/>
            </w:pPr>
            <w:r/>
            <w:r>
              <w:rPr>
                <w:rFonts w:ascii="Aptos" w:hAnsi="Aptos"/>
                <w:b/>
                <w:color w:val="FFFFFF"/>
                <w:sz w:val="16"/>
              </w:rPr>
              <w:t>DISCOVERY REQUIREMENT</w:t>
            </w:r>
          </w:p>
        </w:tc>
      </w:tr>
      <w:tr>
        <w:tc>
          <w:tcPr>
            <w:tcW w:type="dxa" w:w="1584"/>
            <w:vAlign w:val="center"/>
            <w:shd w:fill="F1F6F8"/>
          </w:tcPr>
          <w:p>
            <w:pPr>
              <w:spacing w:after="20"/>
            </w:pPr>
            <w:r/>
            <w:r>
              <w:rPr>
                <w:rFonts w:ascii="Aptos" w:hAnsi="Aptos"/>
                <w:b w:val="0"/>
                <w:sz w:val="15"/>
              </w:rPr>
              <w:t>Data</w:t>
            </w:r>
          </w:p>
        </w:tc>
        <w:tc>
          <w:tcPr>
            <w:tcW w:type="dxa" w:w="8352"/>
            <w:vAlign w:val="center"/>
            <w:shd w:fill="F1F6F8"/>
          </w:tcPr>
          <w:p>
            <w:pPr>
              <w:spacing w:after="20"/>
            </w:pPr>
            <w:r/>
            <w:r>
              <w:rPr>
                <w:rFonts w:ascii="Aptos" w:hAnsi="Aptos"/>
                <w:b w:val="0"/>
                <w:sz w:val="15"/>
              </w:rPr>
              <w:t>Define canonical fields, identifiers, formats, mandatory values, code mappings, ownership, and data-quality rules.</w:t>
            </w:r>
          </w:p>
        </w:tc>
      </w:tr>
      <w:tr>
        <w:tc>
          <w:tcPr>
            <w:tcW w:type="dxa" w:w="1584"/>
            <w:vAlign w:val="center"/>
            <w:shd w:fill="FFFFFF"/>
          </w:tcPr>
          <w:p>
            <w:pPr>
              <w:spacing w:after="20"/>
            </w:pPr>
            <w:r/>
            <w:r>
              <w:rPr>
                <w:rFonts w:ascii="Aptos" w:hAnsi="Aptos"/>
                <w:b w:val="0"/>
                <w:sz w:val="15"/>
              </w:rPr>
              <w:t>Interface</w:t>
            </w:r>
          </w:p>
        </w:tc>
        <w:tc>
          <w:tcPr>
            <w:tcW w:type="dxa" w:w="8352"/>
            <w:vAlign w:val="center"/>
            <w:shd w:fill="FFFFFF"/>
          </w:tcPr>
          <w:p>
            <w:pPr>
              <w:spacing w:after="20"/>
            </w:pPr>
            <w:r/>
            <w:r>
              <w:rPr>
                <w:rFonts w:ascii="Aptos" w:hAnsi="Aptos"/>
                <w:b w:val="0"/>
                <w:sz w:val="15"/>
              </w:rPr>
              <w:t>Confirm supported endpoints, synchronous/asynchronous needs, payload size, versioning, acknowledgement, and throughput envelope.</w:t>
            </w:r>
          </w:p>
        </w:tc>
      </w:tr>
      <w:tr>
        <w:tc>
          <w:tcPr>
            <w:tcW w:type="dxa" w:w="1584"/>
            <w:vAlign w:val="center"/>
            <w:shd w:fill="F1F6F8"/>
          </w:tcPr>
          <w:p>
            <w:pPr>
              <w:spacing w:after="20"/>
            </w:pPr>
            <w:r/>
            <w:r>
              <w:rPr>
                <w:rFonts w:ascii="Aptos" w:hAnsi="Aptos"/>
                <w:b w:val="0"/>
                <w:sz w:val="15"/>
              </w:rPr>
              <w:t>Reliability</w:t>
            </w:r>
          </w:p>
        </w:tc>
        <w:tc>
          <w:tcPr>
            <w:tcW w:type="dxa" w:w="8352"/>
            <w:vAlign w:val="center"/>
            <w:shd w:fill="F1F6F8"/>
          </w:tcPr>
          <w:p>
            <w:pPr>
              <w:spacing w:after="20"/>
            </w:pPr>
            <w:r/>
            <w:r>
              <w:rPr>
                <w:rFonts w:ascii="Aptos" w:hAnsi="Aptos"/>
                <w:b w:val="0"/>
                <w:sz w:val="15"/>
              </w:rPr>
              <w:t>Define retry policy, idempotency key, ordering needs, replay safeguards, reconciliation, and recovery ownership.</w:t>
            </w:r>
          </w:p>
        </w:tc>
      </w:tr>
      <w:tr>
        <w:tc>
          <w:tcPr>
            <w:tcW w:type="dxa" w:w="1584"/>
            <w:vAlign w:val="center"/>
            <w:shd w:fill="FFFFFF"/>
          </w:tcPr>
          <w:p>
            <w:pPr>
              <w:spacing w:after="20"/>
            </w:pPr>
            <w:r/>
            <w:r>
              <w:rPr>
                <w:rFonts w:ascii="Aptos" w:hAnsi="Aptos"/>
                <w:b w:val="0"/>
                <w:sz w:val="15"/>
              </w:rPr>
              <w:t>Security</w:t>
            </w:r>
          </w:p>
        </w:tc>
        <w:tc>
          <w:tcPr>
            <w:tcW w:type="dxa" w:w="8352"/>
            <w:vAlign w:val="center"/>
            <w:shd w:fill="FFFFFF"/>
          </w:tcPr>
          <w:p>
            <w:pPr>
              <w:spacing w:after="20"/>
            </w:pPr>
            <w:r/>
            <w:r>
              <w:rPr>
                <w:rFonts w:ascii="Aptos" w:hAnsi="Aptos"/>
                <w:b w:val="0"/>
                <w:sz w:val="15"/>
              </w:rPr>
              <w:t>Confirm data classification, identity, least privilege, transport protection, secrets storage, logging limits, and audit requirements.</w:t>
            </w:r>
          </w:p>
        </w:tc>
      </w:tr>
      <w:tr>
        <w:tc>
          <w:tcPr>
            <w:tcW w:type="dxa" w:w="1584"/>
            <w:vAlign w:val="center"/>
            <w:shd w:fill="F1F6F8"/>
          </w:tcPr>
          <w:p>
            <w:pPr>
              <w:spacing w:after="20"/>
            </w:pPr>
            <w:r/>
            <w:r>
              <w:rPr>
                <w:rFonts w:ascii="Aptos" w:hAnsi="Aptos"/>
                <w:b w:val="0"/>
                <w:sz w:val="15"/>
              </w:rPr>
              <w:t>Operations</w:t>
            </w:r>
          </w:p>
        </w:tc>
        <w:tc>
          <w:tcPr>
            <w:tcW w:type="dxa" w:w="8352"/>
            <w:vAlign w:val="center"/>
            <w:shd w:fill="F1F6F8"/>
          </w:tcPr>
          <w:p>
            <w:pPr>
              <w:spacing w:after="20"/>
            </w:pPr>
            <w:r/>
            <w:r>
              <w:rPr>
                <w:rFonts w:ascii="Aptos" w:hAnsi="Aptos"/>
                <w:b w:val="0"/>
                <w:sz w:val="15"/>
              </w:rPr>
              <w:t>Define monitoring, alert thresholds, support hours, severity, escalation, runbooks, and change ownership.</w:t>
            </w:r>
          </w:p>
        </w:tc>
      </w:tr>
      <w:tr>
        <w:tc>
          <w:tcPr>
            <w:tcW w:type="dxa" w:w="1584"/>
            <w:vAlign w:val="center"/>
            <w:shd w:fill="FFFFFF"/>
          </w:tcPr>
          <w:p>
            <w:pPr>
              <w:spacing w:after="20"/>
            </w:pPr>
            <w:r/>
            <w:r>
              <w:rPr>
                <w:rFonts w:ascii="Aptos" w:hAnsi="Aptos"/>
                <w:b w:val="0"/>
                <w:sz w:val="15"/>
              </w:rPr>
              <w:t>Performance</w:t>
            </w:r>
          </w:p>
        </w:tc>
        <w:tc>
          <w:tcPr>
            <w:tcW w:type="dxa" w:w="8352"/>
            <w:vAlign w:val="center"/>
            <w:shd w:fill="FFFFFF"/>
          </w:tcPr>
          <w:p>
            <w:pPr>
              <w:spacing w:after="20"/>
            </w:pPr>
            <w:r/>
            <w:r>
              <w:rPr>
                <w:rFonts w:ascii="Aptos" w:hAnsi="Aptos"/>
                <w:b w:val="0"/>
                <w:sz w:val="15"/>
              </w:rPr>
              <w:t>Establish expected and peak volumes, business-hour profile, response expectations, and testable service targets.</w:t>
            </w:r>
          </w:p>
        </w:tc>
      </w:tr>
      <w:tr>
        <w:tc>
          <w:tcPr>
            <w:tcW w:type="dxa" w:w="1584"/>
            <w:vAlign w:val="center"/>
            <w:shd w:fill="F1F6F8"/>
          </w:tcPr>
          <w:p>
            <w:pPr>
              <w:spacing w:after="20"/>
            </w:pPr>
            <w:r/>
            <w:r>
              <w:rPr>
                <w:rFonts w:ascii="Aptos" w:hAnsi="Aptos"/>
                <w:b w:val="0"/>
                <w:sz w:val="15"/>
              </w:rPr>
              <w:t>Compliance</w:t>
            </w:r>
          </w:p>
        </w:tc>
        <w:tc>
          <w:tcPr>
            <w:tcW w:type="dxa" w:w="8352"/>
            <w:vAlign w:val="center"/>
            <w:shd w:fill="F1F6F8"/>
          </w:tcPr>
          <w:p>
            <w:pPr>
              <w:spacing w:after="20"/>
            </w:pPr>
            <w:r/>
            <w:r>
              <w:rPr>
                <w:rFonts w:ascii="Aptos" w:hAnsi="Aptos"/>
                <w:b w:val="0"/>
                <w:sz w:val="15"/>
              </w:rPr>
              <w:t>Identify applicable privacy, records retention, regional, and contractual obligations with authorized experts.</w:t>
            </w:r>
          </w:p>
        </w:tc>
      </w:tr>
    </w:tbl>
    <w:p>
      <w:pPr>
        <w:spacing w:after="20"/>
      </w:pPr>
    </w:p>
    <w:p>
      <w:pPr>
        <w:pStyle w:val="Heading2"/>
      </w:pPr>
      <w:r>
        <w:t>Questions to resolve in discovery</w:t>
      </w:r>
    </w:p>
    <w:p>
      <w:pPr>
        <w:pStyle w:val="ListBullet"/>
        <w:spacing w:after="40"/>
      </w:pPr>
      <w:r>
        <w:t>Which SAP product/version and deployment model, channel platform, and integration services are actually in scope?</w:t>
      </w:r>
    </w:p>
    <w:p>
      <w:pPr>
        <w:pStyle w:val="ListBullet"/>
        <w:spacing w:after="40"/>
      </w:pPr>
      <w:r>
        <w:t>Who owns customer, material, pricing, and delivery reference data, and how are changes communicated?</w:t>
      </w:r>
    </w:p>
    <w:p>
      <w:pPr>
        <w:pStyle w:val="ListBullet"/>
        <w:spacing w:after="40"/>
      </w:pPr>
      <w:r>
        <w:t>What is the authoritative order identifier, and how are cancellations, changes, partial fulfillment, and replay handled?</w:t>
      </w:r>
    </w:p>
    <w:p>
      <w:pPr>
        <w:pStyle w:val="ListBullet"/>
        <w:spacing w:after="40"/>
      </w:pPr>
      <w:r>
        <w:t>What are typical and peak order volumes, operating hours, latency expectations, and support coverage?</w:t>
      </w:r>
    </w:p>
    <w:p>
      <w:pPr>
        <w:pStyle w:val="ListBullet"/>
        <w:spacing w:after="40"/>
      </w:pPr>
      <w:r>
        <w:t>Which data may be exchanged, where may it be processed, and what are approved retention and logging rules?</w:t>
      </w:r>
    </w:p>
    <w:p>
      <w:pPr>
        <w:pStyle w:val="ListBullet"/>
        <w:spacing w:after="40"/>
      </w:pPr>
      <w:r>
        <w:t>Who approves the business case, architecture, security, testing, cutover, and operational acceptance?</w:t>
      </w:r>
    </w:p>
    <w:p>
      <w:pPr>
        <w:pStyle w:val="Heading1"/>
      </w:pPr>
      <w:r>
        <w:t>5. Options and feasibility</w:t>
      </w:r>
    </w:p>
    <w:p>
      <w:r>
        <w:t>No implementation option can be selected conclusively until the existing landscape and supported interfaces are confirmed. The options below frame discovery rather than prescribe a product.</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160"/>
            <w:vAlign w:val="center"/>
            <w:shd w:fill="15324B"/>
          </w:tcPr>
          <w:p>
            <w:pPr>
              <w:spacing w:after="20"/>
            </w:pPr>
            <w:r/>
            <w:r>
              <w:rPr>
                <w:rFonts w:ascii="Aptos" w:hAnsi="Aptos"/>
                <w:b/>
                <w:color w:val="FFFFFF"/>
                <w:sz w:val="16"/>
              </w:rPr>
              <w:t>OPTION</w:t>
            </w:r>
          </w:p>
        </w:tc>
        <w:tc>
          <w:tcPr>
            <w:tcW w:type="dxa" w:w="3600"/>
            <w:vAlign w:val="center"/>
            <w:shd w:fill="15324B"/>
          </w:tcPr>
          <w:p>
            <w:pPr>
              <w:spacing w:after="20"/>
            </w:pPr>
            <w:r/>
            <w:r>
              <w:rPr>
                <w:rFonts w:ascii="Aptos" w:hAnsi="Aptos"/>
                <w:b/>
                <w:color w:val="FFFFFF"/>
                <w:sz w:val="16"/>
              </w:rPr>
              <w:t>POTENTIAL BENEFIT</w:t>
            </w:r>
          </w:p>
        </w:tc>
        <w:tc>
          <w:tcPr>
            <w:tcW w:type="dxa" w:w="4176"/>
            <w:vAlign w:val="center"/>
            <w:shd w:fill="15324B"/>
          </w:tcPr>
          <w:p>
            <w:pPr>
              <w:spacing w:after="20"/>
            </w:pPr>
            <w:r/>
            <w:r>
              <w:rPr>
                <w:rFonts w:ascii="Aptos" w:hAnsi="Aptos"/>
                <w:b/>
                <w:color w:val="FFFFFF"/>
                <w:sz w:val="16"/>
              </w:rPr>
              <w:t>KEY CONSTRAINT / VALIDATION</w:t>
            </w:r>
          </w:p>
        </w:tc>
      </w:tr>
      <w:tr>
        <w:tc>
          <w:tcPr>
            <w:tcW w:type="dxa" w:w="2160"/>
            <w:vAlign w:val="center"/>
            <w:shd w:fill="F1F6F8"/>
          </w:tcPr>
          <w:p>
            <w:pPr>
              <w:spacing w:after="20"/>
            </w:pPr>
            <w:r/>
            <w:r>
              <w:rPr>
                <w:rFonts w:ascii="Aptos" w:hAnsi="Aptos"/>
                <w:b w:val="0"/>
                <w:sz w:val="15"/>
              </w:rPr>
              <w:t>Use an existing enterprise integration platform</w:t>
            </w:r>
          </w:p>
        </w:tc>
        <w:tc>
          <w:tcPr>
            <w:tcW w:type="dxa" w:w="3600"/>
            <w:vAlign w:val="center"/>
            <w:shd w:fill="F1F6F8"/>
          </w:tcPr>
          <w:p>
            <w:pPr>
              <w:spacing w:after="20"/>
            </w:pPr>
            <w:r/>
            <w:r>
              <w:rPr>
                <w:rFonts w:ascii="Aptos" w:hAnsi="Aptos"/>
                <w:b w:val="0"/>
                <w:sz w:val="15"/>
              </w:rPr>
              <w:t>May provide shared monitoring, security, transformation, and operational patterns.</w:t>
            </w:r>
          </w:p>
        </w:tc>
        <w:tc>
          <w:tcPr>
            <w:tcW w:type="dxa" w:w="4176"/>
            <w:vAlign w:val="center"/>
            <w:shd w:fill="F1F6F8"/>
          </w:tcPr>
          <w:p>
            <w:pPr>
              <w:spacing w:after="20"/>
            </w:pPr>
            <w:r/>
            <w:r>
              <w:rPr>
                <w:rFonts w:ascii="Aptos" w:hAnsi="Aptos"/>
                <w:b w:val="0"/>
                <w:sz w:val="15"/>
              </w:rPr>
              <w:t>Verify availability, licensing, skills, supported connectors, and ownership.</w:t>
            </w:r>
          </w:p>
        </w:tc>
      </w:tr>
      <w:tr>
        <w:tc>
          <w:tcPr>
            <w:tcW w:type="dxa" w:w="2160"/>
            <w:vAlign w:val="center"/>
            <w:shd w:fill="FFFFFF"/>
          </w:tcPr>
          <w:p>
            <w:pPr>
              <w:spacing w:after="20"/>
            </w:pPr>
            <w:r/>
            <w:r>
              <w:rPr>
                <w:rFonts w:ascii="Aptos" w:hAnsi="Aptos"/>
                <w:b w:val="0"/>
                <w:sz w:val="15"/>
              </w:rPr>
              <w:t>Use a managed cloud integration service</w:t>
            </w:r>
          </w:p>
        </w:tc>
        <w:tc>
          <w:tcPr>
            <w:tcW w:type="dxa" w:w="3600"/>
            <w:vAlign w:val="center"/>
            <w:shd w:fill="FFFFFF"/>
          </w:tcPr>
          <w:p>
            <w:pPr>
              <w:spacing w:after="20"/>
            </w:pPr>
            <w:r/>
            <w:r>
              <w:rPr>
                <w:rFonts w:ascii="Aptos" w:hAnsi="Aptos"/>
                <w:b w:val="0"/>
                <w:sz w:val="15"/>
              </w:rPr>
              <w:t>May reduce infrastructure administration and provide managed connectivity features.</w:t>
            </w:r>
          </w:p>
        </w:tc>
        <w:tc>
          <w:tcPr>
            <w:tcW w:type="dxa" w:w="4176"/>
            <w:vAlign w:val="center"/>
            <w:shd w:fill="FFFFFF"/>
          </w:tcPr>
          <w:p>
            <w:pPr>
              <w:spacing w:after="20"/>
            </w:pPr>
            <w:r/>
            <w:r>
              <w:rPr>
                <w:rFonts w:ascii="Aptos" w:hAnsi="Aptos"/>
                <w:b w:val="0"/>
                <w:sz w:val="15"/>
              </w:rPr>
              <w:t>Review data residency, network path, service limits, cost, and service responsibilities.</w:t>
            </w:r>
          </w:p>
        </w:tc>
      </w:tr>
      <w:tr>
        <w:tc>
          <w:tcPr>
            <w:tcW w:type="dxa" w:w="2160"/>
            <w:vAlign w:val="center"/>
            <w:shd w:fill="F1F6F8"/>
          </w:tcPr>
          <w:p>
            <w:pPr>
              <w:spacing w:after="20"/>
            </w:pPr>
            <w:r/>
            <w:r>
              <w:rPr>
                <w:rFonts w:ascii="Aptos" w:hAnsi="Aptos"/>
                <w:b w:val="0"/>
                <w:sz w:val="15"/>
              </w:rPr>
              <w:t>Point-to-point interface</w:t>
            </w:r>
          </w:p>
        </w:tc>
        <w:tc>
          <w:tcPr>
            <w:tcW w:type="dxa" w:w="3600"/>
            <w:vAlign w:val="center"/>
            <w:shd w:fill="F1F6F8"/>
          </w:tcPr>
          <w:p>
            <w:pPr>
              <w:spacing w:after="20"/>
            </w:pPr>
            <w:r/>
            <w:r>
              <w:rPr>
                <w:rFonts w:ascii="Aptos" w:hAnsi="Aptos"/>
                <w:b w:val="0"/>
                <w:sz w:val="15"/>
              </w:rPr>
              <w:t>May be suitable for a narrow, low-complexity pilot when supported.</w:t>
            </w:r>
          </w:p>
        </w:tc>
        <w:tc>
          <w:tcPr>
            <w:tcW w:type="dxa" w:w="4176"/>
            <w:vAlign w:val="center"/>
            <w:shd w:fill="F1F6F8"/>
          </w:tcPr>
          <w:p>
            <w:pPr>
              <w:spacing w:after="20"/>
            </w:pPr>
            <w:r/>
            <w:r>
              <w:rPr>
                <w:rFonts w:ascii="Aptos" w:hAnsi="Aptos"/>
                <w:b w:val="0"/>
                <w:sz w:val="15"/>
              </w:rPr>
              <w:t>Can create tight coupling and fragmented monitoring; validate lifecycle and growth implications.</w:t>
            </w:r>
          </w:p>
        </w:tc>
      </w:tr>
      <w:tr>
        <w:tc>
          <w:tcPr>
            <w:tcW w:type="dxa" w:w="2160"/>
            <w:vAlign w:val="center"/>
            <w:shd w:fill="FFFFFF"/>
          </w:tcPr>
          <w:p>
            <w:pPr>
              <w:spacing w:after="20"/>
            </w:pPr>
            <w:r/>
            <w:r>
              <w:rPr>
                <w:rFonts w:ascii="Aptos" w:hAnsi="Aptos"/>
                <w:b w:val="0"/>
                <w:sz w:val="15"/>
              </w:rPr>
              <w:t>File-based exchange</w:t>
            </w:r>
          </w:p>
        </w:tc>
        <w:tc>
          <w:tcPr>
            <w:tcW w:type="dxa" w:w="3600"/>
            <w:vAlign w:val="center"/>
            <w:shd w:fill="FFFFFF"/>
          </w:tcPr>
          <w:p>
            <w:pPr>
              <w:spacing w:after="20"/>
            </w:pPr>
            <w:r/>
            <w:r>
              <w:rPr>
                <w:rFonts w:ascii="Aptos" w:hAnsi="Aptos"/>
                <w:b w:val="0"/>
                <w:sz w:val="15"/>
              </w:rPr>
              <w:t>May support systems with limited API capability and controlled batch windows.</w:t>
            </w:r>
          </w:p>
        </w:tc>
        <w:tc>
          <w:tcPr>
            <w:tcW w:type="dxa" w:w="4176"/>
            <w:vAlign w:val="center"/>
            <w:shd w:fill="FFFFFF"/>
          </w:tcPr>
          <w:p>
            <w:pPr>
              <w:spacing w:after="20"/>
            </w:pPr>
            <w:r/>
            <w:r>
              <w:rPr>
                <w:rFonts w:ascii="Aptos" w:hAnsi="Aptos"/>
                <w:b w:val="0"/>
                <w:sz w:val="15"/>
              </w:rPr>
              <w:t>Adds latency, file handling, duplicate detection, and secure transfer/reconciliation needs.</w:t>
            </w:r>
          </w:p>
        </w:tc>
      </w:tr>
    </w:tbl>
    <w:p>
      <w:pPr>
        <w:spacing w:after="20"/>
      </w:pPr>
    </w:p>
    <w:p>
      <w:r>
        <w:t>Feasibility gates: (1) process and data ownership confirmed; (2) supported interface and environment access verified by authorized technical owners; (3) security/privacy architecture accepted; (4) estimates and benefits reviewed; and (5) testing and support capacity reserved. If a gate fails, narrow scope, select an approved alternative, or pause before build commitment.</w:t>
      </w:r>
    </w:p>
    <w:p>
      <w:pPr>
        <w:pStyle w:val="Heading1"/>
      </w:pPr>
      <w:r>
        <w:t>6. Proposed delivery approach and timeline</w:t>
      </w:r>
    </w:p>
    <w:p>
      <w:r>
        <w:t>The schedule below is an illustrative 12-week plan after project authorization. It assumes that required stakeholders and non-production environments can be made available. The four internship weeks are documentation tasks; they are not equivalent to this hypothetical implementation schedule.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72"/>
            <w:vAlign w:val="center"/>
            <w:shd w:fill="15324B"/>
          </w:tcPr>
          <w:p>
            <w:pPr>
              <w:spacing w:after="20"/>
            </w:pPr>
            <w:r/>
            <w:r>
              <w:rPr>
                <w:rFonts w:ascii="Aptos" w:hAnsi="Aptos"/>
                <w:b/>
                <w:color w:val="FFFFFF"/>
                <w:sz w:val="16"/>
              </w:rPr>
              <w:t>PHASE / WEEKS</w:t>
            </w:r>
          </w:p>
        </w:tc>
        <w:tc>
          <w:tcPr>
            <w:tcW w:type="dxa" w:w="4752"/>
            <w:vAlign w:val="center"/>
            <w:shd w:fill="15324B"/>
          </w:tcPr>
          <w:p>
            <w:pPr>
              <w:spacing w:after="20"/>
            </w:pPr>
            <w:r/>
            <w:r>
              <w:rPr>
                <w:rFonts w:ascii="Aptos" w:hAnsi="Aptos"/>
                <w:b/>
                <w:color w:val="FFFFFF"/>
                <w:sz w:val="16"/>
              </w:rPr>
              <w:t>ACTIVITIES AND MILESTONE</w:t>
            </w:r>
          </w:p>
        </w:tc>
        <w:tc>
          <w:tcPr>
            <w:tcW w:type="dxa" w:w="3312"/>
            <w:vAlign w:val="center"/>
            <w:shd w:fill="15324B"/>
          </w:tcPr>
          <w:p>
            <w:pPr>
              <w:spacing w:after="20"/>
            </w:pPr>
            <w:r/>
            <w:r>
              <w:rPr>
                <w:rFonts w:ascii="Aptos" w:hAnsi="Aptos"/>
                <w:b/>
                <w:color w:val="FFFFFF"/>
                <w:sz w:val="16"/>
              </w:rPr>
              <w:t>EXIT / DECISION</w:t>
            </w:r>
          </w:p>
        </w:tc>
      </w:tr>
      <w:tr>
        <w:tc>
          <w:tcPr>
            <w:tcW w:type="dxa" w:w="1872"/>
            <w:vAlign w:val="center"/>
            <w:shd w:fill="F1F6F8"/>
          </w:tcPr>
          <w:p>
            <w:pPr>
              <w:spacing w:after="20"/>
            </w:pPr>
            <w:r/>
            <w:r>
              <w:rPr>
                <w:rFonts w:ascii="Aptos" w:hAnsi="Aptos"/>
                <w:b w:val="0"/>
                <w:sz w:val="15"/>
              </w:rPr>
              <w:t>1. Discovery</w:t>
              <w:br/>
              <w:t>Weeks 1–2</w:t>
            </w:r>
          </w:p>
        </w:tc>
        <w:tc>
          <w:tcPr>
            <w:tcW w:type="dxa" w:w="4752"/>
            <w:vAlign w:val="center"/>
            <w:shd w:fill="F1F6F8"/>
          </w:tcPr>
          <w:p>
            <w:pPr>
              <w:spacing w:after="20"/>
            </w:pPr>
            <w:r/>
            <w:r>
              <w:rPr>
                <w:rFonts w:ascii="Aptos" w:hAnsi="Aptos"/>
                <w:b w:val="0"/>
                <w:sz w:val="15"/>
              </w:rPr>
              <w:t>Confirm process, baseline, requirements, data owners, current landscape, volumes, constraints, and open decisions.</w:t>
            </w:r>
          </w:p>
        </w:tc>
        <w:tc>
          <w:tcPr>
            <w:tcW w:type="dxa" w:w="3312"/>
            <w:vAlign w:val="center"/>
            <w:shd w:fill="F1F6F8"/>
          </w:tcPr>
          <w:p>
            <w:pPr>
              <w:spacing w:after="20"/>
            </w:pPr>
            <w:r/>
            <w:r>
              <w:rPr>
                <w:rFonts w:ascii="Aptos" w:hAnsi="Aptos"/>
                <w:b w:val="0"/>
                <w:sz w:val="15"/>
              </w:rPr>
              <w:t>M1: business scope and requirements approved; feasibility unknowns assigned.</w:t>
            </w:r>
          </w:p>
        </w:tc>
      </w:tr>
      <w:tr>
        <w:tc>
          <w:tcPr>
            <w:tcW w:type="dxa" w:w="1872"/>
            <w:vAlign w:val="center"/>
            <w:shd w:fill="FFFFFF"/>
          </w:tcPr>
          <w:p>
            <w:pPr>
              <w:spacing w:after="20"/>
            </w:pPr>
            <w:r/>
            <w:r>
              <w:rPr>
                <w:rFonts w:ascii="Aptos" w:hAnsi="Aptos"/>
                <w:b w:val="0"/>
                <w:sz w:val="15"/>
              </w:rPr>
              <w:t>2. Architecture and detailed design</w:t>
              <w:br/>
              <w:t>Weeks 3–4</w:t>
            </w:r>
          </w:p>
        </w:tc>
        <w:tc>
          <w:tcPr>
            <w:tcW w:type="dxa" w:w="4752"/>
            <w:vAlign w:val="center"/>
            <w:shd w:fill="FFFFFF"/>
          </w:tcPr>
          <w:p>
            <w:pPr>
              <w:spacing w:after="20"/>
            </w:pPr>
            <w:r/>
            <w:r>
              <w:rPr>
                <w:rFonts w:ascii="Aptos" w:hAnsi="Aptos"/>
                <w:b w:val="0"/>
                <w:sz w:val="15"/>
              </w:rPr>
              <w:t>Compare interface options; define logical flow, contracts, controls, security, monitoring, and support ownership.</w:t>
            </w:r>
          </w:p>
        </w:tc>
        <w:tc>
          <w:tcPr>
            <w:tcW w:type="dxa" w:w="3312"/>
            <w:vAlign w:val="center"/>
            <w:shd w:fill="FFFFFF"/>
          </w:tcPr>
          <w:p>
            <w:pPr>
              <w:spacing w:after="20"/>
            </w:pPr>
            <w:r/>
            <w:r>
              <w:rPr>
                <w:rFonts w:ascii="Aptos" w:hAnsi="Aptos"/>
                <w:b w:val="0"/>
                <w:sz w:val="15"/>
              </w:rPr>
              <w:t>M2: design and security review accepted; estimates refreshed.</w:t>
            </w:r>
          </w:p>
        </w:tc>
      </w:tr>
      <w:tr>
        <w:tc>
          <w:tcPr>
            <w:tcW w:type="dxa" w:w="1872"/>
            <w:vAlign w:val="center"/>
            <w:shd w:fill="F1F6F8"/>
          </w:tcPr>
          <w:p>
            <w:pPr>
              <w:spacing w:after="20"/>
            </w:pPr>
            <w:r/>
            <w:r>
              <w:rPr>
                <w:rFonts w:ascii="Aptos" w:hAnsi="Aptos"/>
                <w:b w:val="0"/>
                <w:sz w:val="15"/>
              </w:rPr>
              <w:t>3. Build and configuration</w:t>
              <w:br/>
              <w:t>Weeks 5–8</w:t>
            </w:r>
          </w:p>
        </w:tc>
        <w:tc>
          <w:tcPr>
            <w:tcW w:type="dxa" w:w="4752"/>
            <w:vAlign w:val="center"/>
            <w:shd w:fill="F1F6F8"/>
          </w:tcPr>
          <w:p>
            <w:pPr>
              <w:spacing w:after="20"/>
            </w:pPr>
            <w:r/>
            <w:r>
              <w:rPr>
                <w:rFonts w:ascii="Aptos" w:hAnsi="Aptos"/>
                <w:b w:val="0"/>
                <w:sz w:val="15"/>
              </w:rPr>
              <w:t>Implement in an authorized non-production environment; create mappings, validation, monitoring, and runbooks.</w:t>
            </w:r>
          </w:p>
        </w:tc>
        <w:tc>
          <w:tcPr>
            <w:tcW w:type="dxa" w:w="3312"/>
            <w:vAlign w:val="center"/>
            <w:shd w:fill="F1F6F8"/>
          </w:tcPr>
          <w:p>
            <w:pPr>
              <w:spacing w:after="20"/>
            </w:pPr>
            <w:r/>
            <w:r>
              <w:rPr>
                <w:rFonts w:ascii="Aptos" w:hAnsi="Aptos"/>
                <w:b w:val="0"/>
                <w:sz w:val="15"/>
              </w:rPr>
              <w:t>M3: component checks complete; no unresolved critical design decision.</w:t>
            </w:r>
          </w:p>
        </w:tc>
      </w:tr>
      <w:tr>
        <w:tc>
          <w:tcPr>
            <w:tcW w:type="dxa" w:w="1872"/>
            <w:vAlign w:val="center"/>
            <w:shd w:fill="FFFFFF"/>
          </w:tcPr>
          <w:p>
            <w:pPr>
              <w:spacing w:after="20"/>
            </w:pPr>
            <w:r/>
            <w:r>
              <w:rPr>
                <w:rFonts w:ascii="Aptos" w:hAnsi="Aptos"/>
                <w:b w:val="0"/>
                <w:sz w:val="15"/>
              </w:rPr>
              <w:t>4. Integration testing</w:t>
              <w:br/>
              <w:t>Weeks 9–10</w:t>
            </w:r>
          </w:p>
        </w:tc>
        <w:tc>
          <w:tcPr>
            <w:tcW w:type="dxa" w:w="4752"/>
            <w:vAlign w:val="center"/>
            <w:shd w:fill="FFFFFF"/>
          </w:tcPr>
          <w:p>
            <w:pPr>
              <w:spacing w:after="20"/>
            </w:pPr>
            <w:r/>
            <w:r>
              <w:rPr>
                <w:rFonts w:ascii="Aptos" w:hAnsi="Aptos"/>
                <w:b w:val="0"/>
                <w:sz w:val="15"/>
              </w:rPr>
              <w:t>Run traceable positive, negative, boundary, recovery, duplicate, security, and reconciliation cases.</w:t>
            </w:r>
          </w:p>
        </w:tc>
        <w:tc>
          <w:tcPr>
            <w:tcW w:type="dxa" w:w="3312"/>
            <w:vAlign w:val="center"/>
            <w:shd w:fill="FFFFFF"/>
          </w:tcPr>
          <w:p>
            <w:pPr>
              <w:spacing w:after="20"/>
            </w:pPr>
            <w:r/>
            <w:r>
              <w:rPr>
                <w:rFonts w:ascii="Aptos" w:hAnsi="Aptos"/>
                <w:b w:val="0"/>
                <w:sz w:val="15"/>
              </w:rPr>
              <w:t>M4: agreed acceptance criteria met; critical defects resolved or dispositioned.</w:t>
            </w:r>
          </w:p>
        </w:tc>
      </w:tr>
      <w:tr>
        <w:tc>
          <w:tcPr>
            <w:tcW w:type="dxa" w:w="1872"/>
            <w:vAlign w:val="center"/>
            <w:shd w:fill="F1F6F8"/>
          </w:tcPr>
          <w:p>
            <w:pPr>
              <w:spacing w:after="20"/>
            </w:pPr>
            <w:r/>
            <w:r>
              <w:rPr>
                <w:rFonts w:ascii="Aptos" w:hAnsi="Aptos"/>
                <w:b w:val="0"/>
                <w:sz w:val="15"/>
              </w:rPr>
              <w:t>5. Readiness and controlled pilot</w:t>
              <w:br/>
              <w:t>Week 11</w:t>
            </w:r>
          </w:p>
        </w:tc>
        <w:tc>
          <w:tcPr>
            <w:tcW w:type="dxa" w:w="4752"/>
            <w:vAlign w:val="center"/>
            <w:shd w:fill="F1F6F8"/>
          </w:tcPr>
          <w:p>
            <w:pPr>
              <w:spacing w:after="20"/>
            </w:pPr>
            <w:r/>
            <w:r>
              <w:rPr>
                <w:rFonts w:ascii="Aptos" w:hAnsi="Aptos"/>
                <w:b w:val="0"/>
                <w:sz w:val="15"/>
              </w:rPr>
              <w:t>Train support roles; rehearse deployment/rollback; validate access, monitoring, escalation, and manual fallback.</w:t>
            </w:r>
          </w:p>
        </w:tc>
        <w:tc>
          <w:tcPr>
            <w:tcW w:type="dxa" w:w="3312"/>
            <w:vAlign w:val="center"/>
            <w:shd w:fill="F1F6F8"/>
          </w:tcPr>
          <w:p>
            <w:pPr>
              <w:spacing w:after="20"/>
            </w:pPr>
            <w:r/>
            <w:r>
              <w:rPr>
                <w:rFonts w:ascii="Aptos" w:hAnsi="Aptos"/>
                <w:b w:val="0"/>
                <w:sz w:val="15"/>
              </w:rPr>
              <w:t>M5: go/no-go approval from business, technical, security, and operations owners.</w:t>
            </w:r>
          </w:p>
        </w:tc>
      </w:tr>
      <w:tr>
        <w:tc>
          <w:tcPr>
            <w:tcW w:type="dxa" w:w="1872"/>
            <w:vAlign w:val="center"/>
            <w:shd w:fill="FFFFFF"/>
          </w:tcPr>
          <w:p>
            <w:pPr>
              <w:spacing w:after="20"/>
            </w:pPr>
            <w:r/>
            <w:r>
              <w:rPr>
                <w:rFonts w:ascii="Aptos" w:hAnsi="Aptos"/>
                <w:b w:val="0"/>
                <w:sz w:val="15"/>
              </w:rPr>
              <w:t>6. Stabilization and review</w:t>
              <w:br/>
              <w:t>Week 12</w:t>
            </w:r>
          </w:p>
        </w:tc>
        <w:tc>
          <w:tcPr>
            <w:tcW w:type="dxa" w:w="4752"/>
            <w:vAlign w:val="center"/>
            <w:shd w:fill="FFFFFF"/>
          </w:tcPr>
          <w:p>
            <w:pPr>
              <w:spacing w:after="20"/>
            </w:pPr>
            <w:r/>
            <w:r>
              <w:rPr>
                <w:rFonts w:ascii="Aptos" w:hAnsi="Aptos"/>
                <w:b w:val="0"/>
                <w:sz w:val="15"/>
              </w:rPr>
              <w:t>Monitor agreed pilot measures, reconcile records, resolve issues, and review outcome against baseline.</w:t>
            </w:r>
          </w:p>
        </w:tc>
        <w:tc>
          <w:tcPr>
            <w:tcW w:type="dxa" w:w="3312"/>
            <w:vAlign w:val="center"/>
            <w:shd w:fill="FFFFFF"/>
          </w:tcPr>
          <w:p>
            <w:pPr>
              <w:spacing w:after="20"/>
            </w:pPr>
            <w:r/>
            <w:r>
              <w:rPr>
                <w:rFonts w:ascii="Aptos" w:hAnsi="Aptos"/>
                <w:b w:val="0"/>
                <w:sz w:val="15"/>
              </w:rPr>
              <w:t>M6: pilot exit decision; improvement actions and ownership agreed.</w:t>
            </w:r>
          </w:p>
        </w:tc>
      </w:tr>
    </w:tbl>
    <w:p>
      <w:pPr>
        <w:spacing w:after="20"/>
      </w:pPr>
    </w:p>
    <w:p>
      <w:pPr>
        <w:pStyle w:val="Heading2"/>
      </w:pPr>
      <w:r>
        <w:t>Schedule contingency</w:t>
      </w:r>
    </w:p>
    <w:p>
      <w:pPr>
        <w:pStyle w:val="ListBullet"/>
        <w:spacing w:after="40"/>
      </w:pPr>
      <w:r>
        <w:t>Reserve one to two weeks of schedule float across design and testing; do not use it to conceal unresolved scope.</w:t>
      </w:r>
    </w:p>
    <w:p>
      <w:pPr>
        <w:pStyle w:val="ListBullet"/>
        <w:spacing w:after="40"/>
      </w:pPr>
      <w:r>
        <w:t>If interface access or data ownership is delayed, continue with contract-level design and synthetic test data while keeping build start gated.</w:t>
      </w:r>
    </w:p>
    <w:p>
      <w:pPr>
        <w:pStyle w:val="ListBullet"/>
        <w:spacing w:after="40"/>
      </w:pPr>
      <w:r>
        <w:t>If critical test cases fail, stop promotion, preserve evidence, correct and regression-test; invoke the agreed manual order process if business continuity requires it.</w:t>
      </w:r>
    </w:p>
    <w:p>
      <w:pPr>
        <w:pStyle w:val="ListBullet"/>
        <w:spacing w:after="40"/>
      </w:pPr>
      <w:r>
        <w:t>If security approval, reconciliation, or rollback readiness is incomplete, defer pilot authorization.</w:t>
      </w:r>
    </w:p>
    <w:p>
      <w:pPr>
        <w:pStyle w:val="ListBullet"/>
        <w:spacing w:after="40"/>
      </w:pPr>
      <w:r>
        <w:t>Re-plan with owners when a dependency slips by more than five working days or changes a milestone on the critical path.</w:t>
      </w:r>
    </w:p>
    <w:p>
      <w:pPr>
        <w:pStyle w:val="Heading1"/>
      </w:pPr>
      <w:r>
        <w:t>7. Illustrative effort and budget estimate</w:t>
      </w:r>
    </w:p>
    <w:p>
      <w:r>
        <w:t>The task brief expects approximately 30–35 hours for this planning assignment. The following separate estimate illustrates a possible delivery team effort for the fictional 12-week pilot and should not be confused with hours completed by the candidate. Cost is calculated using assumed blended role rates in USD; it excludes taxes, licensing, infrastructure, travel, vendor charges, and contingency reserve.</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376"/>
            <w:vAlign w:val="center"/>
            <w:shd w:fill="15324B"/>
          </w:tcPr>
          <w:p>
            <w:pPr>
              <w:spacing w:after="20"/>
            </w:pPr>
            <w:r/>
            <w:r>
              <w:rPr>
                <w:rFonts w:ascii="Aptos" w:hAnsi="Aptos"/>
                <w:b/>
                <w:color w:val="FFFFFF"/>
                <w:sz w:val="16"/>
              </w:rPr>
              <w:t>ROLE</w:t>
            </w:r>
          </w:p>
        </w:tc>
        <w:tc>
          <w:tcPr>
            <w:tcW w:type="dxa" w:w="1728"/>
            <w:vAlign w:val="center"/>
            <w:shd w:fill="15324B"/>
          </w:tcPr>
          <w:p>
            <w:pPr>
              <w:spacing w:after="20"/>
            </w:pPr>
            <w:r/>
            <w:r>
              <w:rPr>
                <w:rFonts w:ascii="Aptos" w:hAnsi="Aptos"/>
                <w:b/>
                <w:color w:val="FFFFFF"/>
                <w:sz w:val="16"/>
              </w:rPr>
              <w:t>HOURS (LOW–HIGH)</w:t>
            </w:r>
          </w:p>
        </w:tc>
        <w:tc>
          <w:tcPr>
            <w:tcW w:type="dxa" w:w="1656"/>
            <w:vAlign w:val="center"/>
            <w:shd w:fill="15324B"/>
          </w:tcPr>
          <w:p>
            <w:pPr>
              <w:spacing w:after="20"/>
            </w:pPr>
            <w:r/>
            <w:r>
              <w:rPr>
                <w:rFonts w:ascii="Aptos" w:hAnsi="Aptos"/>
                <w:b/>
                <w:color w:val="FFFFFF"/>
                <w:sz w:val="16"/>
              </w:rPr>
              <w:t>ASSUMED RATE / HOUR</w:t>
            </w:r>
          </w:p>
        </w:tc>
        <w:tc>
          <w:tcPr>
            <w:tcW w:type="dxa" w:w="4176"/>
            <w:vAlign w:val="center"/>
            <w:shd w:fill="15324B"/>
          </w:tcPr>
          <w:p>
            <w:pPr>
              <w:spacing w:after="20"/>
            </w:pPr>
            <w:r/>
            <w:r>
              <w:rPr>
                <w:rFonts w:ascii="Aptos" w:hAnsi="Aptos"/>
                <w:b/>
                <w:color w:val="FFFFFF"/>
                <w:sz w:val="16"/>
              </w:rPr>
              <w:t>ESTIMATED COST (LOW–HIGH)</w:t>
            </w:r>
          </w:p>
        </w:tc>
      </w:tr>
      <w:tr>
        <w:tc>
          <w:tcPr>
            <w:tcW w:type="dxa" w:w="2376"/>
            <w:vAlign w:val="center"/>
            <w:shd w:fill="F1F6F8"/>
          </w:tcPr>
          <w:p>
            <w:pPr>
              <w:spacing w:after="20"/>
            </w:pPr>
            <w:r/>
            <w:r>
              <w:rPr>
                <w:rFonts w:ascii="Aptos" w:hAnsi="Aptos"/>
                <w:b w:val="0"/>
                <w:sz w:val="15"/>
              </w:rPr>
              <w:t>Project manager / delivery lead</w:t>
            </w:r>
          </w:p>
        </w:tc>
        <w:tc>
          <w:tcPr>
            <w:tcW w:type="dxa" w:w="1728"/>
            <w:vAlign w:val="center"/>
            <w:shd w:fill="F1F6F8"/>
          </w:tcPr>
          <w:p>
            <w:pPr>
              <w:spacing w:after="20"/>
            </w:pPr>
            <w:r/>
            <w:r>
              <w:rPr>
                <w:rFonts w:ascii="Aptos" w:hAnsi="Aptos"/>
                <w:b w:val="0"/>
                <w:sz w:val="15"/>
              </w:rPr>
              <w:t>80–100</w:t>
            </w:r>
          </w:p>
        </w:tc>
        <w:tc>
          <w:tcPr>
            <w:tcW w:type="dxa" w:w="1656"/>
            <w:vAlign w:val="center"/>
            <w:shd w:fill="F1F6F8"/>
          </w:tcPr>
          <w:p>
            <w:pPr>
              <w:spacing w:after="20"/>
            </w:pPr>
            <w:r/>
            <w:r>
              <w:rPr>
                <w:rFonts w:ascii="Aptos" w:hAnsi="Aptos"/>
                <w:b w:val="0"/>
                <w:sz w:val="15"/>
              </w:rPr>
              <w:t>$90</w:t>
            </w:r>
          </w:p>
        </w:tc>
        <w:tc>
          <w:tcPr>
            <w:tcW w:type="dxa" w:w="4176"/>
            <w:vAlign w:val="center"/>
            <w:shd w:fill="F1F6F8"/>
          </w:tcPr>
          <w:p>
            <w:pPr>
              <w:spacing w:after="20"/>
            </w:pPr>
            <w:r/>
            <w:r>
              <w:rPr>
                <w:rFonts w:ascii="Aptos" w:hAnsi="Aptos"/>
                <w:b w:val="0"/>
                <w:sz w:val="15"/>
              </w:rPr>
              <w:t>$7,200–$9,000</w:t>
            </w:r>
          </w:p>
        </w:tc>
      </w:tr>
      <w:tr>
        <w:tc>
          <w:tcPr>
            <w:tcW w:type="dxa" w:w="2376"/>
            <w:vAlign w:val="center"/>
            <w:shd w:fill="FFFFFF"/>
          </w:tcPr>
          <w:p>
            <w:pPr>
              <w:spacing w:after="20"/>
            </w:pPr>
            <w:r/>
            <w:r>
              <w:rPr>
                <w:rFonts w:ascii="Aptos" w:hAnsi="Aptos"/>
                <w:b w:val="0"/>
                <w:sz w:val="15"/>
              </w:rPr>
              <w:t>SAP SD functional analyst</w:t>
            </w:r>
          </w:p>
        </w:tc>
        <w:tc>
          <w:tcPr>
            <w:tcW w:type="dxa" w:w="1728"/>
            <w:vAlign w:val="center"/>
            <w:shd w:fill="FFFFFF"/>
          </w:tcPr>
          <w:p>
            <w:pPr>
              <w:spacing w:after="20"/>
            </w:pPr>
            <w:r/>
            <w:r>
              <w:rPr>
                <w:rFonts w:ascii="Aptos" w:hAnsi="Aptos"/>
                <w:b w:val="0"/>
                <w:sz w:val="15"/>
              </w:rPr>
              <w:t>120–160</w:t>
            </w:r>
          </w:p>
        </w:tc>
        <w:tc>
          <w:tcPr>
            <w:tcW w:type="dxa" w:w="1656"/>
            <w:vAlign w:val="center"/>
            <w:shd w:fill="FFFFFF"/>
          </w:tcPr>
          <w:p>
            <w:pPr>
              <w:spacing w:after="20"/>
            </w:pPr>
            <w:r/>
            <w:r>
              <w:rPr>
                <w:rFonts w:ascii="Aptos" w:hAnsi="Aptos"/>
                <w:b w:val="0"/>
                <w:sz w:val="15"/>
              </w:rPr>
              <w:t>$100</w:t>
            </w:r>
          </w:p>
        </w:tc>
        <w:tc>
          <w:tcPr>
            <w:tcW w:type="dxa" w:w="4176"/>
            <w:vAlign w:val="center"/>
            <w:shd w:fill="FFFFFF"/>
          </w:tcPr>
          <w:p>
            <w:pPr>
              <w:spacing w:after="20"/>
            </w:pPr>
            <w:r/>
            <w:r>
              <w:rPr>
                <w:rFonts w:ascii="Aptos" w:hAnsi="Aptos"/>
                <w:b w:val="0"/>
                <w:sz w:val="15"/>
              </w:rPr>
              <w:t>$12,000–$16,000</w:t>
            </w:r>
          </w:p>
        </w:tc>
      </w:tr>
      <w:tr>
        <w:tc>
          <w:tcPr>
            <w:tcW w:type="dxa" w:w="2376"/>
            <w:vAlign w:val="center"/>
            <w:shd w:fill="F1F6F8"/>
          </w:tcPr>
          <w:p>
            <w:pPr>
              <w:spacing w:after="20"/>
            </w:pPr>
            <w:r/>
            <w:r>
              <w:rPr>
                <w:rFonts w:ascii="Aptos" w:hAnsi="Aptos"/>
                <w:b w:val="0"/>
                <w:sz w:val="15"/>
              </w:rPr>
              <w:t>Integration architect</w:t>
            </w:r>
          </w:p>
        </w:tc>
        <w:tc>
          <w:tcPr>
            <w:tcW w:type="dxa" w:w="1728"/>
            <w:vAlign w:val="center"/>
            <w:shd w:fill="F1F6F8"/>
          </w:tcPr>
          <w:p>
            <w:pPr>
              <w:spacing w:after="20"/>
            </w:pPr>
            <w:r/>
            <w:r>
              <w:rPr>
                <w:rFonts w:ascii="Aptos" w:hAnsi="Aptos"/>
                <w:b w:val="0"/>
                <w:sz w:val="15"/>
              </w:rPr>
              <w:t>60–80</w:t>
            </w:r>
          </w:p>
        </w:tc>
        <w:tc>
          <w:tcPr>
            <w:tcW w:type="dxa" w:w="1656"/>
            <w:vAlign w:val="center"/>
            <w:shd w:fill="F1F6F8"/>
          </w:tcPr>
          <w:p>
            <w:pPr>
              <w:spacing w:after="20"/>
            </w:pPr>
            <w:r/>
            <w:r>
              <w:rPr>
                <w:rFonts w:ascii="Aptos" w:hAnsi="Aptos"/>
                <w:b w:val="0"/>
                <w:sz w:val="15"/>
              </w:rPr>
              <w:t>$130</w:t>
            </w:r>
          </w:p>
        </w:tc>
        <w:tc>
          <w:tcPr>
            <w:tcW w:type="dxa" w:w="4176"/>
            <w:vAlign w:val="center"/>
            <w:shd w:fill="F1F6F8"/>
          </w:tcPr>
          <w:p>
            <w:pPr>
              <w:spacing w:after="20"/>
            </w:pPr>
            <w:r/>
            <w:r>
              <w:rPr>
                <w:rFonts w:ascii="Aptos" w:hAnsi="Aptos"/>
                <w:b w:val="0"/>
                <w:sz w:val="15"/>
              </w:rPr>
              <w:t>$7,800–$10,400</w:t>
            </w:r>
          </w:p>
        </w:tc>
      </w:tr>
      <w:tr>
        <w:tc>
          <w:tcPr>
            <w:tcW w:type="dxa" w:w="2376"/>
            <w:vAlign w:val="center"/>
            <w:shd w:fill="FFFFFF"/>
          </w:tcPr>
          <w:p>
            <w:pPr>
              <w:spacing w:after="20"/>
            </w:pPr>
            <w:r/>
            <w:r>
              <w:rPr>
                <w:rFonts w:ascii="Aptos" w:hAnsi="Aptos"/>
                <w:b w:val="0"/>
                <w:sz w:val="15"/>
              </w:rPr>
              <w:t>Integration developer / engineer</w:t>
            </w:r>
          </w:p>
        </w:tc>
        <w:tc>
          <w:tcPr>
            <w:tcW w:type="dxa" w:w="1728"/>
            <w:vAlign w:val="center"/>
            <w:shd w:fill="FFFFFF"/>
          </w:tcPr>
          <w:p>
            <w:pPr>
              <w:spacing w:after="20"/>
            </w:pPr>
            <w:r/>
            <w:r>
              <w:rPr>
                <w:rFonts w:ascii="Aptos" w:hAnsi="Aptos"/>
                <w:b w:val="0"/>
                <w:sz w:val="15"/>
              </w:rPr>
              <w:t>180–260</w:t>
            </w:r>
          </w:p>
        </w:tc>
        <w:tc>
          <w:tcPr>
            <w:tcW w:type="dxa" w:w="1656"/>
            <w:vAlign w:val="center"/>
            <w:shd w:fill="FFFFFF"/>
          </w:tcPr>
          <w:p>
            <w:pPr>
              <w:spacing w:after="20"/>
            </w:pPr>
            <w:r/>
            <w:r>
              <w:rPr>
                <w:rFonts w:ascii="Aptos" w:hAnsi="Aptos"/>
                <w:b w:val="0"/>
                <w:sz w:val="15"/>
              </w:rPr>
              <w:t>$110</w:t>
            </w:r>
          </w:p>
        </w:tc>
        <w:tc>
          <w:tcPr>
            <w:tcW w:type="dxa" w:w="4176"/>
            <w:vAlign w:val="center"/>
            <w:shd w:fill="FFFFFF"/>
          </w:tcPr>
          <w:p>
            <w:pPr>
              <w:spacing w:after="20"/>
            </w:pPr>
            <w:r/>
            <w:r>
              <w:rPr>
                <w:rFonts w:ascii="Aptos" w:hAnsi="Aptos"/>
                <w:b w:val="0"/>
                <w:sz w:val="15"/>
              </w:rPr>
              <w:t>$19,800–$28,600</w:t>
            </w:r>
          </w:p>
        </w:tc>
      </w:tr>
      <w:tr>
        <w:tc>
          <w:tcPr>
            <w:tcW w:type="dxa" w:w="2376"/>
            <w:vAlign w:val="center"/>
            <w:shd w:fill="F1F6F8"/>
          </w:tcPr>
          <w:p>
            <w:pPr>
              <w:spacing w:after="20"/>
            </w:pPr>
            <w:r/>
            <w:r>
              <w:rPr>
                <w:rFonts w:ascii="Aptos" w:hAnsi="Aptos"/>
                <w:b w:val="0"/>
                <w:sz w:val="15"/>
              </w:rPr>
              <w:t>Data / security specialist</w:t>
            </w:r>
          </w:p>
        </w:tc>
        <w:tc>
          <w:tcPr>
            <w:tcW w:type="dxa" w:w="1728"/>
            <w:vAlign w:val="center"/>
            <w:shd w:fill="F1F6F8"/>
          </w:tcPr>
          <w:p>
            <w:pPr>
              <w:spacing w:after="20"/>
            </w:pPr>
            <w:r/>
            <w:r>
              <w:rPr>
                <w:rFonts w:ascii="Aptos" w:hAnsi="Aptos"/>
                <w:b w:val="0"/>
                <w:sz w:val="15"/>
              </w:rPr>
              <w:t>40–60</w:t>
            </w:r>
          </w:p>
        </w:tc>
        <w:tc>
          <w:tcPr>
            <w:tcW w:type="dxa" w:w="1656"/>
            <w:vAlign w:val="center"/>
            <w:shd w:fill="F1F6F8"/>
          </w:tcPr>
          <w:p>
            <w:pPr>
              <w:spacing w:after="20"/>
            </w:pPr>
            <w:r/>
            <w:r>
              <w:rPr>
                <w:rFonts w:ascii="Aptos" w:hAnsi="Aptos"/>
                <w:b w:val="0"/>
                <w:sz w:val="15"/>
              </w:rPr>
              <w:t>$120</w:t>
            </w:r>
          </w:p>
        </w:tc>
        <w:tc>
          <w:tcPr>
            <w:tcW w:type="dxa" w:w="4176"/>
            <w:vAlign w:val="center"/>
            <w:shd w:fill="F1F6F8"/>
          </w:tcPr>
          <w:p>
            <w:pPr>
              <w:spacing w:after="20"/>
            </w:pPr>
            <w:r/>
            <w:r>
              <w:rPr>
                <w:rFonts w:ascii="Aptos" w:hAnsi="Aptos"/>
                <w:b w:val="0"/>
                <w:sz w:val="15"/>
              </w:rPr>
              <w:t>$4,800–$7,200</w:t>
            </w:r>
          </w:p>
        </w:tc>
      </w:tr>
      <w:tr>
        <w:tc>
          <w:tcPr>
            <w:tcW w:type="dxa" w:w="2376"/>
            <w:vAlign w:val="center"/>
            <w:shd w:fill="FFFFFF"/>
          </w:tcPr>
          <w:p>
            <w:pPr>
              <w:spacing w:after="20"/>
            </w:pPr>
            <w:r/>
            <w:r>
              <w:rPr>
                <w:rFonts w:ascii="Aptos" w:hAnsi="Aptos"/>
                <w:b w:val="0"/>
                <w:sz w:val="15"/>
              </w:rPr>
              <w:t>QA / test analyst</w:t>
            </w:r>
          </w:p>
        </w:tc>
        <w:tc>
          <w:tcPr>
            <w:tcW w:type="dxa" w:w="1728"/>
            <w:vAlign w:val="center"/>
            <w:shd w:fill="FFFFFF"/>
          </w:tcPr>
          <w:p>
            <w:pPr>
              <w:spacing w:after="20"/>
            </w:pPr>
            <w:r/>
            <w:r>
              <w:rPr>
                <w:rFonts w:ascii="Aptos" w:hAnsi="Aptos"/>
                <w:b w:val="0"/>
                <w:sz w:val="15"/>
              </w:rPr>
              <w:t>100–140</w:t>
            </w:r>
          </w:p>
        </w:tc>
        <w:tc>
          <w:tcPr>
            <w:tcW w:type="dxa" w:w="1656"/>
            <w:vAlign w:val="center"/>
            <w:shd w:fill="FFFFFF"/>
          </w:tcPr>
          <w:p>
            <w:pPr>
              <w:spacing w:after="20"/>
            </w:pPr>
            <w:r/>
            <w:r>
              <w:rPr>
                <w:rFonts w:ascii="Aptos" w:hAnsi="Aptos"/>
                <w:b w:val="0"/>
                <w:sz w:val="15"/>
              </w:rPr>
              <w:t>$80</w:t>
            </w:r>
          </w:p>
        </w:tc>
        <w:tc>
          <w:tcPr>
            <w:tcW w:type="dxa" w:w="4176"/>
            <w:vAlign w:val="center"/>
            <w:shd w:fill="FFFFFF"/>
          </w:tcPr>
          <w:p>
            <w:pPr>
              <w:spacing w:after="20"/>
            </w:pPr>
            <w:r/>
            <w:r>
              <w:rPr>
                <w:rFonts w:ascii="Aptos" w:hAnsi="Aptos"/>
                <w:b w:val="0"/>
                <w:sz w:val="15"/>
              </w:rPr>
              <w:t>$8,000–$11,200</w:t>
            </w:r>
          </w:p>
        </w:tc>
      </w:tr>
      <w:tr>
        <w:tc>
          <w:tcPr>
            <w:tcW w:type="dxa" w:w="2376"/>
            <w:vAlign w:val="center"/>
            <w:shd w:fill="F1F6F8"/>
          </w:tcPr>
          <w:p>
            <w:pPr>
              <w:spacing w:after="20"/>
            </w:pPr>
            <w:r/>
            <w:r>
              <w:rPr>
                <w:rFonts w:ascii="Aptos" w:hAnsi="Aptos"/>
                <w:b w:val="0"/>
                <w:sz w:val="15"/>
              </w:rPr>
              <w:t>Business process owner / SME</w:t>
            </w:r>
          </w:p>
        </w:tc>
        <w:tc>
          <w:tcPr>
            <w:tcW w:type="dxa" w:w="1728"/>
            <w:vAlign w:val="center"/>
            <w:shd w:fill="F1F6F8"/>
          </w:tcPr>
          <w:p>
            <w:pPr>
              <w:spacing w:after="20"/>
            </w:pPr>
            <w:r/>
            <w:r>
              <w:rPr>
                <w:rFonts w:ascii="Aptos" w:hAnsi="Aptos"/>
                <w:b w:val="0"/>
                <w:sz w:val="15"/>
              </w:rPr>
              <w:t>40–60</w:t>
            </w:r>
          </w:p>
        </w:tc>
        <w:tc>
          <w:tcPr>
            <w:tcW w:type="dxa" w:w="1656"/>
            <w:vAlign w:val="center"/>
            <w:shd w:fill="F1F6F8"/>
          </w:tcPr>
          <w:p>
            <w:pPr>
              <w:spacing w:after="20"/>
            </w:pPr>
            <w:r/>
            <w:r>
              <w:rPr>
                <w:rFonts w:ascii="Aptos" w:hAnsi="Aptos"/>
                <w:b w:val="0"/>
                <w:sz w:val="15"/>
              </w:rPr>
              <w:t>$90</w:t>
            </w:r>
          </w:p>
        </w:tc>
        <w:tc>
          <w:tcPr>
            <w:tcW w:type="dxa" w:w="4176"/>
            <w:vAlign w:val="center"/>
            <w:shd w:fill="F1F6F8"/>
          </w:tcPr>
          <w:p>
            <w:pPr>
              <w:spacing w:after="20"/>
            </w:pPr>
            <w:r/>
            <w:r>
              <w:rPr>
                <w:rFonts w:ascii="Aptos" w:hAnsi="Aptos"/>
                <w:b w:val="0"/>
                <w:sz w:val="15"/>
              </w:rPr>
              <w:t>$3,600–$5,400</w:t>
            </w:r>
          </w:p>
        </w:tc>
      </w:tr>
      <w:tr>
        <w:tc>
          <w:tcPr>
            <w:tcW w:type="dxa" w:w="2376"/>
            <w:vAlign w:val="center"/>
            <w:shd w:fill="FFFFFF"/>
          </w:tcPr>
          <w:p>
            <w:pPr>
              <w:spacing w:after="20"/>
            </w:pPr>
            <w:r/>
            <w:r>
              <w:rPr>
                <w:rFonts w:ascii="Aptos" w:hAnsi="Aptos"/>
                <w:b w:val="0"/>
                <w:sz w:val="15"/>
              </w:rPr>
              <w:t>Operations / support readiness</w:t>
            </w:r>
          </w:p>
        </w:tc>
        <w:tc>
          <w:tcPr>
            <w:tcW w:type="dxa" w:w="1728"/>
            <w:vAlign w:val="center"/>
            <w:shd w:fill="FFFFFF"/>
          </w:tcPr>
          <w:p>
            <w:pPr>
              <w:spacing w:after="20"/>
            </w:pPr>
            <w:r/>
            <w:r>
              <w:rPr>
                <w:rFonts w:ascii="Aptos" w:hAnsi="Aptos"/>
                <w:b w:val="0"/>
                <w:sz w:val="15"/>
              </w:rPr>
              <w:t>30–40</w:t>
            </w:r>
          </w:p>
        </w:tc>
        <w:tc>
          <w:tcPr>
            <w:tcW w:type="dxa" w:w="1656"/>
            <w:vAlign w:val="center"/>
            <w:shd w:fill="FFFFFF"/>
          </w:tcPr>
          <w:p>
            <w:pPr>
              <w:spacing w:after="20"/>
            </w:pPr>
            <w:r/>
            <w:r>
              <w:rPr>
                <w:rFonts w:ascii="Aptos" w:hAnsi="Aptos"/>
                <w:b w:val="0"/>
                <w:sz w:val="15"/>
              </w:rPr>
              <w:t>$90</w:t>
            </w:r>
          </w:p>
        </w:tc>
        <w:tc>
          <w:tcPr>
            <w:tcW w:type="dxa" w:w="4176"/>
            <w:vAlign w:val="center"/>
            <w:shd w:fill="FFFFFF"/>
          </w:tcPr>
          <w:p>
            <w:pPr>
              <w:spacing w:after="20"/>
            </w:pPr>
            <w:r/>
            <w:r>
              <w:rPr>
                <w:rFonts w:ascii="Aptos" w:hAnsi="Aptos"/>
                <w:b w:val="0"/>
                <w:sz w:val="15"/>
              </w:rPr>
              <w:t>$2,700–$3,600</w:t>
            </w:r>
          </w:p>
        </w:tc>
      </w:tr>
      <w:tr>
        <w:tc>
          <w:tcPr>
            <w:tcW w:type="dxa" w:w="2376"/>
            <w:vAlign w:val="center"/>
            <w:shd w:fill="F1F6F8"/>
          </w:tcPr>
          <w:p>
            <w:pPr>
              <w:spacing w:after="20"/>
            </w:pPr>
            <w:r/>
            <w:r>
              <w:rPr>
                <w:rFonts w:ascii="Aptos" w:hAnsi="Aptos"/>
                <w:b w:val="0"/>
                <w:sz w:val="15"/>
              </w:rPr>
              <w:t>TOTAL</w:t>
            </w:r>
          </w:p>
        </w:tc>
        <w:tc>
          <w:tcPr>
            <w:tcW w:type="dxa" w:w="1728"/>
            <w:vAlign w:val="center"/>
            <w:shd w:fill="F1F6F8"/>
          </w:tcPr>
          <w:p>
            <w:pPr>
              <w:spacing w:after="20"/>
            </w:pPr>
            <w:r/>
            <w:r>
              <w:rPr>
                <w:rFonts w:ascii="Aptos" w:hAnsi="Aptos"/>
                <w:b w:val="0"/>
                <w:sz w:val="15"/>
              </w:rPr>
              <w:t>650–900</w:t>
            </w:r>
          </w:p>
        </w:tc>
        <w:tc>
          <w:tcPr>
            <w:tcW w:type="dxa" w:w="1656"/>
            <w:vAlign w:val="center"/>
            <w:shd w:fill="F1F6F8"/>
          </w:tcPr>
          <w:p>
            <w:pPr>
              <w:spacing w:after="20"/>
            </w:pPr>
            <w:r/>
            <w:r>
              <w:rPr>
                <w:rFonts w:ascii="Aptos" w:hAnsi="Aptos"/>
                <w:b w:val="0"/>
                <w:sz w:val="15"/>
              </w:rPr>
              <w:t>Blended assumptions</w:t>
            </w:r>
          </w:p>
        </w:tc>
        <w:tc>
          <w:tcPr>
            <w:tcW w:type="dxa" w:w="4176"/>
            <w:vAlign w:val="center"/>
            <w:shd w:fill="F1F6F8"/>
          </w:tcPr>
          <w:p>
            <w:pPr>
              <w:spacing w:after="20"/>
            </w:pPr>
            <w:r/>
            <w:r>
              <w:rPr>
                <w:rFonts w:ascii="Aptos" w:hAnsi="Aptos"/>
                <w:b w:val="0"/>
                <w:sz w:val="15"/>
              </w:rPr>
              <w:t>$65,900–$91,400</w:t>
            </w:r>
          </w:p>
        </w:tc>
      </w:tr>
    </w:tbl>
    <w:p>
      <w:pPr>
        <w:spacing w:after="20"/>
      </w:pPr>
    </w:p>
    <w:p>
      <w:r>
        <w:t>Budget planning range: approximately USD 65,000–135,000 including a 20–30% contingency on the illustrative labor subtotal, rounded to reflect uncertainty. The upper envelope also allows for unpriced environment, platform, or specialist costs; those are not itemized or validated. Before approval, replace assumed rates and quantities with local estimates and vendor/platform costs, document estimate confidence, and obtain finance and procurement review.</w:t>
      </w:r>
    </w:p>
    <w:p>
      <w:pPr>
        <w:pStyle w:val="Heading2"/>
      </w:pPr>
      <w:r>
        <w:t>Estimate assumptions and exclusions</w:t>
      </w:r>
    </w:p>
    <w:p>
      <w:pPr>
        <w:pStyle w:val="ListBullet"/>
        <w:spacing w:after="40"/>
      </w:pPr>
      <w:r>
        <w:t>One channel and a bounded order/status scope; no complex legacy remediation or large-scale data cleansing.</w:t>
      </w:r>
    </w:p>
    <w:p>
      <w:pPr>
        <w:pStyle w:val="ListBullet"/>
        <w:spacing w:after="40"/>
      </w:pPr>
      <w:r>
        <w:t>Business and technical owners are available for workshops, decisions, and test review.</w:t>
      </w:r>
    </w:p>
    <w:p>
      <w:pPr>
        <w:pStyle w:val="ListBullet"/>
        <w:spacing w:after="40"/>
      </w:pPr>
      <w:r>
        <w:t>Existing authorized non-production systems and integration capabilities are available; provisioning cost is excluded.</w:t>
      </w:r>
    </w:p>
    <w:p>
      <w:pPr>
        <w:pStyle w:val="ListBullet"/>
        <w:spacing w:after="40"/>
      </w:pPr>
      <w:r>
        <w:t>Rates are illustrative USD planning inputs, not market quotations or employment compensation.</w:t>
      </w:r>
    </w:p>
    <w:p>
      <w:pPr>
        <w:pStyle w:val="ListBullet"/>
        <w:spacing w:after="40"/>
      </w:pPr>
      <w:r>
        <w:t>No costs are incurred or approved by this planning exercise.</w:t>
      </w:r>
    </w:p>
    <w:p>
      <w:pPr>
        <w:pStyle w:val="Heading1"/>
      </w:pPr>
      <w:r>
        <w:t>8. Resource plan and governance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vAlign w:val="center"/>
            <w:shd w:fill="15324B"/>
          </w:tcPr>
          <w:p>
            <w:pPr>
              <w:spacing w:after="20"/>
            </w:pPr>
            <w:r/>
            <w:r>
              <w:rPr>
                <w:rFonts w:ascii="Aptos" w:hAnsi="Aptos"/>
                <w:b/>
                <w:color w:val="FFFFFF"/>
                <w:sz w:val="16"/>
              </w:rPr>
              <w:t>ROLE</w:t>
            </w:r>
          </w:p>
        </w:tc>
        <w:tc>
          <w:tcPr>
            <w:tcW w:type="dxa" w:w="4752"/>
            <w:vAlign w:val="center"/>
            <w:shd w:fill="15324B"/>
          </w:tcPr>
          <w:p>
            <w:pPr>
              <w:spacing w:after="20"/>
            </w:pPr>
            <w:r/>
            <w:r>
              <w:rPr>
                <w:rFonts w:ascii="Aptos" w:hAnsi="Aptos"/>
                <w:b/>
                <w:color w:val="FFFFFF"/>
                <w:sz w:val="16"/>
              </w:rPr>
              <w:t>ACCOUNTABILITY</w:t>
            </w:r>
          </w:p>
        </w:tc>
        <w:tc>
          <w:tcPr>
            <w:tcW w:type="dxa" w:w="3096"/>
            <w:vAlign w:val="center"/>
            <w:shd w:fill="15324B"/>
          </w:tcPr>
          <w:p>
            <w:pPr>
              <w:spacing w:after="20"/>
            </w:pPr>
            <w:r/>
            <w:r>
              <w:rPr>
                <w:rFonts w:ascii="Aptos" w:hAnsi="Aptos"/>
                <w:b/>
                <w:color w:val="FFFFFF"/>
                <w:sz w:val="16"/>
              </w:rPr>
              <w:t>PLANNING CONTRIBUTION</w:t>
            </w:r>
          </w:p>
        </w:tc>
      </w:tr>
      <w:tr>
        <w:tc>
          <w:tcPr>
            <w:tcW w:type="dxa" w:w="2088"/>
            <w:vAlign w:val="center"/>
            <w:shd w:fill="F1F6F8"/>
          </w:tcPr>
          <w:p>
            <w:pPr>
              <w:spacing w:after="20"/>
            </w:pPr>
            <w:r/>
            <w:r>
              <w:rPr>
                <w:rFonts w:ascii="Aptos" w:hAnsi="Aptos"/>
                <w:b w:val="0"/>
                <w:sz w:val="15"/>
              </w:rPr>
              <w:t>Executive sponsor</w:t>
            </w:r>
          </w:p>
        </w:tc>
        <w:tc>
          <w:tcPr>
            <w:tcW w:type="dxa" w:w="4752"/>
            <w:vAlign w:val="center"/>
            <w:shd w:fill="F1F6F8"/>
          </w:tcPr>
          <w:p>
            <w:pPr>
              <w:spacing w:after="20"/>
            </w:pPr>
            <w:r/>
            <w:r>
              <w:rPr>
                <w:rFonts w:ascii="Aptos" w:hAnsi="Aptos"/>
                <w:b w:val="0"/>
                <w:sz w:val="15"/>
              </w:rPr>
              <w:t>Owns strategic fit, funding decision, escalation, and go/no-go sponsorship.</w:t>
            </w:r>
          </w:p>
        </w:tc>
        <w:tc>
          <w:tcPr>
            <w:tcW w:type="dxa" w:w="3096"/>
            <w:vAlign w:val="center"/>
            <w:shd w:fill="F1F6F8"/>
          </w:tcPr>
          <w:p>
            <w:pPr>
              <w:spacing w:after="20"/>
            </w:pPr>
            <w:r/>
            <w:r>
              <w:rPr>
                <w:rFonts w:ascii="Aptos" w:hAnsi="Aptos"/>
                <w:b w:val="0"/>
                <w:sz w:val="15"/>
              </w:rPr>
              <w:t>Decision gates; resolve cross-functional blockers.</w:t>
            </w:r>
          </w:p>
        </w:tc>
      </w:tr>
      <w:tr>
        <w:tc>
          <w:tcPr>
            <w:tcW w:type="dxa" w:w="2088"/>
            <w:vAlign w:val="center"/>
            <w:shd w:fill="FFFFFF"/>
          </w:tcPr>
          <w:p>
            <w:pPr>
              <w:spacing w:after="20"/>
            </w:pPr>
            <w:r/>
            <w:r>
              <w:rPr>
                <w:rFonts w:ascii="Aptos" w:hAnsi="Aptos"/>
                <w:b w:val="0"/>
                <w:sz w:val="15"/>
              </w:rPr>
              <w:t>Business process owner</w:t>
            </w:r>
          </w:p>
        </w:tc>
        <w:tc>
          <w:tcPr>
            <w:tcW w:type="dxa" w:w="4752"/>
            <w:vAlign w:val="center"/>
            <w:shd w:fill="FFFFFF"/>
          </w:tcPr>
          <w:p>
            <w:pPr>
              <w:spacing w:after="20"/>
            </w:pPr>
            <w:r/>
            <w:r>
              <w:rPr>
                <w:rFonts w:ascii="Aptos" w:hAnsi="Aptos"/>
                <w:b w:val="0"/>
                <w:sz w:val="15"/>
              </w:rPr>
              <w:t>Owns process scope, requirements, acceptance criteria, and benefit baseline.</w:t>
            </w:r>
          </w:p>
        </w:tc>
        <w:tc>
          <w:tcPr>
            <w:tcW w:type="dxa" w:w="3096"/>
            <w:vAlign w:val="center"/>
            <w:shd w:fill="FFFFFF"/>
          </w:tcPr>
          <w:p>
            <w:pPr>
              <w:spacing w:after="20"/>
            </w:pPr>
            <w:r/>
            <w:r>
              <w:rPr>
                <w:rFonts w:ascii="Aptos" w:hAnsi="Aptos"/>
                <w:b w:val="0"/>
                <w:sz w:val="15"/>
              </w:rPr>
              <w:t>Workshops, process decisions, UAT acceptance.</w:t>
            </w:r>
          </w:p>
        </w:tc>
      </w:tr>
      <w:tr>
        <w:tc>
          <w:tcPr>
            <w:tcW w:type="dxa" w:w="2088"/>
            <w:vAlign w:val="center"/>
            <w:shd w:fill="F1F6F8"/>
          </w:tcPr>
          <w:p>
            <w:pPr>
              <w:spacing w:after="20"/>
            </w:pPr>
            <w:r/>
            <w:r>
              <w:rPr>
                <w:rFonts w:ascii="Aptos" w:hAnsi="Aptos"/>
                <w:b w:val="0"/>
                <w:sz w:val="15"/>
              </w:rPr>
              <w:t>SAP SD functional analyst</w:t>
            </w:r>
          </w:p>
        </w:tc>
        <w:tc>
          <w:tcPr>
            <w:tcW w:type="dxa" w:w="4752"/>
            <w:vAlign w:val="center"/>
            <w:shd w:fill="F1F6F8"/>
          </w:tcPr>
          <w:p>
            <w:pPr>
              <w:spacing w:after="20"/>
            </w:pPr>
            <w:r/>
            <w:r>
              <w:rPr>
                <w:rFonts w:ascii="Aptos" w:hAnsi="Aptos"/>
                <w:b w:val="0"/>
                <w:sz w:val="15"/>
              </w:rPr>
              <w:t>Maps sales process and business rules to requirements and design.</w:t>
            </w:r>
          </w:p>
        </w:tc>
        <w:tc>
          <w:tcPr>
            <w:tcW w:type="dxa" w:w="3096"/>
            <w:vAlign w:val="center"/>
            <w:shd w:fill="F1F6F8"/>
          </w:tcPr>
          <w:p>
            <w:pPr>
              <w:spacing w:after="20"/>
            </w:pPr>
            <w:r/>
            <w:r>
              <w:rPr>
                <w:rFonts w:ascii="Aptos" w:hAnsi="Aptos"/>
                <w:b w:val="0"/>
                <w:sz w:val="15"/>
              </w:rPr>
              <w:t>Order lifecycle, master data, exceptions, functional validation.</w:t>
            </w:r>
          </w:p>
        </w:tc>
      </w:tr>
      <w:tr>
        <w:tc>
          <w:tcPr>
            <w:tcW w:type="dxa" w:w="2088"/>
            <w:vAlign w:val="center"/>
            <w:shd w:fill="FFFFFF"/>
          </w:tcPr>
          <w:p>
            <w:pPr>
              <w:spacing w:after="20"/>
            </w:pPr>
            <w:r/>
            <w:r>
              <w:rPr>
                <w:rFonts w:ascii="Aptos" w:hAnsi="Aptos"/>
                <w:b w:val="0"/>
                <w:sz w:val="15"/>
              </w:rPr>
              <w:t>Integration architect</w:t>
            </w:r>
          </w:p>
        </w:tc>
        <w:tc>
          <w:tcPr>
            <w:tcW w:type="dxa" w:w="4752"/>
            <w:vAlign w:val="center"/>
            <w:shd w:fill="FFFFFF"/>
          </w:tcPr>
          <w:p>
            <w:pPr>
              <w:spacing w:after="20"/>
            </w:pPr>
            <w:r/>
            <w:r>
              <w:rPr>
                <w:rFonts w:ascii="Aptos" w:hAnsi="Aptos"/>
                <w:b w:val="0"/>
                <w:sz w:val="15"/>
              </w:rPr>
              <w:t>Owns end-to-end logical design and interface/control decisions.</w:t>
            </w:r>
          </w:p>
        </w:tc>
        <w:tc>
          <w:tcPr>
            <w:tcW w:type="dxa" w:w="3096"/>
            <w:vAlign w:val="center"/>
            <w:shd w:fill="FFFFFF"/>
          </w:tcPr>
          <w:p>
            <w:pPr>
              <w:spacing w:after="20"/>
            </w:pPr>
            <w:r/>
            <w:r>
              <w:rPr>
                <w:rFonts w:ascii="Aptos" w:hAnsi="Aptos"/>
                <w:b w:val="0"/>
                <w:sz w:val="15"/>
              </w:rPr>
              <w:t>Options, data flow, nonfunctional and security alignment.</w:t>
            </w:r>
          </w:p>
        </w:tc>
      </w:tr>
      <w:tr>
        <w:tc>
          <w:tcPr>
            <w:tcW w:type="dxa" w:w="2088"/>
            <w:vAlign w:val="center"/>
            <w:shd w:fill="F1F6F8"/>
          </w:tcPr>
          <w:p>
            <w:pPr>
              <w:spacing w:after="20"/>
            </w:pPr>
            <w:r/>
            <w:r>
              <w:rPr>
                <w:rFonts w:ascii="Aptos" w:hAnsi="Aptos"/>
                <w:b w:val="0"/>
                <w:sz w:val="15"/>
              </w:rPr>
              <w:t>Integration engineer</w:t>
            </w:r>
          </w:p>
        </w:tc>
        <w:tc>
          <w:tcPr>
            <w:tcW w:type="dxa" w:w="4752"/>
            <w:vAlign w:val="center"/>
            <w:shd w:fill="F1F6F8"/>
          </w:tcPr>
          <w:p>
            <w:pPr>
              <w:spacing w:after="20"/>
            </w:pPr>
            <w:r/>
            <w:r>
              <w:rPr>
                <w:rFonts w:ascii="Aptos" w:hAnsi="Aptos"/>
                <w:b w:val="0"/>
                <w:sz w:val="15"/>
              </w:rPr>
              <w:t>Implements approved mappings and integration logic in authorized systems.</w:t>
            </w:r>
          </w:p>
        </w:tc>
        <w:tc>
          <w:tcPr>
            <w:tcW w:type="dxa" w:w="3096"/>
            <w:vAlign w:val="center"/>
            <w:shd w:fill="F1F6F8"/>
          </w:tcPr>
          <w:p>
            <w:pPr>
              <w:spacing w:after="20"/>
            </w:pPr>
            <w:r/>
            <w:r>
              <w:rPr>
                <w:rFonts w:ascii="Aptos" w:hAnsi="Aptos"/>
                <w:b w:val="0"/>
                <w:sz w:val="15"/>
              </w:rPr>
              <w:t>Build, technical checks, observability and recovery.</w:t>
            </w:r>
          </w:p>
        </w:tc>
      </w:tr>
      <w:tr>
        <w:tc>
          <w:tcPr>
            <w:tcW w:type="dxa" w:w="2088"/>
            <w:vAlign w:val="center"/>
            <w:shd w:fill="FFFFFF"/>
          </w:tcPr>
          <w:p>
            <w:pPr>
              <w:spacing w:after="20"/>
            </w:pPr>
            <w:r/>
            <w:r>
              <w:rPr>
                <w:rFonts w:ascii="Aptos" w:hAnsi="Aptos"/>
                <w:b w:val="0"/>
                <w:sz w:val="15"/>
              </w:rPr>
              <w:t>Data / security specialist</w:t>
            </w:r>
          </w:p>
        </w:tc>
        <w:tc>
          <w:tcPr>
            <w:tcW w:type="dxa" w:w="4752"/>
            <w:vAlign w:val="center"/>
            <w:shd w:fill="FFFFFF"/>
          </w:tcPr>
          <w:p>
            <w:pPr>
              <w:spacing w:after="20"/>
            </w:pPr>
            <w:r/>
            <w:r>
              <w:rPr>
                <w:rFonts w:ascii="Aptos" w:hAnsi="Aptos"/>
                <w:b w:val="0"/>
                <w:sz w:val="15"/>
              </w:rPr>
              <w:t>Reviews data definitions, access, privacy, threat controls, and audit.</w:t>
            </w:r>
          </w:p>
        </w:tc>
        <w:tc>
          <w:tcPr>
            <w:tcW w:type="dxa" w:w="3096"/>
            <w:vAlign w:val="center"/>
            <w:shd w:fill="FFFFFF"/>
          </w:tcPr>
          <w:p>
            <w:pPr>
              <w:spacing w:after="20"/>
            </w:pPr>
            <w:r/>
            <w:r>
              <w:rPr>
                <w:rFonts w:ascii="Aptos" w:hAnsi="Aptos"/>
                <w:b w:val="0"/>
                <w:sz w:val="15"/>
              </w:rPr>
              <w:t>Data quality and security gates.</w:t>
            </w:r>
          </w:p>
        </w:tc>
      </w:tr>
      <w:tr>
        <w:tc>
          <w:tcPr>
            <w:tcW w:type="dxa" w:w="2088"/>
            <w:vAlign w:val="center"/>
            <w:shd w:fill="F1F6F8"/>
          </w:tcPr>
          <w:p>
            <w:pPr>
              <w:spacing w:after="20"/>
            </w:pPr>
            <w:r/>
            <w:r>
              <w:rPr>
                <w:rFonts w:ascii="Aptos" w:hAnsi="Aptos"/>
                <w:b w:val="0"/>
                <w:sz w:val="15"/>
              </w:rPr>
              <w:t>QA / test analyst</w:t>
            </w:r>
          </w:p>
        </w:tc>
        <w:tc>
          <w:tcPr>
            <w:tcW w:type="dxa" w:w="4752"/>
            <w:vAlign w:val="center"/>
            <w:shd w:fill="F1F6F8"/>
          </w:tcPr>
          <w:p>
            <w:pPr>
              <w:spacing w:after="20"/>
            </w:pPr>
            <w:r/>
            <w:r>
              <w:rPr>
                <w:rFonts w:ascii="Aptos" w:hAnsi="Aptos"/>
                <w:b w:val="0"/>
                <w:sz w:val="15"/>
              </w:rPr>
              <w:t>Maintains traceability, test approach, evidence, defects, and exit recommendation.</w:t>
            </w:r>
          </w:p>
        </w:tc>
        <w:tc>
          <w:tcPr>
            <w:tcW w:type="dxa" w:w="3096"/>
            <w:vAlign w:val="center"/>
            <w:shd w:fill="F1F6F8"/>
          </w:tcPr>
          <w:p>
            <w:pPr>
              <w:spacing w:after="20"/>
            </w:pPr>
            <w:r/>
            <w:r>
              <w:rPr>
                <w:rFonts w:ascii="Aptos" w:hAnsi="Aptos"/>
                <w:b w:val="0"/>
                <w:sz w:val="15"/>
              </w:rPr>
              <w:t>Cases, execution coordination, coverage and retest.</w:t>
            </w:r>
          </w:p>
        </w:tc>
      </w:tr>
      <w:tr>
        <w:tc>
          <w:tcPr>
            <w:tcW w:type="dxa" w:w="2088"/>
            <w:vAlign w:val="center"/>
            <w:shd w:fill="FFFFFF"/>
          </w:tcPr>
          <w:p>
            <w:pPr>
              <w:spacing w:after="20"/>
            </w:pPr>
            <w:r/>
            <w:r>
              <w:rPr>
                <w:rFonts w:ascii="Aptos" w:hAnsi="Aptos"/>
                <w:b w:val="0"/>
                <w:sz w:val="15"/>
              </w:rPr>
              <w:t>Operations / support lead</w:t>
            </w:r>
          </w:p>
        </w:tc>
        <w:tc>
          <w:tcPr>
            <w:tcW w:type="dxa" w:w="4752"/>
            <w:vAlign w:val="center"/>
            <w:shd w:fill="FFFFFF"/>
          </w:tcPr>
          <w:p>
            <w:pPr>
              <w:spacing w:after="20"/>
            </w:pPr>
            <w:r/>
            <w:r>
              <w:rPr>
                <w:rFonts w:ascii="Aptos" w:hAnsi="Aptos"/>
                <w:b w:val="0"/>
                <w:sz w:val="15"/>
              </w:rPr>
              <w:t>Owns monitoring, incident routing, runbooks, and transition readiness.</w:t>
            </w:r>
          </w:p>
        </w:tc>
        <w:tc>
          <w:tcPr>
            <w:tcW w:type="dxa" w:w="3096"/>
            <w:vAlign w:val="center"/>
            <w:shd w:fill="FFFFFF"/>
          </w:tcPr>
          <w:p>
            <w:pPr>
              <w:spacing w:after="20"/>
            </w:pPr>
            <w:r/>
            <w:r>
              <w:rPr>
                <w:rFonts w:ascii="Aptos" w:hAnsi="Aptos"/>
                <w:b w:val="0"/>
                <w:sz w:val="15"/>
              </w:rPr>
              <w:t>Alerting, support model, rollback and handover.</w:t>
            </w:r>
          </w:p>
        </w:tc>
      </w:tr>
    </w:tbl>
    <w:p>
      <w:pPr>
        <w:spacing w:after="20"/>
      </w:pPr>
    </w:p>
    <w:p>
      <w:r>
        <w:t>Governance cadence (proposed): weekly delivery review; weekly risk/dependency review; design and security checkpoints at the end of Week 4; daily defect triage during integration testing; and documented go/no-go approval before any pilot. A named owner should record each decision, due date, and evidence link.</w:t>
      </w:r>
    </w:p>
    <w:p>
      <w:pPr>
        <w:pStyle w:val="Heading1"/>
      </w:pPr>
      <w:r>
        <w:t>9. Risk register</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376"/>
            <w:vAlign w:val="center"/>
            <w:shd w:fill="15324B"/>
          </w:tcPr>
          <w:p>
            <w:pPr>
              <w:spacing w:after="20"/>
            </w:pPr>
            <w:r/>
            <w:r>
              <w:rPr>
                <w:rFonts w:ascii="Aptos" w:hAnsi="Aptos"/>
                <w:b/>
                <w:color w:val="FFFFFF"/>
                <w:sz w:val="16"/>
              </w:rPr>
              <w:t>ID / RISK</w:t>
            </w:r>
          </w:p>
        </w:tc>
        <w:tc>
          <w:tcPr>
            <w:tcW w:type="dxa" w:w="1512"/>
            <w:vAlign w:val="center"/>
            <w:shd w:fill="15324B"/>
          </w:tcPr>
          <w:p>
            <w:pPr>
              <w:spacing w:after="20"/>
            </w:pPr>
            <w:r/>
            <w:r>
              <w:rPr>
                <w:rFonts w:ascii="Aptos" w:hAnsi="Aptos"/>
                <w:b/>
                <w:color w:val="FFFFFF"/>
                <w:sz w:val="16"/>
              </w:rPr>
              <w:t>LIKELIHOOD / IMPACT</w:t>
            </w:r>
          </w:p>
        </w:tc>
        <w:tc>
          <w:tcPr>
            <w:tcW w:type="dxa" w:w="5112"/>
            <w:vAlign w:val="center"/>
            <w:shd w:fill="15324B"/>
          </w:tcPr>
          <w:p>
            <w:pPr>
              <w:spacing w:after="20"/>
            </w:pPr>
            <w:r/>
            <w:r>
              <w:rPr>
                <w:rFonts w:ascii="Aptos" w:hAnsi="Aptos"/>
                <w:b/>
                <w:color w:val="FFFFFF"/>
                <w:sz w:val="16"/>
              </w:rPr>
              <w:t>MITIGATION AND TRIGGER</w:t>
            </w:r>
          </w:p>
        </w:tc>
        <w:tc>
          <w:tcPr>
            <w:tcW w:type="dxa" w:w="1440"/>
            <w:vAlign w:val="center"/>
            <w:shd w:fill="15324B"/>
          </w:tcPr>
          <w:p>
            <w:pPr>
              <w:spacing w:after="20"/>
            </w:pPr>
            <w:r/>
            <w:r>
              <w:rPr>
                <w:rFonts w:ascii="Aptos" w:hAnsi="Aptos"/>
                <w:b/>
                <w:color w:val="FFFFFF"/>
                <w:sz w:val="16"/>
              </w:rPr>
              <w:t>OWNER ROLE</w:t>
            </w:r>
          </w:p>
        </w:tc>
      </w:tr>
      <w:tr>
        <w:tc>
          <w:tcPr>
            <w:tcW w:type="dxa" w:w="2376"/>
            <w:vAlign w:val="center"/>
            <w:shd w:fill="F1F6F8"/>
          </w:tcPr>
          <w:p>
            <w:pPr>
              <w:spacing w:after="20"/>
            </w:pPr>
            <w:r/>
            <w:r>
              <w:rPr>
                <w:rFonts w:ascii="Aptos" w:hAnsi="Aptos"/>
                <w:b w:val="0"/>
                <w:sz w:val="15"/>
              </w:rPr>
              <w:t>R1. Unclear process scope or changing order rules</w:t>
            </w:r>
          </w:p>
        </w:tc>
        <w:tc>
          <w:tcPr>
            <w:tcW w:type="dxa" w:w="1512"/>
            <w:vAlign w:val="center"/>
            <w:shd w:fill="F1F6F8"/>
          </w:tcPr>
          <w:p>
            <w:pPr>
              <w:spacing w:after="20"/>
            </w:pPr>
            <w:r/>
            <w:r>
              <w:rPr>
                <w:rFonts w:ascii="Aptos" w:hAnsi="Aptos"/>
                <w:b w:val="0"/>
                <w:sz w:val="15"/>
              </w:rPr>
              <w:t>Medium / High</w:t>
            </w:r>
          </w:p>
        </w:tc>
        <w:tc>
          <w:tcPr>
            <w:tcW w:type="dxa" w:w="5112"/>
            <w:vAlign w:val="center"/>
            <w:shd w:fill="F1F6F8"/>
          </w:tcPr>
          <w:p>
            <w:pPr>
              <w:spacing w:after="20"/>
            </w:pPr>
            <w:r/>
            <w:r>
              <w:rPr>
                <w:rFonts w:ascii="Aptos" w:hAnsi="Aptos"/>
                <w:b w:val="0"/>
                <w:sz w:val="15"/>
              </w:rPr>
              <w:t>Confirm process map and decision log early. Trigger: unresolved rule affects mapping or acceptance. Re-scope through sponsor.</w:t>
            </w:r>
          </w:p>
        </w:tc>
        <w:tc>
          <w:tcPr>
            <w:tcW w:type="dxa" w:w="1440"/>
            <w:vAlign w:val="center"/>
            <w:shd w:fill="F1F6F8"/>
          </w:tcPr>
          <w:p>
            <w:pPr>
              <w:spacing w:after="20"/>
            </w:pPr>
            <w:r/>
            <w:r>
              <w:rPr>
                <w:rFonts w:ascii="Aptos" w:hAnsi="Aptos"/>
                <w:b w:val="0"/>
                <w:sz w:val="15"/>
              </w:rPr>
              <w:t>Business owner</w:t>
            </w:r>
          </w:p>
        </w:tc>
      </w:tr>
      <w:tr>
        <w:tc>
          <w:tcPr>
            <w:tcW w:type="dxa" w:w="2376"/>
            <w:vAlign w:val="center"/>
            <w:shd w:fill="FFFFFF"/>
          </w:tcPr>
          <w:p>
            <w:pPr>
              <w:spacing w:after="20"/>
            </w:pPr>
            <w:r/>
            <w:r>
              <w:rPr>
                <w:rFonts w:ascii="Aptos" w:hAnsi="Aptos"/>
                <w:b w:val="0"/>
                <w:sz w:val="15"/>
              </w:rPr>
              <w:t>R2. Poor master/reference data quality</w:t>
            </w:r>
          </w:p>
        </w:tc>
        <w:tc>
          <w:tcPr>
            <w:tcW w:type="dxa" w:w="1512"/>
            <w:vAlign w:val="center"/>
            <w:shd w:fill="FFFFFF"/>
          </w:tcPr>
          <w:p>
            <w:pPr>
              <w:spacing w:after="20"/>
            </w:pPr>
            <w:r/>
            <w:r>
              <w:rPr>
                <w:rFonts w:ascii="Aptos" w:hAnsi="Aptos"/>
                <w:b w:val="0"/>
                <w:sz w:val="15"/>
              </w:rPr>
              <w:t>High / High</w:t>
            </w:r>
          </w:p>
        </w:tc>
        <w:tc>
          <w:tcPr>
            <w:tcW w:type="dxa" w:w="5112"/>
            <w:vAlign w:val="center"/>
            <w:shd w:fill="FFFFFF"/>
          </w:tcPr>
          <w:p>
            <w:pPr>
              <w:spacing w:after="20"/>
            </w:pPr>
            <w:r/>
            <w:r>
              <w:rPr>
                <w:rFonts w:ascii="Aptos" w:hAnsi="Aptos"/>
                <w:b w:val="0"/>
                <w:sz w:val="15"/>
              </w:rPr>
              <w:t>Profile synthetic/design fields early; assign data owners and validation. Trigger: required codes/records fail agreed checks.</w:t>
            </w:r>
          </w:p>
        </w:tc>
        <w:tc>
          <w:tcPr>
            <w:tcW w:type="dxa" w:w="1440"/>
            <w:vAlign w:val="center"/>
            <w:shd w:fill="FFFFFF"/>
          </w:tcPr>
          <w:p>
            <w:pPr>
              <w:spacing w:after="20"/>
            </w:pPr>
            <w:r/>
            <w:r>
              <w:rPr>
                <w:rFonts w:ascii="Aptos" w:hAnsi="Aptos"/>
                <w:b w:val="0"/>
                <w:sz w:val="15"/>
              </w:rPr>
              <w:t>Data owner</w:t>
            </w:r>
          </w:p>
        </w:tc>
      </w:tr>
      <w:tr>
        <w:tc>
          <w:tcPr>
            <w:tcW w:type="dxa" w:w="2376"/>
            <w:vAlign w:val="center"/>
            <w:shd w:fill="F1F6F8"/>
          </w:tcPr>
          <w:p>
            <w:pPr>
              <w:spacing w:after="20"/>
            </w:pPr>
            <w:r/>
            <w:r>
              <w:rPr>
                <w:rFonts w:ascii="Aptos" w:hAnsi="Aptos"/>
                <w:b w:val="0"/>
                <w:sz w:val="15"/>
              </w:rPr>
              <w:t>R3. Unsupported or unavailable interface</w:t>
            </w:r>
          </w:p>
        </w:tc>
        <w:tc>
          <w:tcPr>
            <w:tcW w:type="dxa" w:w="1512"/>
            <w:vAlign w:val="center"/>
            <w:shd w:fill="F1F6F8"/>
          </w:tcPr>
          <w:p>
            <w:pPr>
              <w:spacing w:after="20"/>
            </w:pPr>
            <w:r/>
            <w:r>
              <w:rPr>
                <w:rFonts w:ascii="Aptos" w:hAnsi="Aptos"/>
                <w:b w:val="0"/>
                <w:sz w:val="15"/>
              </w:rPr>
              <w:t>Medium / High</w:t>
            </w:r>
          </w:p>
        </w:tc>
        <w:tc>
          <w:tcPr>
            <w:tcW w:type="dxa" w:w="5112"/>
            <w:vAlign w:val="center"/>
            <w:shd w:fill="F1F6F8"/>
          </w:tcPr>
          <w:p>
            <w:pPr>
              <w:spacing w:after="20"/>
            </w:pPr>
            <w:r/>
            <w:r>
              <w:rPr>
                <w:rFonts w:ascii="Aptos" w:hAnsi="Aptos"/>
                <w:b w:val="0"/>
                <w:sz w:val="15"/>
              </w:rPr>
              <w:t>Validate product/version, entitlement, endpoint, and environment with system owners before design freeze. Trigger: interface cannot meet a must requirement.</w:t>
            </w:r>
          </w:p>
        </w:tc>
        <w:tc>
          <w:tcPr>
            <w:tcW w:type="dxa" w:w="1440"/>
            <w:vAlign w:val="center"/>
            <w:shd w:fill="F1F6F8"/>
          </w:tcPr>
          <w:p>
            <w:pPr>
              <w:spacing w:after="20"/>
            </w:pPr>
            <w:r/>
            <w:r>
              <w:rPr>
                <w:rFonts w:ascii="Aptos" w:hAnsi="Aptos"/>
                <w:b w:val="0"/>
                <w:sz w:val="15"/>
              </w:rPr>
              <w:t>Integration architect</w:t>
            </w:r>
          </w:p>
        </w:tc>
      </w:tr>
      <w:tr>
        <w:tc>
          <w:tcPr>
            <w:tcW w:type="dxa" w:w="2376"/>
            <w:vAlign w:val="center"/>
            <w:shd w:fill="FFFFFF"/>
          </w:tcPr>
          <w:p>
            <w:pPr>
              <w:spacing w:after="20"/>
            </w:pPr>
            <w:r/>
            <w:r>
              <w:rPr>
                <w:rFonts w:ascii="Aptos" w:hAnsi="Aptos"/>
                <w:b w:val="0"/>
                <w:sz w:val="15"/>
              </w:rPr>
              <w:t>R4. Duplicate, delayed, or out-of-order messages</w:t>
            </w:r>
          </w:p>
        </w:tc>
        <w:tc>
          <w:tcPr>
            <w:tcW w:type="dxa" w:w="1512"/>
            <w:vAlign w:val="center"/>
            <w:shd w:fill="FFFFFF"/>
          </w:tcPr>
          <w:p>
            <w:pPr>
              <w:spacing w:after="20"/>
            </w:pPr>
            <w:r/>
            <w:r>
              <w:rPr>
                <w:rFonts w:ascii="Aptos" w:hAnsi="Aptos"/>
                <w:b w:val="0"/>
                <w:sz w:val="15"/>
              </w:rPr>
              <w:t>Medium / High</w:t>
            </w:r>
          </w:p>
        </w:tc>
        <w:tc>
          <w:tcPr>
            <w:tcW w:type="dxa" w:w="5112"/>
            <w:vAlign w:val="center"/>
            <w:shd w:fill="FFFFFF"/>
          </w:tcPr>
          <w:p>
            <w:pPr>
              <w:spacing w:after="20"/>
            </w:pPr>
            <w:r/>
            <w:r>
              <w:rPr>
                <w:rFonts w:ascii="Aptos" w:hAnsi="Aptos"/>
                <w:b w:val="0"/>
                <w:sz w:val="15"/>
              </w:rPr>
              <w:t>Specify idempotency, ordering, replay, acknowledgement, and reconciliation. Trigger: duplicate/missing status in test.</w:t>
            </w:r>
          </w:p>
        </w:tc>
        <w:tc>
          <w:tcPr>
            <w:tcW w:type="dxa" w:w="1440"/>
            <w:vAlign w:val="center"/>
            <w:shd w:fill="FFFFFF"/>
          </w:tcPr>
          <w:p>
            <w:pPr>
              <w:spacing w:after="20"/>
            </w:pPr>
            <w:r/>
            <w:r>
              <w:rPr>
                <w:rFonts w:ascii="Aptos" w:hAnsi="Aptos"/>
                <w:b w:val="0"/>
                <w:sz w:val="15"/>
              </w:rPr>
              <w:t>Integration architect</w:t>
            </w:r>
          </w:p>
        </w:tc>
      </w:tr>
      <w:tr>
        <w:tc>
          <w:tcPr>
            <w:tcW w:type="dxa" w:w="2376"/>
            <w:vAlign w:val="center"/>
            <w:shd w:fill="F1F6F8"/>
          </w:tcPr>
          <w:p>
            <w:pPr>
              <w:spacing w:after="20"/>
            </w:pPr>
            <w:r/>
            <w:r>
              <w:rPr>
                <w:rFonts w:ascii="Aptos" w:hAnsi="Aptos"/>
                <w:b w:val="0"/>
                <w:sz w:val="15"/>
              </w:rPr>
              <w:t>R5. Unauthorized access or data exposure</w:t>
            </w:r>
          </w:p>
        </w:tc>
        <w:tc>
          <w:tcPr>
            <w:tcW w:type="dxa" w:w="1512"/>
            <w:vAlign w:val="center"/>
            <w:shd w:fill="F1F6F8"/>
          </w:tcPr>
          <w:p>
            <w:pPr>
              <w:spacing w:after="20"/>
            </w:pPr>
            <w:r/>
            <w:r>
              <w:rPr>
                <w:rFonts w:ascii="Aptos" w:hAnsi="Aptos"/>
                <w:b w:val="0"/>
                <w:sz w:val="15"/>
              </w:rPr>
              <w:t>Low–Medium / Very High</w:t>
            </w:r>
          </w:p>
        </w:tc>
        <w:tc>
          <w:tcPr>
            <w:tcW w:type="dxa" w:w="5112"/>
            <w:vAlign w:val="center"/>
            <w:shd w:fill="F1F6F8"/>
          </w:tcPr>
          <w:p>
            <w:pPr>
              <w:spacing w:after="20"/>
            </w:pPr>
            <w:r/>
            <w:r>
              <w:rPr>
                <w:rFonts w:ascii="Aptos" w:hAnsi="Aptos"/>
                <w:b w:val="0"/>
                <w:sz w:val="15"/>
              </w:rPr>
              <w:t>Threat review, least privilege, protected transport, secret management, logging minimization, and security sign-off. Trigger: control gap or sensitive data in logs.</w:t>
            </w:r>
          </w:p>
        </w:tc>
        <w:tc>
          <w:tcPr>
            <w:tcW w:type="dxa" w:w="1440"/>
            <w:vAlign w:val="center"/>
            <w:shd w:fill="F1F6F8"/>
          </w:tcPr>
          <w:p>
            <w:pPr>
              <w:spacing w:after="20"/>
            </w:pPr>
            <w:r/>
            <w:r>
              <w:rPr>
                <w:rFonts w:ascii="Aptos" w:hAnsi="Aptos"/>
                <w:b w:val="0"/>
                <w:sz w:val="15"/>
              </w:rPr>
              <w:t>Security lead</w:t>
            </w:r>
          </w:p>
        </w:tc>
      </w:tr>
      <w:tr>
        <w:tc>
          <w:tcPr>
            <w:tcW w:type="dxa" w:w="2376"/>
            <w:vAlign w:val="center"/>
            <w:shd w:fill="FFFFFF"/>
          </w:tcPr>
          <w:p>
            <w:pPr>
              <w:spacing w:after="20"/>
            </w:pPr>
            <w:r/>
            <w:r>
              <w:rPr>
                <w:rFonts w:ascii="Aptos" w:hAnsi="Aptos"/>
                <w:b w:val="0"/>
                <w:sz w:val="15"/>
              </w:rPr>
              <w:t>R6. External dependency or environment delay</w:t>
            </w:r>
          </w:p>
        </w:tc>
        <w:tc>
          <w:tcPr>
            <w:tcW w:type="dxa" w:w="1512"/>
            <w:vAlign w:val="center"/>
            <w:shd w:fill="FFFFFF"/>
          </w:tcPr>
          <w:p>
            <w:pPr>
              <w:spacing w:after="20"/>
            </w:pPr>
            <w:r/>
            <w:r>
              <w:rPr>
                <w:rFonts w:ascii="Aptos" w:hAnsi="Aptos"/>
                <w:b w:val="0"/>
                <w:sz w:val="15"/>
              </w:rPr>
              <w:t>Medium / Medium</w:t>
            </w:r>
          </w:p>
        </w:tc>
        <w:tc>
          <w:tcPr>
            <w:tcW w:type="dxa" w:w="5112"/>
            <w:vAlign w:val="center"/>
            <w:shd w:fill="FFFFFF"/>
          </w:tcPr>
          <w:p>
            <w:pPr>
              <w:spacing w:after="20"/>
            </w:pPr>
            <w:r/>
            <w:r>
              <w:rPr>
                <w:rFonts w:ascii="Aptos" w:hAnsi="Aptos"/>
                <w:b w:val="0"/>
                <w:sz w:val="15"/>
              </w:rPr>
              <w:t>Track access and owner dates; use synthetic contract-level work while blocked. Trigger: &gt;5 working-day slip.</w:t>
            </w:r>
          </w:p>
        </w:tc>
        <w:tc>
          <w:tcPr>
            <w:tcW w:type="dxa" w:w="1440"/>
            <w:vAlign w:val="center"/>
            <w:shd w:fill="FFFFFF"/>
          </w:tcPr>
          <w:p>
            <w:pPr>
              <w:spacing w:after="20"/>
            </w:pPr>
            <w:r/>
            <w:r>
              <w:rPr>
                <w:rFonts w:ascii="Aptos" w:hAnsi="Aptos"/>
                <w:b w:val="0"/>
                <w:sz w:val="15"/>
              </w:rPr>
              <w:t>Project manager</w:t>
            </w:r>
          </w:p>
        </w:tc>
      </w:tr>
      <w:tr>
        <w:tc>
          <w:tcPr>
            <w:tcW w:type="dxa" w:w="2376"/>
            <w:vAlign w:val="center"/>
            <w:shd w:fill="F1F6F8"/>
          </w:tcPr>
          <w:p>
            <w:pPr>
              <w:spacing w:after="20"/>
            </w:pPr>
            <w:r/>
            <w:r>
              <w:rPr>
                <w:rFonts w:ascii="Aptos" w:hAnsi="Aptos"/>
                <w:b w:val="0"/>
                <w:sz w:val="15"/>
              </w:rPr>
              <w:t>R7. Critical defects or insufficient test coverage</w:t>
            </w:r>
          </w:p>
        </w:tc>
        <w:tc>
          <w:tcPr>
            <w:tcW w:type="dxa" w:w="1512"/>
            <w:vAlign w:val="center"/>
            <w:shd w:fill="F1F6F8"/>
          </w:tcPr>
          <w:p>
            <w:pPr>
              <w:spacing w:after="20"/>
            </w:pPr>
            <w:r/>
            <w:r>
              <w:rPr>
                <w:rFonts w:ascii="Aptos" w:hAnsi="Aptos"/>
                <w:b w:val="0"/>
                <w:sz w:val="15"/>
              </w:rPr>
              <w:t>Medium / High</w:t>
            </w:r>
          </w:p>
        </w:tc>
        <w:tc>
          <w:tcPr>
            <w:tcW w:type="dxa" w:w="5112"/>
            <w:vAlign w:val="center"/>
            <w:shd w:fill="F1F6F8"/>
          </w:tcPr>
          <w:p>
            <w:pPr>
              <w:spacing w:after="20"/>
            </w:pPr>
            <w:r/>
            <w:r>
              <w:rPr>
                <w:rFonts w:ascii="Aptos" w:hAnsi="Aptos"/>
                <w:b w:val="0"/>
                <w:sz w:val="15"/>
              </w:rPr>
              <w:t>Trace requirements to cases; reserve regression time; define exit criteria. Trigger: critical case fails or coverage gap remains.</w:t>
            </w:r>
          </w:p>
        </w:tc>
        <w:tc>
          <w:tcPr>
            <w:tcW w:type="dxa" w:w="1440"/>
            <w:vAlign w:val="center"/>
            <w:shd w:fill="F1F6F8"/>
          </w:tcPr>
          <w:p>
            <w:pPr>
              <w:spacing w:after="20"/>
            </w:pPr>
            <w:r/>
            <w:r>
              <w:rPr>
                <w:rFonts w:ascii="Aptos" w:hAnsi="Aptos"/>
                <w:b w:val="0"/>
                <w:sz w:val="15"/>
              </w:rPr>
              <w:t>QA lead</w:t>
            </w:r>
          </w:p>
        </w:tc>
      </w:tr>
      <w:tr>
        <w:tc>
          <w:tcPr>
            <w:tcW w:type="dxa" w:w="2376"/>
            <w:vAlign w:val="center"/>
            <w:shd w:fill="FFFFFF"/>
          </w:tcPr>
          <w:p>
            <w:pPr>
              <w:spacing w:after="20"/>
            </w:pPr>
            <w:r/>
            <w:r>
              <w:rPr>
                <w:rFonts w:ascii="Aptos" w:hAnsi="Aptos"/>
                <w:b w:val="0"/>
                <w:sz w:val="15"/>
              </w:rPr>
              <w:t>R8. Support team not ready for exceptions</w:t>
            </w:r>
          </w:p>
        </w:tc>
        <w:tc>
          <w:tcPr>
            <w:tcW w:type="dxa" w:w="1512"/>
            <w:vAlign w:val="center"/>
            <w:shd w:fill="FFFFFF"/>
          </w:tcPr>
          <w:p>
            <w:pPr>
              <w:spacing w:after="20"/>
            </w:pPr>
            <w:r/>
            <w:r>
              <w:rPr>
                <w:rFonts w:ascii="Aptos" w:hAnsi="Aptos"/>
                <w:b w:val="0"/>
                <w:sz w:val="15"/>
              </w:rPr>
              <w:t>Medium / High</w:t>
            </w:r>
          </w:p>
        </w:tc>
        <w:tc>
          <w:tcPr>
            <w:tcW w:type="dxa" w:w="5112"/>
            <w:vAlign w:val="center"/>
            <w:shd w:fill="FFFFFF"/>
          </w:tcPr>
          <w:p>
            <w:pPr>
              <w:spacing w:after="20"/>
            </w:pPr>
            <w:r/>
            <w:r>
              <w:rPr>
                <w:rFonts w:ascii="Aptos" w:hAnsi="Aptos"/>
                <w:b w:val="0"/>
                <w:sz w:val="15"/>
              </w:rPr>
              <w:t>Name queues, roles, runbooks, escalation and training; rehearse recovery. Trigger: unowned alert or failed rehearsal.</w:t>
            </w:r>
          </w:p>
        </w:tc>
        <w:tc>
          <w:tcPr>
            <w:tcW w:type="dxa" w:w="1440"/>
            <w:vAlign w:val="center"/>
            <w:shd w:fill="FFFFFF"/>
          </w:tcPr>
          <w:p>
            <w:pPr>
              <w:spacing w:after="20"/>
            </w:pPr>
            <w:r/>
            <w:r>
              <w:rPr>
                <w:rFonts w:ascii="Aptos" w:hAnsi="Aptos"/>
                <w:b w:val="0"/>
                <w:sz w:val="15"/>
              </w:rPr>
              <w:t>Operations lead</w:t>
            </w:r>
          </w:p>
        </w:tc>
      </w:tr>
      <w:tr>
        <w:tc>
          <w:tcPr>
            <w:tcW w:type="dxa" w:w="2376"/>
            <w:vAlign w:val="center"/>
            <w:shd w:fill="F1F6F8"/>
          </w:tcPr>
          <w:p>
            <w:pPr>
              <w:spacing w:after="20"/>
            </w:pPr>
            <w:r/>
            <w:r>
              <w:rPr>
                <w:rFonts w:ascii="Aptos" w:hAnsi="Aptos"/>
                <w:b w:val="0"/>
                <w:sz w:val="15"/>
              </w:rPr>
              <w:t>R9. Cost/scope growth beyond estimate</w:t>
            </w:r>
          </w:p>
        </w:tc>
        <w:tc>
          <w:tcPr>
            <w:tcW w:type="dxa" w:w="1512"/>
            <w:vAlign w:val="center"/>
            <w:shd w:fill="F1F6F8"/>
          </w:tcPr>
          <w:p>
            <w:pPr>
              <w:spacing w:after="20"/>
            </w:pPr>
            <w:r/>
            <w:r>
              <w:rPr>
                <w:rFonts w:ascii="Aptos" w:hAnsi="Aptos"/>
                <w:b w:val="0"/>
                <w:sz w:val="15"/>
              </w:rPr>
              <w:t>Medium / Medium</w:t>
            </w:r>
          </w:p>
        </w:tc>
        <w:tc>
          <w:tcPr>
            <w:tcW w:type="dxa" w:w="5112"/>
            <w:vAlign w:val="center"/>
            <w:shd w:fill="F1F6F8"/>
          </w:tcPr>
          <w:p>
            <w:pPr>
              <w:spacing w:after="20"/>
            </w:pPr>
            <w:r/>
            <w:r>
              <w:rPr>
                <w:rFonts w:ascii="Aptos" w:hAnsi="Aptos"/>
                <w:b w:val="0"/>
                <w:sz w:val="15"/>
              </w:rPr>
              <w:t>Maintain assumptions and change control; refresh estimate at design gate. Trigger: forecast exceeds range or scope baseline.</w:t>
            </w:r>
          </w:p>
        </w:tc>
        <w:tc>
          <w:tcPr>
            <w:tcW w:type="dxa" w:w="1440"/>
            <w:vAlign w:val="center"/>
            <w:shd w:fill="F1F6F8"/>
          </w:tcPr>
          <w:p>
            <w:pPr>
              <w:spacing w:after="20"/>
            </w:pPr>
            <w:r/>
            <w:r>
              <w:rPr>
                <w:rFonts w:ascii="Aptos" w:hAnsi="Aptos"/>
                <w:b w:val="0"/>
                <w:sz w:val="15"/>
              </w:rPr>
              <w:t>Project manager</w:t>
            </w:r>
          </w:p>
        </w:tc>
      </w:tr>
      <w:tr>
        <w:tc>
          <w:tcPr>
            <w:tcW w:type="dxa" w:w="2376"/>
            <w:vAlign w:val="center"/>
            <w:shd w:fill="FFFFFF"/>
          </w:tcPr>
          <w:p>
            <w:pPr>
              <w:spacing w:after="20"/>
            </w:pPr>
            <w:r/>
            <w:r>
              <w:rPr>
                <w:rFonts w:ascii="Aptos" w:hAnsi="Aptos"/>
                <w:b w:val="0"/>
                <w:sz w:val="15"/>
              </w:rPr>
              <w:t>R10. Benefits cannot be demonstrated</w:t>
            </w:r>
          </w:p>
        </w:tc>
        <w:tc>
          <w:tcPr>
            <w:tcW w:type="dxa" w:w="1512"/>
            <w:vAlign w:val="center"/>
            <w:shd w:fill="FFFFFF"/>
          </w:tcPr>
          <w:p>
            <w:pPr>
              <w:spacing w:after="20"/>
            </w:pPr>
            <w:r/>
            <w:r>
              <w:rPr>
                <w:rFonts w:ascii="Aptos" w:hAnsi="Aptos"/>
                <w:b w:val="0"/>
                <w:sz w:val="15"/>
              </w:rPr>
              <w:t>Medium / Medium</w:t>
            </w:r>
          </w:p>
        </w:tc>
        <w:tc>
          <w:tcPr>
            <w:tcW w:type="dxa" w:w="5112"/>
            <w:vAlign w:val="center"/>
            <w:shd w:fill="FFFFFF"/>
          </w:tcPr>
          <w:p>
            <w:pPr>
              <w:spacing w:after="20"/>
            </w:pPr>
            <w:r/>
            <w:r>
              <w:rPr>
                <w:rFonts w:ascii="Aptos" w:hAnsi="Aptos"/>
                <w:b w:val="0"/>
                <w:sz w:val="15"/>
              </w:rPr>
              <w:t>Agree baseline, data source, measure and owner before pilot. Trigger: no comparable baseline by readiness gate.</w:t>
            </w:r>
          </w:p>
        </w:tc>
        <w:tc>
          <w:tcPr>
            <w:tcW w:type="dxa" w:w="1440"/>
            <w:vAlign w:val="center"/>
            <w:shd w:fill="FFFFFF"/>
          </w:tcPr>
          <w:p>
            <w:pPr>
              <w:spacing w:after="20"/>
            </w:pPr>
            <w:r/>
            <w:r>
              <w:rPr>
                <w:rFonts w:ascii="Aptos" w:hAnsi="Aptos"/>
                <w:b w:val="0"/>
                <w:sz w:val="15"/>
              </w:rPr>
              <w:t>Business owner</w:t>
            </w:r>
          </w:p>
        </w:tc>
      </w:tr>
    </w:tbl>
    <w:p>
      <w:pPr>
        <w:spacing w:after="20"/>
      </w:pPr>
    </w:p>
    <w:p>
      <w:r>
        <w:t>Likelihood and impact are qualitative planning judgments for this fictional case. Reassess them with actual project evidence before any implementation decision.</w:t>
      </w:r>
    </w:p>
    <w:p>
      <w:pPr>
        <w:pStyle w:val="Heading1"/>
      </w:pPr>
      <w:r>
        <w:t>10. Success criteria and decision gates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872"/>
            <w:vAlign w:val="center"/>
            <w:shd w:fill="15324B"/>
          </w:tcPr>
          <w:p>
            <w:pPr>
              <w:spacing w:after="20"/>
            </w:pPr>
            <w:r/>
            <w:r>
              <w:rPr>
                <w:rFonts w:ascii="Aptos" w:hAnsi="Aptos"/>
                <w:b/>
                <w:color w:val="FFFFFF"/>
                <w:sz w:val="16"/>
              </w:rPr>
              <w:t>GATE</w:t>
            </w:r>
          </w:p>
        </w:tc>
        <w:tc>
          <w:tcPr>
            <w:tcW w:type="dxa" w:w="8064"/>
            <w:vAlign w:val="center"/>
            <w:shd w:fill="15324B"/>
          </w:tcPr>
          <w:p>
            <w:pPr>
              <w:spacing w:after="20"/>
            </w:pPr>
            <w:r/>
            <w:r>
              <w:rPr>
                <w:rFonts w:ascii="Aptos" w:hAnsi="Aptos"/>
                <w:b/>
                <w:color w:val="FFFFFF"/>
                <w:sz w:val="16"/>
              </w:rPr>
              <w:t>MINIMUM EVIDENCE FOR PROCEEDING</w:t>
            </w:r>
          </w:p>
        </w:tc>
      </w:tr>
      <w:tr>
        <w:tc>
          <w:tcPr>
            <w:tcW w:type="dxa" w:w="1872"/>
            <w:vAlign w:val="center"/>
            <w:shd w:fill="F1F6F8"/>
          </w:tcPr>
          <w:p>
            <w:pPr>
              <w:spacing w:after="20"/>
            </w:pPr>
            <w:r/>
            <w:r>
              <w:rPr>
                <w:rFonts w:ascii="Aptos" w:hAnsi="Aptos"/>
                <w:b w:val="0"/>
                <w:sz w:val="15"/>
              </w:rPr>
              <w:t>Scope approval</w:t>
            </w:r>
          </w:p>
        </w:tc>
        <w:tc>
          <w:tcPr>
            <w:tcW w:type="dxa" w:w="8064"/>
            <w:vAlign w:val="center"/>
            <w:shd w:fill="F1F6F8"/>
          </w:tcPr>
          <w:p>
            <w:pPr>
              <w:spacing w:after="20"/>
            </w:pPr>
            <w:r/>
            <w:r>
              <w:rPr>
                <w:rFonts w:ascii="Aptos" w:hAnsi="Aptos"/>
                <w:b w:val="0"/>
                <w:sz w:val="15"/>
              </w:rPr>
              <w:t>Process boundary, owners, prioritized requirements, exclusions, and baseline plan approved.</w:t>
            </w:r>
          </w:p>
        </w:tc>
      </w:tr>
      <w:tr>
        <w:tc>
          <w:tcPr>
            <w:tcW w:type="dxa" w:w="1872"/>
            <w:vAlign w:val="center"/>
            <w:shd w:fill="FFFFFF"/>
          </w:tcPr>
          <w:p>
            <w:pPr>
              <w:spacing w:after="20"/>
            </w:pPr>
            <w:r/>
            <w:r>
              <w:rPr>
                <w:rFonts w:ascii="Aptos" w:hAnsi="Aptos"/>
                <w:b w:val="0"/>
                <w:sz w:val="15"/>
              </w:rPr>
              <w:t>Design approval</w:t>
            </w:r>
          </w:p>
        </w:tc>
        <w:tc>
          <w:tcPr>
            <w:tcW w:type="dxa" w:w="8064"/>
            <w:vAlign w:val="center"/>
            <w:shd w:fill="FFFFFF"/>
          </w:tcPr>
          <w:p>
            <w:pPr>
              <w:spacing w:after="20"/>
            </w:pPr>
            <w:r/>
            <w:r>
              <w:rPr>
                <w:rFonts w:ascii="Aptos" w:hAnsi="Aptos"/>
                <w:b w:val="0"/>
                <w:sz w:val="15"/>
              </w:rPr>
              <w:t>Supported interface path, data contract, security controls, exception/recovery design, and operations responsibilities reviewed.</w:t>
            </w:r>
          </w:p>
        </w:tc>
      </w:tr>
      <w:tr>
        <w:tc>
          <w:tcPr>
            <w:tcW w:type="dxa" w:w="1872"/>
            <w:vAlign w:val="center"/>
            <w:shd w:fill="F1F6F8"/>
          </w:tcPr>
          <w:p>
            <w:pPr>
              <w:spacing w:after="20"/>
            </w:pPr>
            <w:r/>
            <w:r>
              <w:rPr>
                <w:rFonts w:ascii="Aptos" w:hAnsi="Aptos"/>
                <w:b w:val="0"/>
                <w:sz w:val="15"/>
              </w:rPr>
              <w:t>Test exit</w:t>
            </w:r>
          </w:p>
        </w:tc>
        <w:tc>
          <w:tcPr>
            <w:tcW w:type="dxa" w:w="8064"/>
            <w:vAlign w:val="center"/>
            <w:shd w:fill="F1F6F8"/>
          </w:tcPr>
          <w:p>
            <w:pPr>
              <w:spacing w:after="20"/>
            </w:pPr>
            <w:r/>
            <w:r>
              <w:rPr>
                <w:rFonts w:ascii="Aptos" w:hAnsi="Aptos"/>
                <w:b w:val="0"/>
                <w:sz w:val="15"/>
              </w:rPr>
              <w:t>Traceable critical cases executed in an authorized environment; acceptance criteria met; critical defects closed or formally dispositioned; reconciliation evidence available.</w:t>
            </w:r>
          </w:p>
        </w:tc>
      </w:tr>
      <w:tr>
        <w:tc>
          <w:tcPr>
            <w:tcW w:type="dxa" w:w="1872"/>
            <w:vAlign w:val="center"/>
            <w:shd w:fill="FFFFFF"/>
          </w:tcPr>
          <w:p>
            <w:pPr>
              <w:spacing w:after="20"/>
            </w:pPr>
            <w:r/>
            <w:r>
              <w:rPr>
                <w:rFonts w:ascii="Aptos" w:hAnsi="Aptos"/>
                <w:b w:val="0"/>
                <w:sz w:val="15"/>
              </w:rPr>
              <w:t>Pilot readiness</w:t>
            </w:r>
          </w:p>
        </w:tc>
        <w:tc>
          <w:tcPr>
            <w:tcW w:type="dxa" w:w="8064"/>
            <w:vAlign w:val="center"/>
            <w:shd w:fill="FFFFFF"/>
          </w:tcPr>
          <w:p>
            <w:pPr>
              <w:spacing w:after="20"/>
            </w:pPr>
            <w:r/>
            <w:r>
              <w:rPr>
                <w:rFonts w:ascii="Aptos" w:hAnsi="Aptos"/>
                <w:b w:val="0"/>
                <w:sz w:val="15"/>
              </w:rPr>
              <w:t>Training, monitoring, access, change approval, rollback/manual fallback, support coverage, and stakeholder go/no-go recorded.</w:t>
            </w:r>
          </w:p>
        </w:tc>
      </w:tr>
      <w:tr>
        <w:tc>
          <w:tcPr>
            <w:tcW w:type="dxa" w:w="1872"/>
            <w:vAlign w:val="center"/>
            <w:shd w:fill="F1F6F8"/>
          </w:tcPr>
          <w:p>
            <w:pPr>
              <w:spacing w:after="20"/>
            </w:pPr>
            <w:r/>
            <w:r>
              <w:rPr>
                <w:rFonts w:ascii="Aptos" w:hAnsi="Aptos"/>
                <w:b w:val="0"/>
                <w:sz w:val="15"/>
              </w:rPr>
              <w:t>Pilot exit</w:t>
            </w:r>
          </w:p>
        </w:tc>
        <w:tc>
          <w:tcPr>
            <w:tcW w:type="dxa" w:w="8064"/>
            <w:vAlign w:val="center"/>
            <w:shd w:fill="F1F6F8"/>
          </w:tcPr>
          <w:p>
            <w:pPr>
              <w:spacing w:after="20"/>
            </w:pPr>
            <w:r/>
            <w:r>
              <w:rPr>
                <w:rFonts w:ascii="Aptos" w:hAnsi="Aptos"/>
                <w:b w:val="0"/>
                <w:sz w:val="15"/>
              </w:rPr>
              <w:t>Measures compared with approved baseline; issues and residual risks reviewed; decision to expand, remediate, or stop documented.</w:t>
            </w:r>
          </w:p>
        </w:tc>
      </w:tr>
    </w:tbl>
    <w:p>
      <w:pPr>
        <w:spacing w:after="20"/>
      </w:pPr>
    </w:p>
    <w:p>
      <w:pPr>
        <w:pStyle w:val="Heading1"/>
      </w:pPr>
      <w:r>
        <w:t>11. Immediate next steps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16"/>
            <w:vAlign w:val="center"/>
            <w:shd w:fill="15324B"/>
          </w:tcPr>
          <w:p>
            <w:pPr>
              <w:spacing w:after="20"/>
            </w:pPr>
            <w:r/>
            <w:r>
              <w:rPr>
                <w:rFonts w:ascii="Aptos" w:hAnsi="Aptos"/>
                <w:b/>
                <w:color w:val="FFFFFF"/>
                <w:sz w:val="16"/>
              </w:rPr>
              <w:t>WHEN</w:t>
            </w:r>
          </w:p>
        </w:tc>
        <w:tc>
          <w:tcPr>
            <w:tcW w:type="dxa" w:w="6336"/>
            <w:vAlign w:val="center"/>
            <w:shd w:fill="15324B"/>
          </w:tcPr>
          <w:p>
            <w:pPr>
              <w:spacing w:after="20"/>
            </w:pPr>
            <w:r/>
            <w:r>
              <w:rPr>
                <w:rFonts w:ascii="Aptos" w:hAnsi="Aptos"/>
                <w:b/>
                <w:color w:val="FFFFFF"/>
                <w:sz w:val="16"/>
              </w:rPr>
              <w:t>ACTION</w:t>
            </w:r>
          </w:p>
        </w:tc>
        <w:tc>
          <w:tcPr>
            <w:tcW w:type="dxa" w:w="1584"/>
            <w:vAlign w:val="center"/>
            <w:shd w:fill="15324B"/>
          </w:tcPr>
          <w:p>
            <w:pPr>
              <w:spacing w:after="20"/>
            </w:pPr>
            <w:r/>
            <w:r>
              <w:rPr>
                <w:rFonts w:ascii="Aptos" w:hAnsi="Aptos"/>
                <w:b/>
                <w:color w:val="FFFFFF"/>
                <w:sz w:val="16"/>
              </w:rPr>
              <w:t>ACCOUNTABLE ROLE</w:t>
            </w:r>
          </w:p>
        </w:tc>
      </w:tr>
      <w:tr>
        <w:tc>
          <w:tcPr>
            <w:tcW w:type="dxa" w:w="2016"/>
            <w:vAlign w:val="center"/>
            <w:shd w:fill="F1F6F8"/>
          </w:tcPr>
          <w:p>
            <w:pPr>
              <w:spacing w:after="20"/>
            </w:pPr>
            <w:r/>
            <w:r>
              <w:rPr>
                <w:rFonts w:ascii="Aptos" w:hAnsi="Aptos"/>
                <w:b w:val="0"/>
                <w:sz w:val="15"/>
              </w:rPr>
              <w:t>Before detailed design</w:t>
            </w:r>
          </w:p>
        </w:tc>
        <w:tc>
          <w:tcPr>
            <w:tcW w:type="dxa" w:w="6336"/>
            <w:vAlign w:val="center"/>
            <w:shd w:fill="F1F6F8"/>
          </w:tcPr>
          <w:p>
            <w:pPr>
              <w:spacing w:after="20"/>
            </w:pPr>
            <w:r/>
            <w:r>
              <w:rPr>
                <w:rFonts w:ascii="Aptos" w:hAnsi="Aptos"/>
                <w:b w:val="0"/>
                <w:sz w:val="15"/>
              </w:rPr>
              <w:t>Confirm actual system landscape, product versions, interface capabilities, environments, and technical contacts.</w:t>
            </w:r>
          </w:p>
        </w:tc>
        <w:tc>
          <w:tcPr>
            <w:tcW w:type="dxa" w:w="1584"/>
            <w:vAlign w:val="center"/>
            <w:shd w:fill="F1F6F8"/>
          </w:tcPr>
          <w:p>
            <w:pPr>
              <w:spacing w:after="20"/>
            </w:pPr>
            <w:r/>
            <w:r>
              <w:rPr>
                <w:rFonts w:ascii="Aptos" w:hAnsi="Aptos"/>
                <w:b w:val="0"/>
                <w:sz w:val="15"/>
              </w:rPr>
              <w:t>Integration architect</w:t>
            </w:r>
          </w:p>
        </w:tc>
      </w:tr>
      <w:tr>
        <w:tc>
          <w:tcPr>
            <w:tcW w:type="dxa" w:w="2016"/>
            <w:vAlign w:val="center"/>
            <w:shd w:fill="FFFFFF"/>
          </w:tcPr>
          <w:p>
            <w:pPr>
              <w:spacing w:after="20"/>
            </w:pPr>
            <w:r/>
            <w:r>
              <w:rPr>
                <w:rFonts w:ascii="Aptos" w:hAnsi="Aptos"/>
                <w:b w:val="0"/>
                <w:sz w:val="15"/>
              </w:rPr>
              <w:t>Discovery</w:t>
            </w:r>
          </w:p>
        </w:tc>
        <w:tc>
          <w:tcPr>
            <w:tcW w:type="dxa" w:w="6336"/>
            <w:vAlign w:val="center"/>
            <w:shd w:fill="FFFFFF"/>
          </w:tcPr>
          <w:p>
            <w:pPr>
              <w:spacing w:after="20"/>
            </w:pPr>
            <w:r/>
            <w:r>
              <w:rPr>
                <w:rFonts w:ascii="Aptos" w:hAnsi="Aptos"/>
                <w:b w:val="0"/>
                <w:sz w:val="15"/>
              </w:rPr>
              <w:t>Run process and data workshops; confirm in-scope order events, exceptions, volumes, and ownership.</w:t>
            </w:r>
          </w:p>
        </w:tc>
        <w:tc>
          <w:tcPr>
            <w:tcW w:type="dxa" w:w="1584"/>
            <w:vAlign w:val="center"/>
            <w:shd w:fill="FFFFFF"/>
          </w:tcPr>
          <w:p>
            <w:pPr>
              <w:spacing w:after="20"/>
            </w:pPr>
            <w:r/>
            <w:r>
              <w:rPr>
                <w:rFonts w:ascii="Aptos" w:hAnsi="Aptos"/>
                <w:b w:val="0"/>
                <w:sz w:val="15"/>
              </w:rPr>
              <w:t>Business owner</w:t>
            </w:r>
          </w:p>
        </w:tc>
      </w:tr>
      <w:tr>
        <w:tc>
          <w:tcPr>
            <w:tcW w:type="dxa" w:w="2016"/>
            <w:vAlign w:val="center"/>
            <w:shd w:fill="F1F6F8"/>
          </w:tcPr>
          <w:p>
            <w:pPr>
              <w:spacing w:after="20"/>
            </w:pPr>
            <w:r/>
            <w:r>
              <w:rPr>
                <w:rFonts w:ascii="Aptos" w:hAnsi="Aptos"/>
                <w:b w:val="0"/>
                <w:sz w:val="15"/>
              </w:rPr>
              <w:t>Discovery</w:t>
            </w:r>
          </w:p>
        </w:tc>
        <w:tc>
          <w:tcPr>
            <w:tcW w:type="dxa" w:w="6336"/>
            <w:vAlign w:val="center"/>
            <w:shd w:fill="F1F6F8"/>
          </w:tcPr>
          <w:p>
            <w:pPr>
              <w:spacing w:after="20"/>
            </w:pPr>
            <w:r/>
            <w:r>
              <w:rPr>
                <w:rFonts w:ascii="Aptos" w:hAnsi="Aptos"/>
                <w:b w:val="0"/>
                <w:sz w:val="15"/>
              </w:rPr>
              <w:t>Establish baseline measures and target-setting method; confirm how benefits will be evidenced.</w:t>
            </w:r>
          </w:p>
        </w:tc>
        <w:tc>
          <w:tcPr>
            <w:tcW w:type="dxa" w:w="1584"/>
            <w:vAlign w:val="center"/>
            <w:shd w:fill="F1F6F8"/>
          </w:tcPr>
          <w:p>
            <w:pPr>
              <w:spacing w:after="20"/>
            </w:pPr>
            <w:r/>
            <w:r>
              <w:rPr>
                <w:rFonts w:ascii="Aptos" w:hAnsi="Aptos"/>
                <w:b w:val="0"/>
                <w:sz w:val="15"/>
              </w:rPr>
              <w:t>Business owner / analyst</w:t>
            </w:r>
          </w:p>
        </w:tc>
      </w:tr>
      <w:tr>
        <w:tc>
          <w:tcPr>
            <w:tcW w:type="dxa" w:w="2016"/>
            <w:vAlign w:val="center"/>
            <w:shd w:fill="FFFFFF"/>
          </w:tcPr>
          <w:p>
            <w:pPr>
              <w:spacing w:after="20"/>
            </w:pPr>
            <w:r/>
            <w:r>
              <w:rPr>
                <w:rFonts w:ascii="Aptos" w:hAnsi="Aptos"/>
                <w:b w:val="0"/>
                <w:sz w:val="15"/>
              </w:rPr>
              <w:t>Before design approval</w:t>
            </w:r>
          </w:p>
        </w:tc>
        <w:tc>
          <w:tcPr>
            <w:tcW w:type="dxa" w:w="6336"/>
            <w:vAlign w:val="center"/>
            <w:shd w:fill="FFFFFF"/>
          </w:tcPr>
          <w:p>
            <w:pPr>
              <w:spacing w:after="20"/>
            </w:pPr>
            <w:r/>
            <w:r>
              <w:rPr>
                <w:rFonts w:ascii="Aptos" w:hAnsi="Aptos"/>
                <w:b w:val="0"/>
                <w:sz w:val="15"/>
              </w:rPr>
              <w:t>Complete security, privacy, data-retention, and architecture reviews with authorized reviewers.</w:t>
            </w:r>
          </w:p>
        </w:tc>
        <w:tc>
          <w:tcPr>
            <w:tcW w:type="dxa" w:w="1584"/>
            <w:vAlign w:val="center"/>
            <w:shd w:fill="FFFFFF"/>
          </w:tcPr>
          <w:p>
            <w:pPr>
              <w:spacing w:after="20"/>
            </w:pPr>
            <w:r/>
            <w:r>
              <w:rPr>
                <w:rFonts w:ascii="Aptos" w:hAnsi="Aptos"/>
                <w:b w:val="0"/>
                <w:sz w:val="15"/>
              </w:rPr>
              <w:t>Security lead</w:t>
            </w:r>
          </w:p>
        </w:tc>
      </w:tr>
      <w:tr>
        <w:tc>
          <w:tcPr>
            <w:tcW w:type="dxa" w:w="2016"/>
            <w:vAlign w:val="center"/>
            <w:shd w:fill="F1F6F8"/>
          </w:tcPr>
          <w:p>
            <w:pPr>
              <w:spacing w:after="20"/>
            </w:pPr>
            <w:r/>
            <w:r>
              <w:rPr>
                <w:rFonts w:ascii="Aptos" w:hAnsi="Aptos"/>
                <w:b w:val="0"/>
                <w:sz w:val="15"/>
              </w:rPr>
              <w:t>Before estimate approval</w:t>
            </w:r>
          </w:p>
        </w:tc>
        <w:tc>
          <w:tcPr>
            <w:tcW w:type="dxa" w:w="6336"/>
            <w:vAlign w:val="center"/>
            <w:shd w:fill="F1F6F8"/>
          </w:tcPr>
          <w:p>
            <w:pPr>
              <w:spacing w:after="20"/>
            </w:pPr>
            <w:r/>
            <w:r>
              <w:rPr>
                <w:rFonts w:ascii="Aptos" w:hAnsi="Aptos"/>
                <w:b w:val="0"/>
                <w:sz w:val="15"/>
              </w:rPr>
              <w:t>Replace illustrative hours, rates, infrastructure and licensing assumptions with reviewed estimates.</w:t>
            </w:r>
          </w:p>
        </w:tc>
        <w:tc>
          <w:tcPr>
            <w:tcW w:type="dxa" w:w="1584"/>
            <w:vAlign w:val="center"/>
            <w:shd w:fill="F1F6F8"/>
          </w:tcPr>
          <w:p>
            <w:pPr>
              <w:spacing w:after="20"/>
            </w:pPr>
            <w:r/>
            <w:r>
              <w:rPr>
                <w:rFonts w:ascii="Aptos" w:hAnsi="Aptos"/>
                <w:b w:val="0"/>
                <w:sz w:val="15"/>
              </w:rPr>
              <w:t>Project manager / finance</w:t>
            </w:r>
          </w:p>
        </w:tc>
      </w:tr>
      <w:tr>
        <w:tc>
          <w:tcPr>
            <w:tcW w:type="dxa" w:w="2016"/>
            <w:vAlign w:val="center"/>
            <w:shd w:fill="FFFFFF"/>
          </w:tcPr>
          <w:p>
            <w:pPr>
              <w:spacing w:after="20"/>
            </w:pPr>
            <w:r/>
            <w:r>
              <w:rPr>
                <w:rFonts w:ascii="Aptos" w:hAnsi="Aptos"/>
                <w:b w:val="0"/>
                <w:sz w:val="15"/>
              </w:rPr>
              <w:t>Before test planning</w:t>
            </w:r>
          </w:p>
        </w:tc>
        <w:tc>
          <w:tcPr>
            <w:tcW w:type="dxa" w:w="6336"/>
            <w:vAlign w:val="center"/>
            <w:shd w:fill="FFFFFF"/>
          </w:tcPr>
          <w:p>
            <w:pPr>
              <w:spacing w:after="20"/>
            </w:pPr>
            <w:r/>
            <w:r>
              <w:rPr>
                <w:rFonts w:ascii="Aptos" w:hAnsi="Aptos"/>
                <w:b w:val="0"/>
                <w:sz w:val="15"/>
              </w:rPr>
              <w:t>Approve interface contract, identifier/duplicate rules, recovery approach, and test data strategy.</w:t>
            </w:r>
          </w:p>
        </w:tc>
        <w:tc>
          <w:tcPr>
            <w:tcW w:type="dxa" w:w="1584"/>
            <w:vAlign w:val="center"/>
            <w:shd w:fill="FFFFFF"/>
          </w:tcPr>
          <w:p>
            <w:pPr>
              <w:spacing w:after="20"/>
            </w:pPr>
            <w:r/>
            <w:r>
              <w:rPr>
                <w:rFonts w:ascii="Aptos" w:hAnsi="Aptos"/>
                <w:b w:val="0"/>
                <w:sz w:val="15"/>
              </w:rPr>
              <w:t>Architect / QA lead</w:t>
            </w:r>
          </w:p>
        </w:tc>
      </w:tr>
    </w:tbl>
    <w:p>
      <w:pPr>
        <w:spacing w:after="20"/>
      </w:pPr>
    </w:p>
    <w:p>
      <w:pPr>
        <w:pStyle w:val="Heading1"/>
      </w:pPr>
      <w:r>
        <w:t>Conclusion</w:t>
      </w:r>
    </w:p>
    <w:p>
      <w:r>
        <w:t>A narrow, gated integration pilot is a reasonable planning direction for the illustrative case because it links an order-to-cash need to measurable outcomes while limiting initial scope. Approval to build should depend on verified interface feasibility, named data and process owners, security review, a credible baseline, and a supportable recovery model. The schedule, cost range, role hours, risks, and benefits in this document are planning estimates based on explicit assumptions. They are not commitments, measured results, or evidence of live SAP experience.</w:t>
      </w:r>
    </w:p>
    <w:p>
      <w:pPr>
        <w:pStyle w:val="Heading1"/>
      </w:pPr>
      <w:r>
        <w:t>References</w:t>
      </w:r>
    </w:p>
    <w:p>
      <w:r>
        <w:t>YuvaIntern, “Junior SAP SD Integration Specialist” internship task description supplied for this project, accessed 30 October 2026. Used as the source for the Week 1 task title, expected report contents, task period, and 30–35-hour expected effort.</w:t>
      </w:r>
    </w:p>
    <w:p>
      <w:r>
        <w:t>No product-specific technical claims are asserted in this strategic planning report. Product, platform, and protocol decisions are intentionally deferred until the actual landscape and authoritative public documentation can be reviewed in Week 2.</w:t>
      </w:r>
    </w:p>
    <w:sectPr w:rsidR="00FC693F" w:rsidRPr="0006063C" w:rsidSect="00034616">
      <w:headerReference w:type="default" r:id="rId9"/>
      <w:footerReference w:type="default" r:id="rId10"/>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E7D"/>
        <w:sz w:val="16"/>
      </w:rPr>
      <w:t>Educational case study  •  Proposed planning  •  No live SAP system access represented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6E7D"/>
        <w:sz w:val="16"/>
      </w:rPr>
      <w:t>JUNIOR SAP SD INTEGRATION SPECIALIST  |  WEEK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D37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5324B"/>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6697A"/>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6697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Aptos Display" w:hAnsi="Aptos Display"/>
      <w:b/>
      <w:color w:val="1532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Strategic Planning for SAP SD Integration</dc:title>
  <dc:subject>Week 1 internship strategic planning report</dc:subject>
  <dc:creator>Portfolio project author</dc:creator>
  <cp:keywords>SAP SD, integration, strategic planning, illustrative case study</cp:keywords>
  <dc:description>generated by python-docx</dc:description>
  <cp:lastModifiedBy/>
  <cp:revision>1</cp:revision>
  <dcterms:created xsi:type="dcterms:W3CDTF">2013-12-23T23:15:00Z</dcterms:created>
  <dcterms:modified xsi:type="dcterms:W3CDTF">2013-12-23T23:15:00Z</dcterms:modified>
  <cp:category/>
</cp:coreProperties>
</file>