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pPr>
      <w:r>
        <w:rPr>
          <w:b/>
          <w:color w:val="16697A"/>
          <w:sz w:val="20"/>
        </w:rPr>
        <w:t>WEEK 2  /  TECHNICAL BLUEPRINT</w:t>
      </w:r>
    </w:p>
    <w:p>
      <w:pPr>
        <w:pStyle w:val="Title"/>
      </w:pPr>
      <w:r>
        <w:t>Designing the Technical Integration Blueprint</w:t>
      </w:r>
    </w:p>
    <w:p>
      <w:r>
        <w:t>Proposed architecture, data flows, interfaces, security, validation, and operational controls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vAlign w:val="center"/>
            <w:shd w:fill="15324B"/>
          </w:tcPr>
          <w:p>
            <w:pPr>
              <w:spacing w:after="20"/>
            </w:pPr>
            <w:r/>
            <w:r>
              <w:rPr>
                <w:rFonts w:ascii="Aptos" w:hAnsi="Aptos"/>
                <w:b/>
                <w:color w:val="FFFFFF"/>
                <w:sz w:val="15"/>
              </w:rPr>
              <w:t>REPORT DETAILS</w:t>
            </w:r>
          </w:p>
        </w:tc>
        <w:tc>
          <w:tcPr>
            <w:tcW w:type="dxa" w:w="7200"/>
            <w:vAlign w:val="center"/>
            <w:shd w:fill="15324B"/>
          </w:tcPr>
          <w:p>
            <w:pPr>
              <w:spacing w:after="20"/>
            </w:pPr>
            <w:r/>
            <w:r>
              <w:rPr>
                <w:rFonts w:ascii="Aptos" w:hAnsi="Aptos"/>
                <w:b/>
                <w:color w:val="FFFFFF"/>
                <w:sz w:val="15"/>
              </w:rPr>
              <w:t>VALUE</w:t>
            </w:r>
          </w:p>
        </w:tc>
      </w:tr>
      <w:tr>
        <w:tc>
          <w:tcPr>
            <w:tcW w:type="dxa" w:w="2592"/>
            <w:vAlign w:val="center"/>
            <w:shd w:fill="F1F6F8"/>
          </w:tcPr>
          <w:p>
            <w:pPr>
              <w:spacing w:after="20"/>
            </w:pPr>
            <w:r/>
            <w:r>
              <w:rPr>
                <w:rFonts w:ascii="Aptos" w:hAnsi="Aptos"/>
                <w:b w:val="0"/>
                <w:sz w:val="15"/>
              </w:rPr>
              <w:t>Program</w:t>
            </w:r>
          </w:p>
        </w:tc>
        <w:tc>
          <w:tcPr>
            <w:tcW w:type="dxa" w:w="7200"/>
            <w:vAlign w:val="center"/>
            <w:shd w:fill="F1F6F8"/>
          </w:tcPr>
          <w:p>
            <w:pPr>
              <w:spacing w:after="20"/>
            </w:pPr>
            <w:r/>
            <w:r>
              <w:rPr>
                <w:rFonts w:ascii="Aptos" w:hAnsi="Aptos"/>
                <w:b w:val="0"/>
                <w:sz w:val="15"/>
              </w:rPr>
              <w:t>Junior SAP SD Integration Specialist virtual internship</w:t>
            </w:r>
          </w:p>
        </w:tc>
      </w:tr>
      <w:tr>
        <w:tc>
          <w:tcPr>
            <w:tcW w:type="dxa" w:w="2592"/>
            <w:vAlign w:val="center"/>
            <w:shd w:fill="FFFFFF"/>
          </w:tcPr>
          <w:p>
            <w:pPr>
              <w:spacing w:after="20"/>
            </w:pPr>
            <w:r/>
            <w:r>
              <w:rPr>
                <w:rFonts w:ascii="Aptos" w:hAnsi="Aptos"/>
                <w:b w:val="0"/>
                <w:sz w:val="15"/>
              </w:rPr>
              <w:t>Task period</w:t>
            </w:r>
          </w:p>
        </w:tc>
        <w:tc>
          <w:tcPr>
            <w:tcW w:type="dxa" w:w="7200"/>
            <w:vAlign w:val="center"/>
            <w:shd w:fill="FFFFFF"/>
          </w:tcPr>
          <w:p>
            <w:pPr>
              <w:spacing w:after="20"/>
            </w:pPr>
            <w:r/>
            <w:r>
              <w:rPr>
                <w:rFonts w:ascii="Aptos" w:hAnsi="Aptos"/>
                <w:b w:val="0"/>
                <w:sz w:val="15"/>
              </w:rPr>
              <w:t>6–13 November 2026 (Week 2 of 30 October–27 November 2026)</w:t>
            </w:r>
          </w:p>
        </w:tc>
      </w:tr>
      <w:tr>
        <w:tc>
          <w:tcPr>
            <w:tcW w:type="dxa" w:w="2592"/>
            <w:vAlign w:val="center"/>
            <w:shd w:fill="F1F6F8"/>
          </w:tcPr>
          <w:p>
            <w:pPr>
              <w:spacing w:after="20"/>
            </w:pPr>
            <w:r/>
            <w:r>
              <w:rPr>
                <w:rFonts w:ascii="Aptos" w:hAnsi="Aptos"/>
                <w:b w:val="0"/>
                <w:sz w:val="15"/>
              </w:rPr>
              <w:t>Prepared</w:t>
            </w:r>
          </w:p>
        </w:tc>
        <w:tc>
          <w:tcPr>
            <w:tcW w:type="dxa" w:w="7200"/>
            <w:vAlign w:val="center"/>
            <w:shd w:fill="F1F6F8"/>
          </w:tcPr>
          <w:p>
            <w:pPr>
              <w:spacing w:after="20"/>
            </w:pPr>
            <w:r/>
            <w:r>
              <w:rPr>
                <w:rFonts w:ascii="Aptos" w:hAnsi="Aptos"/>
                <w:b w:val="0"/>
                <w:sz w:val="15"/>
              </w:rPr>
              <w:t>30 October 2026</w:t>
            </w:r>
          </w:p>
        </w:tc>
      </w:tr>
      <w:tr>
        <w:tc>
          <w:tcPr>
            <w:tcW w:type="dxa" w:w="2592"/>
            <w:vAlign w:val="center"/>
            <w:shd w:fill="FFFFFF"/>
          </w:tcPr>
          <w:p>
            <w:pPr>
              <w:spacing w:after="20"/>
            </w:pPr>
            <w:r/>
            <w:r>
              <w:rPr>
                <w:rFonts w:ascii="Aptos" w:hAnsi="Aptos"/>
                <w:b w:val="0"/>
                <w:sz w:val="15"/>
              </w:rPr>
              <w:t>Version</w:t>
            </w:r>
          </w:p>
        </w:tc>
        <w:tc>
          <w:tcPr>
            <w:tcW w:type="dxa" w:w="7200"/>
            <w:vAlign w:val="center"/>
            <w:shd w:fill="FFFFFF"/>
          </w:tcPr>
          <w:p>
            <w:pPr>
              <w:spacing w:after="20"/>
            </w:pPr>
            <w:r/>
            <w:r>
              <w:rPr>
                <w:rFonts w:ascii="Aptos" w:hAnsi="Aptos"/>
                <w:b w:val="0"/>
                <w:sz w:val="15"/>
              </w:rPr>
              <w:t>1.0 — portfolio case study</w:t>
            </w:r>
          </w:p>
        </w:tc>
      </w:tr>
      <w:tr>
        <w:tc>
          <w:tcPr>
            <w:tcW w:type="dxa" w:w="2592"/>
            <w:vAlign w:val="center"/>
            <w:shd w:fill="F1F6F8"/>
          </w:tcPr>
          <w:p>
            <w:pPr>
              <w:spacing w:after="20"/>
            </w:pPr>
            <w:r/>
            <w:r>
              <w:rPr>
                <w:rFonts w:ascii="Aptos" w:hAnsi="Aptos"/>
                <w:b w:val="0"/>
                <w:sz w:val="15"/>
              </w:rPr>
              <w:t>Case context</w:t>
            </w:r>
          </w:p>
        </w:tc>
        <w:tc>
          <w:tcPr>
            <w:tcW w:type="dxa" w:w="7200"/>
            <w:vAlign w:val="center"/>
            <w:shd w:fill="F1F6F8"/>
          </w:tcPr>
          <w:p>
            <w:pPr>
              <w:spacing w:after="20"/>
            </w:pPr>
            <w:r/>
            <w:r>
              <w:rPr>
                <w:rFonts w:ascii="Aptos" w:hAnsi="Aptos"/>
                <w:b w:val="0"/>
                <w:sz w:val="15"/>
              </w:rPr>
              <w:t>Fictional distributor; one external digital sales channel</w:t>
            </w:r>
          </w:p>
        </w:tc>
      </w:tr>
      <w:tr>
        <w:tc>
          <w:tcPr>
            <w:tcW w:type="dxa" w:w="2592"/>
            <w:vAlign w:val="center"/>
            <w:shd w:fill="FFFFFF"/>
          </w:tcPr>
          <w:p>
            <w:pPr>
              <w:spacing w:after="20"/>
            </w:pPr>
            <w:r/>
            <w:r>
              <w:rPr>
                <w:rFonts w:ascii="Aptos" w:hAnsi="Aptos"/>
                <w:b w:val="0"/>
                <w:sz w:val="15"/>
              </w:rPr>
              <w:t>Estimated task effort</w:t>
            </w:r>
          </w:p>
        </w:tc>
        <w:tc>
          <w:tcPr>
            <w:tcW w:type="dxa" w:w="7200"/>
            <w:vAlign w:val="center"/>
            <w:shd w:fill="FFFFFF"/>
          </w:tcPr>
          <w:p>
            <w:pPr>
              <w:spacing w:after="20"/>
            </w:pPr>
            <w:r/>
            <w:r>
              <w:rPr>
                <w:rFonts w:ascii="Aptos" w:hAnsi="Aptos"/>
                <w:b w:val="0"/>
                <w:sz w:val="15"/>
              </w:rPr>
              <w:t>30–35 hours expected by the task brief; completion hours not asserted</w:t>
            </w:r>
          </w:p>
        </w:tc>
      </w:tr>
    </w:tbl>
    <w:p>
      <w:pPr>
        <w:spacing w:after="20"/>
      </w:pPr>
    </w:p>
    <w:p>
      <w:pPr>
        <w:pStyle w:val="Heading2"/>
      </w:pPr>
      <w:r>
        <w:t>Design recommendation</w:t>
      </w:r>
    </w:p>
    <w:p>
      <w:r>
        <w:t>Use a logically decoupled integration layer between the channel and the SAP SD order process. For an SAP S/4HANA Cloud Public Edition landscape, validate the Sales Order (A2X, OData V2) API as one candidate for synchronous order submission. For transient downstream failures or asynchronous status distribution, assess queue-backed processing where supported and required. The exact product, deployment model, APIs, authentication configuration, and connectivity remain subject to environment-owner and security approval. This is a proposal only; no tenant access or implementation is claimed.</w:t>
      </w:r>
    </w:p>
    <w:p>
      <w:r>
        <w:br w:type="page"/>
      </w:r>
    </w:p>
    <w:p>
      <w:pPr>
        <w:pStyle w:val="Heading1"/>
      </w:pPr>
      <w:r>
        <w:t>Executive summary</w:t>
      </w:r>
    </w:p>
    <w:p>
      <w:r>
        <w:t>This blueprint translates Week 1’s fictional distributor case into a proposed logical design for exchanging customer orders and selected order-status information between an external sales channel, an integration layer, and an SAP SD process. It recommends contract-first design, explicit business identifiers, validation before order creation, controlled retry and duplicate handling, correlation-based monitoring, and reconciliation owned by the business and operations teams.</w:t>
      </w:r>
    </w:p>
    <w:p>
      <w:r>
        <w:t>The design is intentionally conditional. SAP’s official documentation describes an SAP S/4HANA Cloud Public Edition Sales Order (A2X, OData V2) API that can integrate external applications with sales-order processing. That does not establish that this API is available, suitable, enabled, or authorized in the fictional case. Confirm the actual product and release, supported operations, extensibility, volumes, networking, identity, and operational constraints before selecting it. Where Cloud Integration is selected, SAP documents JMS queues for asynchronous decoupling and retry patterns; those capabilities also require tenant-specific capacity and configuration review.</w:t>
      </w:r>
    </w:p>
    <w:p>
      <w:r>
        <w:t>All diagrams and interface details below are conceptual. Payload fields are candidate examples, not a confirmed API contract. The report distinguishes documented product behavior from design assumptions and recommendations. No flow has been built, connected, configured, or tested in SAP.</w:t>
      </w:r>
    </w:p>
    <w:p>
      <w:pPr>
        <w:pStyle w:val="Heading1"/>
      </w:pPr>
      <w:r>
        <w:t>1. Purpose and design principles</w:t>
      </w:r>
    </w:p>
    <w:p>
      <w:r>
        <w:t>The internship task asks for a detailed technical blueprint with system diagrams, data flow, interface designs, integration points, middleware/protocol proposals, security, validation, and error handling. This document provides a logical blueprint to guide later feasibility work and test design.</w:t>
      </w:r>
    </w:p>
    <w:p>
      <w:pPr>
        <w:pStyle w:val="Heading2"/>
      </w:pPr>
      <w:r>
        <w:t>Principles</w:t>
      </w:r>
    </w:p>
    <w:p>
      <w:pPr>
        <w:pStyle w:val="ListBullet"/>
        <w:spacing w:after="40"/>
      </w:pPr>
      <w:r>
        <w:t>Use standard, supported APIs or adapters where the actual landscape provides them; verify version-specific capabilities before design approval.</w:t>
      </w:r>
    </w:p>
    <w:p>
      <w:pPr>
        <w:pStyle w:val="ListBullet"/>
        <w:spacing w:after="40"/>
      </w:pPr>
      <w:r>
        <w:t>Keep business rules and field mappings explicit, versioned, and traceable to requirements.</w:t>
      </w:r>
    </w:p>
    <w:p>
      <w:pPr>
        <w:pStyle w:val="ListBullet"/>
        <w:spacing w:after="40"/>
      </w:pPr>
      <w:r>
        <w:t>Separate acceptance of an order request from completion of downstream processing when asynchronous handling is selected.</w:t>
      </w:r>
    </w:p>
    <w:p>
      <w:pPr>
        <w:pStyle w:val="ListBullet"/>
        <w:spacing w:after="40"/>
      </w:pPr>
      <w:r>
        <w:t>Use a stable business correlation/idempotency key and verify receiver behavior; transport retries can create duplicates.</w:t>
      </w:r>
    </w:p>
    <w:p>
      <w:pPr>
        <w:pStyle w:val="ListBullet"/>
        <w:spacing w:after="40"/>
      </w:pPr>
      <w:r>
        <w:t>Return actionable business errors without exposing sensitive details; retain operational diagnostics under approved access and retention controls.</w:t>
      </w:r>
    </w:p>
    <w:p>
      <w:pPr>
        <w:pStyle w:val="ListBullet"/>
        <w:spacing w:after="40"/>
      </w:pPr>
      <w:r>
        <w:t>Design observability, reconciliation, replay, and support ownership as part of the interface, not as later add-ons.</w:t>
      </w:r>
    </w:p>
    <w:p>
      <w:pPr>
        <w:pStyle w:val="Heading1"/>
      </w:pPr>
      <w:r>
        <w:t>2. Proposed logical architecture</w:t>
      </w:r>
    </w:p>
    <w:p>
      <w:r>
        <w:t>Figure 1 is a logical, proposed design for the case study. The integration layer is a role in the architecture, not a selected product commitment. The dashed response path represents acknowledgements and status information; detailed event sources must be confirmed during discovery.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shd w:fill="15324B"/>
          </w:tcPr>
          <w:p>
            <w:pPr>
              <w:spacing w:after="20"/>
            </w:pPr>
            <w:r/>
            <w:r>
              <w:rPr>
                <w:rFonts w:ascii="Aptos" w:hAnsi="Aptos"/>
                <w:b/>
                <w:color w:val="FFFFFF"/>
                <w:sz w:val="15"/>
              </w:rPr>
              <w:t>LOGICAL COMPONENT</w:t>
            </w:r>
          </w:p>
        </w:tc>
        <w:tc>
          <w:tcPr>
            <w:tcW w:type="dxa" w:w="5400"/>
            <w:vAlign w:val="center"/>
            <w:shd w:fill="15324B"/>
          </w:tcPr>
          <w:p>
            <w:pPr>
              <w:spacing w:after="20"/>
            </w:pPr>
            <w:r/>
            <w:r>
              <w:rPr>
                <w:rFonts w:ascii="Aptos" w:hAnsi="Aptos"/>
                <w:b/>
                <w:color w:val="FFFFFF"/>
                <w:sz w:val="15"/>
              </w:rPr>
              <w:t>RESPONSIBILITY</w:t>
            </w:r>
          </w:p>
        </w:tc>
        <w:tc>
          <w:tcPr>
            <w:tcW w:type="dxa" w:w="2520"/>
            <w:vAlign w:val="center"/>
            <w:shd w:fill="15324B"/>
          </w:tcPr>
          <w:p>
            <w:pPr>
              <w:spacing w:after="20"/>
            </w:pPr>
            <w:r/>
            <w:r>
              <w:rPr>
                <w:rFonts w:ascii="Aptos" w:hAnsi="Aptos"/>
                <w:b/>
                <w:color w:val="FFFFFF"/>
                <w:sz w:val="15"/>
              </w:rPr>
              <w:t>BOUNDARY / OWNER</w:t>
            </w:r>
          </w:p>
        </w:tc>
      </w:tr>
      <w:tr>
        <w:tc>
          <w:tcPr>
            <w:tcW w:type="dxa" w:w="2088"/>
            <w:vAlign w:val="center"/>
            <w:shd w:fill="F1F6F8"/>
          </w:tcPr>
          <w:p>
            <w:pPr>
              <w:spacing w:after="20"/>
            </w:pPr>
            <w:r/>
            <w:r>
              <w:rPr>
                <w:rFonts w:ascii="Aptos" w:hAnsi="Aptos"/>
                <w:b w:val="0"/>
                <w:sz w:val="15"/>
              </w:rPr>
              <w:t>External sales channel</w:t>
            </w:r>
          </w:p>
        </w:tc>
        <w:tc>
          <w:tcPr>
            <w:tcW w:type="dxa" w:w="5400"/>
            <w:vAlign w:val="center"/>
            <w:shd w:fill="F1F6F8"/>
          </w:tcPr>
          <w:p>
            <w:pPr>
              <w:spacing w:after="20"/>
            </w:pPr>
            <w:r/>
            <w:r>
              <w:rPr>
                <w:rFonts w:ascii="Aptos" w:hAnsi="Aptos"/>
                <w:b w:val="0"/>
                <w:sz w:val="15"/>
              </w:rPr>
              <w:t>Capture customer order; assign channel order reference; submit request; show acknowledgement and returned status.</w:t>
            </w:r>
          </w:p>
        </w:tc>
        <w:tc>
          <w:tcPr>
            <w:tcW w:type="dxa" w:w="2520"/>
            <w:vAlign w:val="center"/>
            <w:shd w:fill="F1F6F8"/>
          </w:tcPr>
          <w:p>
            <w:pPr>
              <w:spacing w:after="20"/>
            </w:pPr>
            <w:r/>
            <w:r>
              <w:rPr>
                <w:rFonts w:ascii="Aptos" w:hAnsi="Aptos"/>
                <w:b w:val="0"/>
                <w:sz w:val="15"/>
              </w:rPr>
              <w:t>Channel product owner; source of channel order ID.</w:t>
            </w:r>
          </w:p>
        </w:tc>
      </w:tr>
      <w:tr>
        <w:tc>
          <w:tcPr>
            <w:tcW w:type="dxa" w:w="2088"/>
            <w:vAlign w:val="center"/>
            <w:shd w:fill="FFFFFF"/>
          </w:tcPr>
          <w:p>
            <w:pPr>
              <w:spacing w:after="20"/>
            </w:pPr>
            <w:r/>
            <w:r>
              <w:rPr>
                <w:rFonts w:ascii="Aptos" w:hAnsi="Aptos"/>
                <w:b w:val="0"/>
                <w:sz w:val="15"/>
              </w:rPr>
              <w:t>API edge / connectivity boundary</w:t>
            </w:r>
          </w:p>
        </w:tc>
        <w:tc>
          <w:tcPr>
            <w:tcW w:type="dxa" w:w="5400"/>
            <w:vAlign w:val="center"/>
            <w:shd w:fill="FFFFFF"/>
          </w:tcPr>
          <w:p>
            <w:pPr>
              <w:spacing w:after="20"/>
            </w:pPr>
            <w:r/>
            <w:r>
              <w:rPr>
                <w:rFonts w:ascii="Aptos" w:hAnsi="Aptos"/>
                <w:b w:val="0"/>
                <w:sz w:val="15"/>
              </w:rPr>
              <w:t>Authenticate caller, apply access policy and request limits, terminate protected transport, and route to integration processing.</w:t>
            </w:r>
          </w:p>
        </w:tc>
        <w:tc>
          <w:tcPr>
            <w:tcW w:type="dxa" w:w="2520"/>
            <w:vAlign w:val="center"/>
            <w:shd w:fill="FFFFFF"/>
          </w:tcPr>
          <w:p>
            <w:pPr>
              <w:spacing w:after="20"/>
            </w:pPr>
            <w:r/>
            <w:r>
              <w:rPr>
                <w:rFonts w:ascii="Aptos" w:hAnsi="Aptos"/>
                <w:b w:val="0"/>
                <w:sz w:val="15"/>
              </w:rPr>
              <w:t>Platform/security owner; product and placement TBD.</w:t>
            </w:r>
          </w:p>
        </w:tc>
      </w:tr>
      <w:tr>
        <w:tc>
          <w:tcPr>
            <w:tcW w:type="dxa" w:w="2088"/>
            <w:vAlign w:val="center"/>
            <w:shd w:fill="F1F6F8"/>
          </w:tcPr>
          <w:p>
            <w:pPr>
              <w:spacing w:after="20"/>
            </w:pPr>
            <w:r/>
            <w:r>
              <w:rPr>
                <w:rFonts w:ascii="Aptos" w:hAnsi="Aptos"/>
                <w:b w:val="0"/>
                <w:sz w:val="15"/>
              </w:rPr>
              <w:t>Integration layer</w:t>
            </w:r>
          </w:p>
        </w:tc>
        <w:tc>
          <w:tcPr>
            <w:tcW w:type="dxa" w:w="5400"/>
            <w:vAlign w:val="center"/>
            <w:shd w:fill="F1F6F8"/>
          </w:tcPr>
          <w:p>
            <w:pPr>
              <w:spacing w:after="20"/>
            </w:pPr>
            <w:r/>
            <w:r>
              <w:rPr>
                <w:rFonts w:ascii="Aptos" w:hAnsi="Aptos"/>
                <w:b w:val="0"/>
                <w:sz w:val="15"/>
              </w:rPr>
              <w:t>Validate contract and reference data, map fields, correlate messages, route to SD endpoint, record lifecycle, and handle transient failures.</w:t>
            </w:r>
          </w:p>
        </w:tc>
        <w:tc>
          <w:tcPr>
            <w:tcW w:type="dxa" w:w="2520"/>
            <w:vAlign w:val="center"/>
            <w:shd w:fill="F1F6F8"/>
          </w:tcPr>
          <w:p>
            <w:pPr>
              <w:spacing w:after="20"/>
            </w:pPr>
            <w:r/>
            <w:r>
              <w:rPr>
                <w:rFonts w:ascii="Aptos" w:hAnsi="Aptos"/>
                <w:b w:val="0"/>
                <w:sz w:val="15"/>
              </w:rPr>
              <w:t>Integration operations; middleware selection TBD.</w:t>
            </w:r>
          </w:p>
        </w:tc>
      </w:tr>
      <w:tr>
        <w:tc>
          <w:tcPr>
            <w:tcW w:type="dxa" w:w="2088"/>
            <w:vAlign w:val="center"/>
            <w:shd w:fill="FFFFFF"/>
          </w:tcPr>
          <w:p>
            <w:pPr>
              <w:spacing w:after="20"/>
            </w:pPr>
            <w:r/>
            <w:r>
              <w:rPr>
                <w:rFonts w:ascii="Aptos" w:hAnsi="Aptos"/>
                <w:b w:val="0"/>
                <w:sz w:val="15"/>
              </w:rPr>
              <w:t>SAP SD process boundary</w:t>
            </w:r>
          </w:p>
        </w:tc>
        <w:tc>
          <w:tcPr>
            <w:tcW w:type="dxa" w:w="5400"/>
            <w:vAlign w:val="center"/>
            <w:shd w:fill="FFFFFF"/>
          </w:tcPr>
          <w:p>
            <w:pPr>
              <w:spacing w:after="20"/>
            </w:pPr>
            <w:r/>
            <w:r>
              <w:rPr>
                <w:rFonts w:ascii="Aptos" w:hAnsi="Aptos"/>
                <w:b w:val="0"/>
                <w:sz w:val="15"/>
              </w:rPr>
              <w:t>Apply sales-order business processing and return created/rejected outcome and agreed status data.</w:t>
            </w:r>
          </w:p>
        </w:tc>
        <w:tc>
          <w:tcPr>
            <w:tcW w:type="dxa" w:w="2520"/>
            <w:vAlign w:val="center"/>
            <w:shd w:fill="FFFFFF"/>
          </w:tcPr>
          <w:p>
            <w:pPr>
              <w:spacing w:after="20"/>
            </w:pPr>
            <w:r/>
            <w:r>
              <w:rPr>
                <w:rFonts w:ascii="Aptos" w:hAnsi="Aptos"/>
                <w:b w:val="0"/>
                <w:sz w:val="15"/>
              </w:rPr>
              <w:t>SAP application owner; product/version and API access TBD.</w:t>
            </w:r>
          </w:p>
        </w:tc>
      </w:tr>
      <w:tr>
        <w:tc>
          <w:tcPr>
            <w:tcW w:type="dxa" w:w="2088"/>
            <w:vAlign w:val="center"/>
            <w:shd w:fill="F1F6F8"/>
          </w:tcPr>
          <w:p>
            <w:pPr>
              <w:spacing w:after="20"/>
            </w:pPr>
            <w:r/>
            <w:r>
              <w:rPr>
                <w:rFonts w:ascii="Aptos" w:hAnsi="Aptos"/>
                <w:b w:val="0"/>
                <w:sz w:val="15"/>
              </w:rPr>
              <w:t>Monitoring and reconciliation</w:t>
            </w:r>
          </w:p>
        </w:tc>
        <w:tc>
          <w:tcPr>
            <w:tcW w:type="dxa" w:w="5400"/>
            <w:vAlign w:val="center"/>
            <w:shd w:fill="F1F6F8"/>
          </w:tcPr>
          <w:p>
            <w:pPr>
              <w:spacing w:after="20"/>
            </w:pPr>
            <w:r/>
            <w:r>
              <w:rPr>
                <w:rFonts w:ascii="Aptos" w:hAnsi="Aptos"/>
                <w:b w:val="0"/>
                <w:sz w:val="15"/>
              </w:rPr>
              <w:t>Track message state by correlation ID; compare channel submissions with accepted/rejected/pending outcomes; manage exceptions.</w:t>
            </w:r>
          </w:p>
        </w:tc>
        <w:tc>
          <w:tcPr>
            <w:tcW w:type="dxa" w:w="2520"/>
            <w:vAlign w:val="center"/>
            <w:shd w:fill="F1F6F8"/>
          </w:tcPr>
          <w:p>
            <w:pPr>
              <w:spacing w:after="20"/>
            </w:pPr>
            <w:r/>
            <w:r>
              <w:rPr>
                <w:rFonts w:ascii="Aptos" w:hAnsi="Aptos"/>
                <w:b w:val="0"/>
                <w:sz w:val="15"/>
              </w:rPr>
              <w:t>Joint business and operations ownership.</w:t>
            </w:r>
          </w:p>
        </w:tc>
      </w:tr>
    </w:tbl>
    <w:p>
      <w:pPr>
        <w:spacing w:after="20"/>
      </w:pPr>
    </w:p>
    <w:p>
      <w:r>
        <w:t>Figure 1. Proposed component view (conceptual): Sales channel → protected API boundary → integration layer → SAP SD order-processing API/process. Acknowledgement and agreed status move back through the integration layer to the channel. Monitoring receives lifecycle events and supports reconciliation.</w:t>
      </w:r>
    </w:p>
    <w:p>
      <w:pPr>
        <w:pStyle w:val="Heading1"/>
      </w:pPr>
      <w:r>
        <w:t>3. End-to-end data flows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shd w:fill="15324B"/>
          </w:tcPr>
          <w:p>
            <w:pPr>
              <w:spacing w:after="20"/>
            </w:pPr>
            <w:r/>
            <w:r>
              <w:rPr>
                <w:rFonts w:ascii="Aptos" w:hAnsi="Aptos"/>
                <w:b/>
                <w:color w:val="FFFFFF"/>
                <w:sz w:val="15"/>
              </w:rPr>
              <w:t>FLOW</w:t>
            </w:r>
          </w:p>
        </w:tc>
        <w:tc>
          <w:tcPr>
            <w:tcW w:type="dxa" w:w="5328"/>
            <w:vAlign w:val="center"/>
            <w:shd w:fill="15324B"/>
          </w:tcPr>
          <w:p>
            <w:pPr>
              <w:spacing w:after="20"/>
            </w:pPr>
            <w:r/>
            <w:r>
              <w:rPr>
                <w:rFonts w:ascii="Aptos" w:hAnsi="Aptos"/>
                <w:b/>
                <w:color w:val="FFFFFF"/>
                <w:sz w:val="15"/>
              </w:rPr>
              <w:t>SEQUENCE</w:t>
            </w:r>
          </w:p>
        </w:tc>
        <w:tc>
          <w:tcPr>
            <w:tcW w:type="dxa" w:w="3024"/>
            <w:vAlign w:val="center"/>
            <w:shd w:fill="15324B"/>
          </w:tcPr>
          <w:p>
            <w:pPr>
              <w:spacing w:after="20"/>
            </w:pPr>
            <w:r/>
            <w:r>
              <w:rPr>
                <w:rFonts w:ascii="Aptos" w:hAnsi="Aptos"/>
                <w:b/>
                <w:color w:val="FFFFFF"/>
                <w:sz w:val="15"/>
              </w:rPr>
              <w:t>DESIGN NOTES</w:t>
            </w:r>
          </w:p>
        </w:tc>
      </w:tr>
      <w:tr>
        <w:tc>
          <w:tcPr>
            <w:tcW w:type="dxa" w:w="1728"/>
            <w:vAlign w:val="center"/>
            <w:shd w:fill="F1F6F8"/>
          </w:tcPr>
          <w:p>
            <w:pPr>
              <w:spacing w:after="20"/>
            </w:pPr>
            <w:r/>
            <w:r>
              <w:rPr>
                <w:rFonts w:ascii="Aptos" w:hAnsi="Aptos"/>
                <w:b w:val="0"/>
                <w:sz w:val="15"/>
              </w:rPr>
              <w:t>F1 Order submission</w:t>
            </w:r>
          </w:p>
        </w:tc>
        <w:tc>
          <w:tcPr>
            <w:tcW w:type="dxa" w:w="5328"/>
            <w:vAlign w:val="center"/>
            <w:shd w:fill="F1F6F8"/>
          </w:tcPr>
          <w:p>
            <w:pPr>
              <w:spacing w:after="20"/>
            </w:pPr>
            <w:r/>
            <w:r>
              <w:rPr>
                <w:rFonts w:ascii="Aptos" w:hAnsi="Aptos"/>
                <w:b w:val="0"/>
                <w:sz w:val="15"/>
              </w:rPr>
              <w:t>1. Channel validates required checkout data. 2. Channel sends request with unique channel order reference and correlation ID. 3. API edge authenticates and applies request-size/schema limits. 4. Integration layer validates fields and mappings. 5. Layer submits a mapped request to the supported SAP SD endpoint. 6. Result is recorded and a response is returned or queued.</w:t>
            </w:r>
          </w:p>
        </w:tc>
        <w:tc>
          <w:tcPr>
            <w:tcW w:type="dxa" w:w="3024"/>
            <w:vAlign w:val="center"/>
            <w:shd w:fill="F1F6F8"/>
          </w:tcPr>
          <w:p>
            <w:pPr>
              <w:spacing w:after="20"/>
            </w:pPr>
            <w:r/>
            <w:r>
              <w:rPr>
                <w:rFonts w:ascii="Aptos" w:hAnsi="Aptos"/>
                <w:b w:val="0"/>
                <w:sz w:val="15"/>
              </w:rPr>
              <w:t>Use a synchronous response only if measured processing time and API semantics meet the channel timeout and business need. Otherwise acknowledge receipt separately from business acceptance.</w:t>
            </w:r>
          </w:p>
        </w:tc>
      </w:tr>
      <w:tr>
        <w:tc>
          <w:tcPr>
            <w:tcW w:type="dxa" w:w="1728"/>
            <w:vAlign w:val="center"/>
            <w:shd w:fill="FFFFFF"/>
          </w:tcPr>
          <w:p>
            <w:pPr>
              <w:spacing w:after="20"/>
            </w:pPr>
            <w:r/>
            <w:r>
              <w:rPr>
                <w:rFonts w:ascii="Aptos" w:hAnsi="Aptos"/>
                <w:b w:val="0"/>
                <w:sz w:val="15"/>
              </w:rPr>
              <w:t>F2 Order acknowledgement</w:t>
            </w:r>
          </w:p>
        </w:tc>
        <w:tc>
          <w:tcPr>
            <w:tcW w:type="dxa" w:w="5328"/>
            <w:vAlign w:val="center"/>
            <w:shd w:fill="FFFFFF"/>
          </w:tcPr>
          <w:p>
            <w:pPr>
              <w:spacing w:after="20"/>
            </w:pPr>
            <w:r/>
            <w:r>
              <w:rPr>
                <w:rFonts w:ascii="Aptos" w:hAnsi="Aptos"/>
                <w:b w:val="0"/>
                <w:sz w:val="15"/>
              </w:rPr>
              <w:t>1. SAP response is classified as accepted or rejected. 2. Integration layer stores SAP order reference when available, response code/category, and timestamps. 3. Channel receives an acknowledgement correlated to the original request.</w:t>
            </w:r>
          </w:p>
        </w:tc>
        <w:tc>
          <w:tcPr>
            <w:tcW w:type="dxa" w:w="3024"/>
            <w:vAlign w:val="center"/>
            <w:shd w:fill="FFFFFF"/>
          </w:tcPr>
          <w:p>
            <w:pPr>
              <w:spacing w:after="20"/>
            </w:pPr>
            <w:r/>
            <w:r>
              <w:rPr>
                <w:rFonts w:ascii="Aptos" w:hAnsi="Aptos"/>
                <w:b w:val="0"/>
                <w:sz w:val="15"/>
              </w:rPr>
              <w:t>Distinguish technical receipt from business order creation. Do not tell the user an order is accepted if it is only queued.</w:t>
            </w:r>
          </w:p>
        </w:tc>
      </w:tr>
      <w:tr>
        <w:tc>
          <w:tcPr>
            <w:tcW w:type="dxa" w:w="1728"/>
            <w:vAlign w:val="center"/>
            <w:shd w:fill="F1F6F8"/>
          </w:tcPr>
          <w:p>
            <w:pPr>
              <w:spacing w:after="20"/>
            </w:pPr>
            <w:r/>
            <w:r>
              <w:rPr>
                <w:rFonts w:ascii="Aptos" w:hAnsi="Aptos"/>
                <w:b w:val="0"/>
                <w:sz w:val="15"/>
              </w:rPr>
              <w:t>F3 Status update</w:t>
            </w:r>
          </w:p>
        </w:tc>
        <w:tc>
          <w:tcPr>
            <w:tcW w:type="dxa" w:w="5328"/>
            <w:vAlign w:val="center"/>
            <w:shd w:fill="F1F6F8"/>
          </w:tcPr>
          <w:p>
            <w:pPr>
              <w:spacing w:after="20"/>
            </w:pPr>
            <w:r/>
            <w:r>
              <w:rPr>
                <w:rFonts w:ascii="Aptos" w:hAnsi="Aptos"/>
                <w:b w:val="0"/>
                <w:sz w:val="15"/>
              </w:rPr>
              <w:t>1. Approved status source detects a relevant change. 2. Change is mapped to the channel status vocabulary. 3. Status message is correlated to the channel order and SAP document. 4. Channel confirms receipt.</w:t>
            </w:r>
          </w:p>
        </w:tc>
        <w:tc>
          <w:tcPr>
            <w:tcW w:type="dxa" w:w="3024"/>
            <w:vAlign w:val="center"/>
            <w:shd w:fill="F1F6F8"/>
          </w:tcPr>
          <w:p>
            <w:pPr>
              <w:spacing w:after="20"/>
            </w:pPr>
            <w:r/>
            <w:r>
              <w:rPr>
                <w:rFonts w:ascii="Aptos" w:hAnsi="Aptos"/>
                <w:b w:val="0"/>
                <w:sz w:val="15"/>
              </w:rPr>
              <w:t>The status source, trigger, allowed transitions, and ordering rules are open design decisions.</w:t>
            </w:r>
          </w:p>
        </w:tc>
      </w:tr>
      <w:tr>
        <w:tc>
          <w:tcPr>
            <w:tcW w:type="dxa" w:w="1728"/>
            <w:vAlign w:val="center"/>
            <w:shd w:fill="FFFFFF"/>
          </w:tcPr>
          <w:p>
            <w:pPr>
              <w:spacing w:after="20"/>
            </w:pPr>
            <w:r/>
            <w:r>
              <w:rPr>
                <w:rFonts w:ascii="Aptos" w:hAnsi="Aptos"/>
                <w:b w:val="0"/>
                <w:sz w:val="15"/>
              </w:rPr>
              <w:t>F4 Failure and recovery</w:t>
            </w:r>
          </w:p>
        </w:tc>
        <w:tc>
          <w:tcPr>
            <w:tcW w:type="dxa" w:w="5328"/>
            <w:vAlign w:val="center"/>
            <w:shd w:fill="FFFFFF"/>
          </w:tcPr>
          <w:p>
            <w:pPr>
              <w:spacing w:after="20"/>
            </w:pPr>
            <w:r/>
            <w:r>
              <w:rPr>
                <w:rFonts w:ascii="Aptos" w:hAnsi="Aptos"/>
                <w:b w:val="0"/>
                <w:sz w:val="15"/>
              </w:rPr>
              <w:t>1. Failure is classified as validation/business, authorization, transient connectivity, throttling, or unknown. 2. Retry only transient failures within bounded policy. 3. Exhausted messages enter owned exception handling. 4. Support reviews, corrects, and replays under duplicate safeguards. 5. Reconcile to confirm final state.</w:t>
            </w:r>
          </w:p>
        </w:tc>
        <w:tc>
          <w:tcPr>
            <w:tcW w:type="dxa" w:w="3024"/>
            <w:vAlign w:val="center"/>
            <w:shd w:fill="FFFFFF"/>
          </w:tcPr>
          <w:p>
            <w:pPr>
              <w:spacing w:after="20"/>
            </w:pPr>
            <w:r/>
            <w:r>
              <w:rPr>
                <w:rFonts w:ascii="Aptos" w:hAnsi="Aptos"/>
                <w:b w:val="0"/>
                <w:sz w:val="15"/>
              </w:rPr>
              <w:t>Never blindly replay an order after an ambiguous timeout; first query/reconcile by stable business reference or use receiver idempotency.</w:t>
            </w:r>
          </w:p>
        </w:tc>
      </w:tr>
    </w:tbl>
    <w:p>
      <w:pPr>
        <w:spacing w:after="20"/>
      </w:pPr>
    </w:p>
    <w:p>
      <w:pPr>
        <w:pStyle w:val="Heading1"/>
      </w:pPr>
      <w:r>
        <w:t>4. Integration points and interface proposals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vAlign w:val="center"/>
            <w:shd w:fill="15324B"/>
          </w:tcPr>
          <w:p>
            <w:pPr>
              <w:spacing w:after="20"/>
            </w:pPr>
            <w:r/>
            <w:r>
              <w:rPr>
                <w:rFonts w:ascii="Aptos" w:hAnsi="Aptos"/>
                <w:b/>
                <w:color w:val="FFFFFF"/>
                <w:sz w:val="15"/>
              </w:rPr>
              <w:t>ID / POINT</w:t>
            </w:r>
          </w:p>
        </w:tc>
        <w:tc>
          <w:tcPr>
            <w:tcW w:type="dxa" w:w="3024"/>
            <w:vAlign w:val="center"/>
            <w:shd w:fill="15324B"/>
          </w:tcPr>
          <w:p>
            <w:pPr>
              <w:spacing w:after="20"/>
            </w:pPr>
            <w:r/>
            <w:r>
              <w:rPr>
                <w:rFonts w:ascii="Aptos" w:hAnsi="Aptos"/>
                <w:b/>
                <w:color w:val="FFFFFF"/>
                <w:sz w:val="15"/>
              </w:rPr>
              <w:t>DIRECTION / PATTERN</w:t>
            </w:r>
          </w:p>
        </w:tc>
        <w:tc>
          <w:tcPr>
            <w:tcW w:type="dxa" w:w="3888"/>
            <w:vAlign w:val="center"/>
            <w:shd w:fill="15324B"/>
          </w:tcPr>
          <w:p>
            <w:pPr>
              <w:spacing w:after="20"/>
            </w:pPr>
            <w:r/>
            <w:r>
              <w:rPr>
                <w:rFonts w:ascii="Aptos" w:hAnsi="Aptos"/>
                <w:b/>
                <w:color w:val="FFFFFF"/>
                <w:sz w:val="15"/>
              </w:rPr>
              <w:t>CANDIDATE CONTRACT</w:t>
            </w:r>
          </w:p>
        </w:tc>
        <w:tc>
          <w:tcPr>
            <w:tcW w:type="dxa" w:w="1728"/>
            <w:vAlign w:val="center"/>
            <w:shd w:fill="15324B"/>
          </w:tcPr>
          <w:p>
            <w:pPr>
              <w:spacing w:after="20"/>
            </w:pPr>
            <w:r/>
            <w:r>
              <w:rPr>
                <w:rFonts w:ascii="Aptos" w:hAnsi="Aptos"/>
                <w:b/>
                <w:color w:val="FFFFFF"/>
                <w:sz w:val="15"/>
              </w:rPr>
              <w:t>STATUS</w:t>
            </w:r>
          </w:p>
        </w:tc>
      </w:tr>
      <w:tr>
        <w:tc>
          <w:tcPr>
            <w:tcW w:type="dxa" w:w="1656"/>
            <w:vAlign w:val="center"/>
            <w:shd w:fill="F1F6F8"/>
          </w:tcPr>
          <w:p>
            <w:pPr>
              <w:spacing w:after="20"/>
            </w:pPr>
            <w:r/>
            <w:r>
              <w:rPr>
                <w:rFonts w:ascii="Aptos" w:hAnsi="Aptos"/>
                <w:b w:val="0"/>
                <w:sz w:val="15"/>
              </w:rPr>
              <w:t>I-01 Order create</w:t>
            </w:r>
          </w:p>
        </w:tc>
        <w:tc>
          <w:tcPr>
            <w:tcW w:type="dxa" w:w="3024"/>
            <w:vAlign w:val="center"/>
            <w:shd w:fill="F1F6F8"/>
          </w:tcPr>
          <w:p>
            <w:pPr>
              <w:spacing w:after="20"/>
            </w:pPr>
            <w:r/>
            <w:r>
              <w:rPr>
                <w:rFonts w:ascii="Aptos" w:hAnsi="Aptos"/>
                <w:b w:val="0"/>
                <w:sz w:val="15"/>
              </w:rPr>
              <w:t>Channel → integration → SAP SD. Candidate: HTTPS/OData request through integration layer; sync for immediate result or async if separately acknowledged.</w:t>
            </w:r>
          </w:p>
        </w:tc>
        <w:tc>
          <w:tcPr>
            <w:tcW w:type="dxa" w:w="3888"/>
            <w:vAlign w:val="center"/>
            <w:shd w:fill="F1F6F8"/>
          </w:tcPr>
          <w:p>
            <w:pPr>
              <w:spacing w:after="20"/>
            </w:pPr>
            <w:r/>
            <w:r>
              <w:rPr>
                <w:rFonts w:ascii="Aptos" w:hAnsi="Aptos"/>
                <w:b w:val="0"/>
                <w:sz w:val="15"/>
              </w:rPr>
              <w:t>Sales-channel reference; correlation ID; sold-to reference; requested date; currency; item identifiers/quantities/units; delivery and pricing context as required by confirmed contract.</w:t>
            </w:r>
          </w:p>
        </w:tc>
        <w:tc>
          <w:tcPr>
            <w:tcW w:type="dxa" w:w="1728"/>
            <w:vAlign w:val="center"/>
            <w:shd w:fill="F1F6F8"/>
          </w:tcPr>
          <w:p>
            <w:pPr>
              <w:spacing w:after="20"/>
            </w:pPr>
            <w:r/>
            <w:r>
              <w:rPr>
                <w:rFonts w:ascii="Aptos" w:hAnsi="Aptos"/>
                <w:b w:val="0"/>
                <w:sz w:val="15"/>
              </w:rPr>
              <w:t>Proposed; verify API and required fields for actual release.</w:t>
            </w:r>
          </w:p>
        </w:tc>
      </w:tr>
      <w:tr>
        <w:tc>
          <w:tcPr>
            <w:tcW w:type="dxa" w:w="1656"/>
            <w:vAlign w:val="center"/>
            <w:shd w:fill="FFFFFF"/>
          </w:tcPr>
          <w:p>
            <w:pPr>
              <w:spacing w:after="20"/>
            </w:pPr>
            <w:r/>
            <w:r>
              <w:rPr>
                <w:rFonts w:ascii="Aptos" w:hAnsi="Aptos"/>
                <w:b w:val="0"/>
                <w:sz w:val="15"/>
              </w:rPr>
              <w:t>I-02 Order outcome</w:t>
            </w:r>
          </w:p>
        </w:tc>
        <w:tc>
          <w:tcPr>
            <w:tcW w:type="dxa" w:w="3024"/>
            <w:vAlign w:val="center"/>
            <w:shd w:fill="FFFFFF"/>
          </w:tcPr>
          <w:p>
            <w:pPr>
              <w:spacing w:after="20"/>
            </w:pPr>
            <w:r/>
            <w:r>
              <w:rPr>
                <w:rFonts w:ascii="Aptos" w:hAnsi="Aptos"/>
                <w:b w:val="0"/>
                <w:sz w:val="15"/>
              </w:rPr>
              <w:t>SAP SD/integration → channel. Response or callback/event.</w:t>
            </w:r>
          </w:p>
        </w:tc>
        <w:tc>
          <w:tcPr>
            <w:tcW w:type="dxa" w:w="3888"/>
            <w:vAlign w:val="center"/>
            <w:shd w:fill="FFFFFF"/>
          </w:tcPr>
          <w:p>
            <w:pPr>
              <w:spacing w:after="20"/>
            </w:pPr>
            <w:r/>
            <w:r>
              <w:rPr>
                <w:rFonts w:ascii="Aptos" w:hAnsi="Aptos"/>
                <w:b w:val="0"/>
                <w:sz w:val="15"/>
              </w:rPr>
              <w:t>Correlation ID; channel reference; outcome category; SAP order reference if created; safe error code/message; processing timestamp.</w:t>
            </w:r>
          </w:p>
        </w:tc>
        <w:tc>
          <w:tcPr>
            <w:tcW w:type="dxa" w:w="1728"/>
            <w:vAlign w:val="center"/>
            <w:shd w:fill="FFFFFF"/>
          </w:tcPr>
          <w:p>
            <w:pPr>
              <w:spacing w:after="20"/>
            </w:pPr>
            <w:r/>
            <w:r>
              <w:rPr>
                <w:rFonts w:ascii="Aptos" w:hAnsi="Aptos"/>
                <w:b w:val="0"/>
                <w:sz w:val="15"/>
              </w:rPr>
              <w:t>Proposed; response contract and semantics to agree.</w:t>
            </w:r>
          </w:p>
        </w:tc>
      </w:tr>
      <w:tr>
        <w:tc>
          <w:tcPr>
            <w:tcW w:type="dxa" w:w="1656"/>
            <w:vAlign w:val="center"/>
            <w:shd w:fill="F1F6F8"/>
          </w:tcPr>
          <w:p>
            <w:pPr>
              <w:spacing w:after="20"/>
            </w:pPr>
            <w:r/>
            <w:r>
              <w:rPr>
                <w:rFonts w:ascii="Aptos" w:hAnsi="Aptos"/>
                <w:b w:val="0"/>
                <w:sz w:val="15"/>
              </w:rPr>
              <w:t>I-03 Status update</w:t>
            </w:r>
          </w:p>
        </w:tc>
        <w:tc>
          <w:tcPr>
            <w:tcW w:type="dxa" w:w="3024"/>
            <w:vAlign w:val="center"/>
            <w:shd w:fill="F1F6F8"/>
          </w:tcPr>
          <w:p>
            <w:pPr>
              <w:spacing w:after="20"/>
            </w:pPr>
            <w:r/>
            <w:r>
              <w:rPr>
                <w:rFonts w:ascii="Aptos" w:hAnsi="Aptos"/>
                <w:b w:val="0"/>
                <w:sz w:val="15"/>
              </w:rPr>
              <w:t>SAP SD or approved status source → integration → channel. Prefer event/async when available and supported; polling only with an agreed rate and latency need.</w:t>
            </w:r>
          </w:p>
        </w:tc>
        <w:tc>
          <w:tcPr>
            <w:tcW w:type="dxa" w:w="3888"/>
            <w:vAlign w:val="center"/>
            <w:shd w:fill="F1F6F8"/>
          </w:tcPr>
          <w:p>
            <w:pPr>
              <w:spacing w:after="20"/>
            </w:pPr>
            <w:r/>
            <w:r>
              <w:rPr>
                <w:rFonts w:ascii="Aptos" w:hAnsi="Aptos"/>
                <w:b w:val="0"/>
                <w:sz w:val="15"/>
              </w:rPr>
              <w:t>SAP order reference; channel reference; status code; event time; sequence/version; correlation ID.</w:t>
            </w:r>
          </w:p>
        </w:tc>
        <w:tc>
          <w:tcPr>
            <w:tcW w:type="dxa" w:w="1728"/>
            <w:vAlign w:val="center"/>
            <w:shd w:fill="F1F6F8"/>
          </w:tcPr>
          <w:p>
            <w:pPr>
              <w:spacing w:after="20"/>
            </w:pPr>
            <w:r/>
            <w:r>
              <w:rPr>
                <w:rFonts w:ascii="Aptos" w:hAnsi="Aptos"/>
                <w:b w:val="0"/>
                <w:sz w:val="15"/>
              </w:rPr>
              <w:t>Source mechanism and transitions TBD.</w:t>
            </w:r>
          </w:p>
        </w:tc>
      </w:tr>
      <w:tr>
        <w:tc>
          <w:tcPr>
            <w:tcW w:type="dxa" w:w="1656"/>
            <w:vAlign w:val="center"/>
            <w:shd w:fill="FFFFFF"/>
          </w:tcPr>
          <w:p>
            <w:pPr>
              <w:spacing w:after="20"/>
            </w:pPr>
            <w:r/>
            <w:r>
              <w:rPr>
                <w:rFonts w:ascii="Aptos" w:hAnsi="Aptos"/>
                <w:b w:val="0"/>
                <w:sz w:val="15"/>
              </w:rPr>
              <w:t>I-04 Reconciliation</w:t>
            </w:r>
          </w:p>
        </w:tc>
        <w:tc>
          <w:tcPr>
            <w:tcW w:type="dxa" w:w="3024"/>
            <w:vAlign w:val="center"/>
            <w:shd w:fill="FFFFFF"/>
          </w:tcPr>
          <w:p>
            <w:pPr>
              <w:spacing w:after="20"/>
            </w:pPr>
            <w:r/>
            <w:r>
              <w:rPr>
                <w:rFonts w:ascii="Aptos" w:hAnsi="Aptos"/>
                <w:b w:val="0"/>
                <w:sz w:val="15"/>
              </w:rPr>
              <w:t>Integration/operational records ↔ channel and SAP records. Scheduled or on-demand comparison.</w:t>
            </w:r>
          </w:p>
        </w:tc>
        <w:tc>
          <w:tcPr>
            <w:tcW w:type="dxa" w:w="3888"/>
            <w:vAlign w:val="center"/>
            <w:shd w:fill="FFFFFF"/>
          </w:tcPr>
          <w:p>
            <w:pPr>
              <w:spacing w:after="20"/>
            </w:pPr>
            <w:r/>
            <w:r>
              <w:rPr>
                <w:rFonts w:ascii="Aptos" w:hAnsi="Aptos"/>
                <w:b w:val="0"/>
                <w:sz w:val="15"/>
              </w:rPr>
              <w:t>Submission count and distinct references by time window and state; exception reason; last update.</w:t>
            </w:r>
          </w:p>
        </w:tc>
        <w:tc>
          <w:tcPr>
            <w:tcW w:type="dxa" w:w="1728"/>
            <w:vAlign w:val="center"/>
            <w:shd w:fill="FFFFFF"/>
          </w:tcPr>
          <w:p>
            <w:pPr>
              <w:spacing w:after="20"/>
            </w:pPr>
            <w:r/>
            <w:r>
              <w:rPr>
                <w:rFonts w:ascii="Aptos" w:hAnsi="Aptos"/>
                <w:b w:val="0"/>
                <w:sz w:val="15"/>
              </w:rPr>
              <w:t>Candidate control; define system of record and retention.</w:t>
            </w:r>
          </w:p>
        </w:tc>
      </w:tr>
    </w:tbl>
    <w:p>
      <w:pPr>
        <w:spacing w:after="20"/>
      </w:pPr>
    </w:p>
    <w:p>
      <w:r>
        <w:t>Candidate SAP API note: SAP Help describes "Sales Order (A2X, OData V2)" (technical name API_SALES_ORDER_SRV) as a synchronous inbound OData service for external applications integrating with sales-order processing. Supported operations and entity behavior are release-specific. Treat this as an option to validate only if the target is SAP S/4HANA Cloud Public Edition and the relevant service is supported and authorized in that tenant. Do not infer support for a different SAP product or release.</w:t>
      </w:r>
    </w:p>
    <w:p>
      <w:pPr>
        <w:pStyle w:val="Heading2"/>
      </w:pPr>
      <w:r>
        <w:t>Candidate field rules</w:t>
      </w:r>
    </w:p>
    <w:p>
      <w:pPr>
        <w:pStyle w:val="ListBullet"/>
        <w:spacing w:after="40"/>
      </w:pPr>
      <w:r>
        <w:t>Preserve the channel order reference as a stable external key and store it with the SAP document reference where the approved extension/API permits.</w:t>
      </w:r>
    </w:p>
    <w:p>
      <w:pPr>
        <w:pStyle w:val="ListBullet"/>
        <w:spacing w:after="40"/>
      </w:pPr>
      <w:r>
        <w:t>Define whether currency, units of measure, product IDs, customer IDs, ship-to data, requested dates, and prices are supplied or determined by SAP rules; never silently substitute values.</w:t>
      </w:r>
    </w:p>
    <w:p>
      <w:pPr>
        <w:pStyle w:val="ListBullet"/>
        <w:spacing w:after="40"/>
      </w:pPr>
      <w:r>
        <w:t>Reject unknown or ambiguous code mappings with a safe reason and route them to an owner.</w:t>
      </w:r>
    </w:p>
    <w:p>
      <w:pPr>
        <w:pStyle w:val="ListBullet"/>
        <w:spacing w:after="40"/>
      </w:pPr>
      <w:r>
        <w:t>Specify decimal precision, date/time zone, character encoding, null/empty behavior, maximum lengths, and rounding rules in the interface contract.</w:t>
      </w:r>
    </w:p>
    <w:p>
      <w:pPr>
        <w:pStyle w:val="ListBullet"/>
        <w:spacing w:after="40"/>
      </w:pPr>
      <w:r>
        <w:t>Treat personal or commercially sensitive fields according to data classification; minimize payload and log only what support needs.</w:t>
      </w:r>
    </w:p>
    <w:p>
      <w:pPr>
        <w:pStyle w:val="Heading1"/>
      </w:pPr>
      <w:r>
        <w:t>5. Middleware, protocol, and interaction pattern</w:t>
      </w:r>
    </w:p>
    <w:p>
      <w:r>
        <w:t>Proposed candidate: SAP Integration Suite, Cloud Integration, if the organization already operates it or selects it through architecture governance. It can mediate message mapping, routing, and integration flow processing, but this report does not assert license, availability, or tenant capability. Compare it with the organization’s approved enterprise integration platform and a narrowly scoped direct interface only after support, security, lifecycle, and cost review.</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15324B"/>
          </w:tcPr>
          <w:p>
            <w:pPr>
              <w:spacing w:after="20"/>
            </w:pPr>
            <w:r/>
            <w:r>
              <w:rPr>
                <w:rFonts w:ascii="Aptos" w:hAnsi="Aptos"/>
                <w:b/>
                <w:color w:val="FFFFFF"/>
                <w:sz w:val="15"/>
              </w:rPr>
              <w:t>CHOICE</w:t>
            </w:r>
          </w:p>
        </w:tc>
        <w:tc>
          <w:tcPr>
            <w:tcW w:type="dxa" w:w="3816"/>
            <w:vAlign w:val="center"/>
            <w:shd w:fill="15324B"/>
          </w:tcPr>
          <w:p>
            <w:pPr>
              <w:spacing w:after="20"/>
            </w:pPr>
            <w:r/>
            <w:r>
              <w:rPr>
                <w:rFonts w:ascii="Aptos" w:hAnsi="Aptos"/>
                <w:b/>
                <w:color w:val="FFFFFF"/>
                <w:sz w:val="15"/>
              </w:rPr>
              <w:t>WHEN TO CONSIDER</w:t>
            </w:r>
          </w:p>
        </w:tc>
        <w:tc>
          <w:tcPr>
            <w:tcW w:type="dxa" w:w="4248"/>
            <w:vAlign w:val="center"/>
            <w:shd w:fill="15324B"/>
          </w:tcPr>
          <w:p>
            <w:pPr>
              <w:spacing w:after="20"/>
            </w:pPr>
            <w:r/>
            <w:r>
              <w:rPr>
                <w:rFonts w:ascii="Aptos" w:hAnsi="Aptos"/>
                <w:b/>
                <w:color w:val="FFFFFF"/>
                <w:sz w:val="15"/>
              </w:rPr>
              <w:t>TRADEOFF / CHECK</w:t>
            </w:r>
          </w:p>
        </w:tc>
      </w:tr>
      <w:tr>
        <w:tc>
          <w:tcPr>
            <w:tcW w:type="dxa" w:w="2232"/>
            <w:vAlign w:val="center"/>
            <w:shd w:fill="F1F6F8"/>
          </w:tcPr>
          <w:p>
            <w:pPr>
              <w:spacing w:after="20"/>
            </w:pPr>
            <w:r/>
            <w:r>
              <w:rPr>
                <w:rFonts w:ascii="Aptos" w:hAnsi="Aptos"/>
                <w:b w:val="0"/>
                <w:sz w:val="15"/>
              </w:rPr>
              <w:t>HTTPS + OData API</w:t>
            </w:r>
          </w:p>
        </w:tc>
        <w:tc>
          <w:tcPr>
            <w:tcW w:type="dxa" w:w="3816"/>
            <w:vAlign w:val="center"/>
            <w:shd w:fill="F1F6F8"/>
          </w:tcPr>
          <w:p>
            <w:pPr>
              <w:spacing w:after="20"/>
            </w:pPr>
            <w:r/>
            <w:r>
              <w:rPr>
                <w:rFonts w:ascii="Aptos" w:hAnsi="Aptos"/>
                <w:b w:val="0"/>
                <w:sz w:val="15"/>
              </w:rPr>
              <w:t>Structured request/response against a supported sales API; appropriate if immediate business response is required and response-time behavior is acceptable.</w:t>
            </w:r>
          </w:p>
        </w:tc>
        <w:tc>
          <w:tcPr>
            <w:tcW w:type="dxa" w:w="4248"/>
            <w:vAlign w:val="center"/>
            <w:shd w:fill="F1F6F8"/>
          </w:tcPr>
          <w:p>
            <w:pPr>
              <w:spacing w:after="20"/>
            </w:pPr>
            <w:r/>
            <w:r>
              <w:rPr>
                <w:rFonts w:ascii="Aptos" w:hAnsi="Aptos"/>
                <w:b w:val="0"/>
                <w:sz w:val="15"/>
              </w:rPr>
              <w:t>Confirm exact API release, operations, authorization, throttling, payload constraints, and end-to-end timeout.</w:t>
            </w:r>
          </w:p>
        </w:tc>
      </w:tr>
      <w:tr>
        <w:tc>
          <w:tcPr>
            <w:tcW w:type="dxa" w:w="2232"/>
            <w:vAlign w:val="center"/>
            <w:shd w:fill="FFFFFF"/>
          </w:tcPr>
          <w:p>
            <w:pPr>
              <w:spacing w:after="20"/>
            </w:pPr>
            <w:r/>
            <w:r>
              <w:rPr>
                <w:rFonts w:ascii="Aptos" w:hAnsi="Aptos"/>
                <w:b w:val="0"/>
                <w:sz w:val="15"/>
              </w:rPr>
              <w:t>Asynchronous queue-backed flow</w:t>
            </w:r>
          </w:p>
        </w:tc>
        <w:tc>
          <w:tcPr>
            <w:tcW w:type="dxa" w:w="3816"/>
            <w:vAlign w:val="center"/>
            <w:shd w:fill="FFFFFF"/>
          </w:tcPr>
          <w:p>
            <w:pPr>
              <w:spacing w:after="20"/>
            </w:pPr>
            <w:r/>
            <w:r>
              <w:rPr>
                <w:rFonts w:ascii="Aptos" w:hAnsi="Aptos"/>
                <w:b w:val="0"/>
                <w:sz w:val="15"/>
              </w:rPr>
              <w:t>Sender needs quick receipt or downstream endpoint can be temporarily unavailable; eventual processing is acceptable.</w:t>
            </w:r>
          </w:p>
        </w:tc>
        <w:tc>
          <w:tcPr>
            <w:tcW w:type="dxa" w:w="4248"/>
            <w:vAlign w:val="center"/>
            <w:shd w:fill="FFFFFF"/>
          </w:tcPr>
          <w:p>
            <w:pPr>
              <w:spacing w:after="20"/>
            </w:pPr>
            <w:r/>
            <w:r>
              <w:rPr>
                <w:rFonts w:ascii="Aptos" w:hAnsi="Aptos"/>
                <w:b w:val="0"/>
                <w:sz w:val="15"/>
              </w:rPr>
              <w:t>Requires durable queue capacity, retry/exhaustion policy, duplicate-safe receiver or idempotency, and separate business status contract.</w:t>
            </w:r>
          </w:p>
        </w:tc>
      </w:tr>
      <w:tr>
        <w:tc>
          <w:tcPr>
            <w:tcW w:type="dxa" w:w="2232"/>
            <w:vAlign w:val="center"/>
            <w:shd w:fill="F1F6F8"/>
          </w:tcPr>
          <w:p>
            <w:pPr>
              <w:spacing w:after="20"/>
            </w:pPr>
            <w:r/>
            <w:r>
              <w:rPr>
                <w:rFonts w:ascii="Aptos" w:hAnsi="Aptos"/>
                <w:b w:val="0"/>
                <w:sz w:val="15"/>
              </w:rPr>
              <w:t>Event/callback for status</w:t>
            </w:r>
          </w:p>
        </w:tc>
        <w:tc>
          <w:tcPr>
            <w:tcW w:type="dxa" w:w="3816"/>
            <w:vAlign w:val="center"/>
            <w:shd w:fill="F1F6F8"/>
          </w:tcPr>
          <w:p>
            <w:pPr>
              <w:spacing w:after="20"/>
            </w:pPr>
            <w:r/>
            <w:r>
              <w:rPr>
                <w:rFonts w:ascii="Aptos" w:hAnsi="Aptos"/>
                <w:b w:val="0"/>
                <w:sz w:val="15"/>
              </w:rPr>
              <w:t>Status changes should reach the channel without frequent polling and a supported event mechanism exists.</w:t>
            </w:r>
          </w:p>
        </w:tc>
        <w:tc>
          <w:tcPr>
            <w:tcW w:type="dxa" w:w="4248"/>
            <w:vAlign w:val="center"/>
            <w:shd w:fill="F1F6F8"/>
          </w:tcPr>
          <w:p>
            <w:pPr>
              <w:spacing w:after="20"/>
            </w:pPr>
            <w:r/>
            <w:r>
              <w:rPr>
                <w:rFonts w:ascii="Aptos" w:hAnsi="Aptos"/>
                <w:b w:val="0"/>
                <w:sz w:val="15"/>
              </w:rPr>
              <w:t>Verify event source, delivery guarantees, ordering, replay, access, and subscription operations.</w:t>
            </w:r>
          </w:p>
        </w:tc>
      </w:tr>
      <w:tr>
        <w:tc>
          <w:tcPr>
            <w:tcW w:type="dxa" w:w="2232"/>
            <w:vAlign w:val="center"/>
            <w:shd w:fill="FFFFFF"/>
          </w:tcPr>
          <w:p>
            <w:pPr>
              <w:spacing w:after="20"/>
            </w:pPr>
            <w:r/>
            <w:r>
              <w:rPr>
                <w:rFonts w:ascii="Aptos" w:hAnsi="Aptos"/>
                <w:b w:val="0"/>
                <w:sz w:val="15"/>
              </w:rPr>
              <w:t>Polling as fallback</w:t>
            </w:r>
          </w:p>
        </w:tc>
        <w:tc>
          <w:tcPr>
            <w:tcW w:type="dxa" w:w="3816"/>
            <w:vAlign w:val="center"/>
            <w:shd w:fill="FFFFFF"/>
          </w:tcPr>
          <w:p>
            <w:pPr>
              <w:spacing w:after="20"/>
            </w:pPr>
            <w:r/>
            <w:r>
              <w:rPr>
                <w:rFonts w:ascii="Aptos" w:hAnsi="Aptos"/>
                <w:b w:val="0"/>
                <w:sz w:val="15"/>
              </w:rPr>
              <w:t>No suitable event mechanism exists and agreed latency/volume permit periodic reads.</w:t>
            </w:r>
          </w:p>
        </w:tc>
        <w:tc>
          <w:tcPr>
            <w:tcW w:type="dxa" w:w="4248"/>
            <w:vAlign w:val="center"/>
            <w:shd w:fill="FFFFFF"/>
          </w:tcPr>
          <w:p>
            <w:pPr>
              <w:spacing w:after="20"/>
            </w:pPr>
            <w:r/>
            <w:r>
              <w:rPr>
                <w:rFonts w:ascii="Aptos" w:hAnsi="Aptos"/>
                <w:b w:val="0"/>
                <w:sz w:val="15"/>
              </w:rPr>
              <w:t>Control polling frequency, pagination, watermarking, overlap, rate limits, duplicate suppression, and missed-change recovery.</w:t>
            </w:r>
          </w:p>
        </w:tc>
      </w:tr>
    </w:tbl>
    <w:p>
      <w:pPr>
        <w:spacing w:after="20"/>
      </w:pPr>
    </w:p>
    <w:p>
      <w:r>
        <w:t>Official SAP Cloud Integration guidance describes JMS queues as a means to decouple flows and retry persisted messages, and explains that guaranteed delivery can result in redelivery. Exactly-once outcomes therefore require idempotent receiver behavior and careful handling of ambiguous acknowledgements; middleware duplicate detection alone does not remove all residual risk. The proposed design must remain at-least-once-safe at the business boundary unless end-to-end behavior is proven.</w:t>
      </w:r>
    </w:p>
    <w:p>
      <w:pPr>
        <w:pStyle w:val="Heading1"/>
      </w:pPr>
      <w:r>
        <w:t>6. Security, privacy, and access controls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vAlign w:val="center"/>
            <w:shd w:fill="15324B"/>
          </w:tcPr>
          <w:p>
            <w:pPr>
              <w:spacing w:after="20"/>
            </w:pPr>
            <w:r/>
            <w:r>
              <w:rPr>
                <w:rFonts w:ascii="Aptos" w:hAnsi="Aptos"/>
                <w:b/>
                <w:color w:val="FFFFFF"/>
                <w:sz w:val="15"/>
              </w:rPr>
              <w:t>CONTROL AREA</w:t>
            </w:r>
          </w:p>
        </w:tc>
        <w:tc>
          <w:tcPr>
            <w:tcW w:type="dxa" w:w="5472"/>
            <w:vAlign w:val="center"/>
            <w:shd w:fill="15324B"/>
          </w:tcPr>
          <w:p>
            <w:pPr>
              <w:spacing w:after="20"/>
            </w:pPr>
            <w:r/>
            <w:r>
              <w:rPr>
                <w:rFonts w:ascii="Aptos" w:hAnsi="Aptos"/>
                <w:b/>
                <w:color w:val="FFFFFF"/>
                <w:sz w:val="15"/>
              </w:rPr>
              <w:t>PROPOSED REQUIREMENT</w:t>
            </w:r>
          </w:p>
        </w:tc>
        <w:tc>
          <w:tcPr>
            <w:tcW w:type="dxa" w:w="3168"/>
            <w:vAlign w:val="center"/>
            <w:shd w:fill="15324B"/>
          </w:tcPr>
          <w:p>
            <w:pPr>
              <w:spacing w:after="20"/>
            </w:pPr>
            <w:r/>
            <w:r>
              <w:rPr>
                <w:rFonts w:ascii="Aptos" w:hAnsi="Aptos"/>
                <w:b/>
                <w:color w:val="FFFFFF"/>
                <w:sz w:val="15"/>
              </w:rPr>
              <w:t>DESIGN EVIDENCE / OWNER</w:t>
            </w:r>
          </w:p>
        </w:tc>
      </w:tr>
      <w:tr>
        <w:tc>
          <w:tcPr>
            <w:tcW w:type="dxa" w:w="1656"/>
            <w:vAlign w:val="center"/>
            <w:shd w:fill="F1F6F8"/>
          </w:tcPr>
          <w:p>
            <w:pPr>
              <w:spacing w:after="20"/>
            </w:pPr>
            <w:r/>
            <w:r>
              <w:rPr>
                <w:rFonts w:ascii="Aptos" w:hAnsi="Aptos"/>
                <w:b w:val="0"/>
                <w:sz w:val="15"/>
              </w:rPr>
              <w:t>Transport</w:t>
            </w:r>
          </w:p>
        </w:tc>
        <w:tc>
          <w:tcPr>
            <w:tcW w:type="dxa" w:w="5472"/>
            <w:vAlign w:val="center"/>
            <w:shd w:fill="F1F6F8"/>
          </w:tcPr>
          <w:p>
            <w:pPr>
              <w:spacing w:after="20"/>
            </w:pPr>
            <w:r/>
            <w:r>
              <w:rPr>
                <w:rFonts w:ascii="Aptos" w:hAnsi="Aptos"/>
                <w:b w:val="0"/>
                <w:sz w:val="15"/>
              </w:rPr>
              <w:t>Use HTTPS/TLS for network API calls; validate certificates and trust configuration. Assess mutual TLS where supported and approved.</w:t>
            </w:r>
          </w:p>
        </w:tc>
        <w:tc>
          <w:tcPr>
            <w:tcW w:type="dxa" w:w="3168"/>
            <w:vAlign w:val="center"/>
            <w:shd w:fill="F1F6F8"/>
          </w:tcPr>
          <w:p>
            <w:pPr>
              <w:spacing w:after="20"/>
            </w:pPr>
            <w:r/>
            <w:r>
              <w:rPr>
                <w:rFonts w:ascii="Aptos" w:hAnsi="Aptos"/>
                <w:b w:val="0"/>
                <w:sz w:val="15"/>
              </w:rPr>
              <w:t>Network/security design and certificate lifecycle owner.</w:t>
            </w:r>
          </w:p>
        </w:tc>
      </w:tr>
      <w:tr>
        <w:tc>
          <w:tcPr>
            <w:tcW w:type="dxa" w:w="1656"/>
            <w:vAlign w:val="center"/>
            <w:shd w:fill="FFFFFF"/>
          </w:tcPr>
          <w:p>
            <w:pPr>
              <w:spacing w:after="20"/>
            </w:pPr>
            <w:r/>
            <w:r>
              <w:rPr>
                <w:rFonts w:ascii="Aptos" w:hAnsi="Aptos"/>
                <w:b w:val="0"/>
                <w:sz w:val="15"/>
              </w:rPr>
              <w:t>Authentication</w:t>
            </w:r>
          </w:p>
        </w:tc>
        <w:tc>
          <w:tcPr>
            <w:tcW w:type="dxa" w:w="5472"/>
            <w:vAlign w:val="center"/>
            <w:shd w:fill="FFFFFF"/>
          </w:tcPr>
          <w:p>
            <w:pPr>
              <w:spacing w:after="20"/>
            </w:pPr>
            <w:r/>
            <w:r>
              <w:rPr>
                <w:rFonts w:ascii="Aptos" w:hAnsi="Aptos"/>
                <w:b w:val="0"/>
                <w:sz w:val="15"/>
              </w:rPr>
              <w:t>Use a supported machine-to-machine method such as OAuth client credentials or certificate-based authentication as appropriate to the chosen endpoint and SAP environment. Avoid shared human accounts.</w:t>
            </w:r>
          </w:p>
        </w:tc>
        <w:tc>
          <w:tcPr>
            <w:tcW w:type="dxa" w:w="3168"/>
            <w:vAlign w:val="center"/>
            <w:shd w:fill="FFFFFF"/>
          </w:tcPr>
          <w:p>
            <w:pPr>
              <w:spacing w:after="20"/>
            </w:pPr>
            <w:r/>
            <w:r>
              <w:rPr>
                <w:rFonts w:ascii="Aptos" w:hAnsi="Aptos"/>
                <w:b w:val="0"/>
                <w:sz w:val="15"/>
              </w:rPr>
              <w:t>Identity owner validates grant, credential scope, rotation, and revocation.</w:t>
            </w:r>
          </w:p>
        </w:tc>
      </w:tr>
      <w:tr>
        <w:tc>
          <w:tcPr>
            <w:tcW w:type="dxa" w:w="1656"/>
            <w:vAlign w:val="center"/>
            <w:shd w:fill="F1F6F8"/>
          </w:tcPr>
          <w:p>
            <w:pPr>
              <w:spacing w:after="20"/>
            </w:pPr>
            <w:r/>
            <w:r>
              <w:rPr>
                <w:rFonts w:ascii="Aptos" w:hAnsi="Aptos"/>
                <w:b w:val="0"/>
                <w:sz w:val="15"/>
              </w:rPr>
              <w:t>Authorization</w:t>
            </w:r>
          </w:p>
        </w:tc>
        <w:tc>
          <w:tcPr>
            <w:tcW w:type="dxa" w:w="5472"/>
            <w:vAlign w:val="center"/>
            <w:shd w:fill="F1F6F8"/>
          </w:tcPr>
          <w:p>
            <w:pPr>
              <w:spacing w:after="20"/>
            </w:pPr>
            <w:r/>
            <w:r>
              <w:rPr>
                <w:rFonts w:ascii="Aptos" w:hAnsi="Aptos"/>
                <w:b w:val="0"/>
                <w:sz w:val="15"/>
              </w:rPr>
              <w:t>Apply least privilege to the API technical identity; restrict access to required sales-order operations and data. Separate design, deploy, monitor, and business roles.</w:t>
            </w:r>
          </w:p>
        </w:tc>
        <w:tc>
          <w:tcPr>
            <w:tcW w:type="dxa" w:w="3168"/>
            <w:vAlign w:val="center"/>
            <w:shd w:fill="F1F6F8"/>
          </w:tcPr>
          <w:p>
            <w:pPr>
              <w:spacing w:after="20"/>
            </w:pPr>
            <w:r/>
            <w:r>
              <w:rPr>
                <w:rFonts w:ascii="Aptos" w:hAnsi="Aptos"/>
                <w:b w:val="0"/>
                <w:sz w:val="15"/>
              </w:rPr>
              <w:t>Role matrix and access review approval.</w:t>
            </w:r>
          </w:p>
        </w:tc>
      </w:tr>
      <w:tr>
        <w:tc>
          <w:tcPr>
            <w:tcW w:type="dxa" w:w="1656"/>
            <w:vAlign w:val="center"/>
            <w:shd w:fill="FFFFFF"/>
          </w:tcPr>
          <w:p>
            <w:pPr>
              <w:spacing w:after="20"/>
            </w:pPr>
            <w:r/>
            <w:r>
              <w:rPr>
                <w:rFonts w:ascii="Aptos" w:hAnsi="Aptos"/>
                <w:b w:val="0"/>
                <w:sz w:val="15"/>
              </w:rPr>
              <w:t>Secrets and certificates</w:t>
            </w:r>
          </w:p>
        </w:tc>
        <w:tc>
          <w:tcPr>
            <w:tcW w:type="dxa" w:w="5472"/>
            <w:vAlign w:val="center"/>
            <w:shd w:fill="FFFFFF"/>
          </w:tcPr>
          <w:p>
            <w:pPr>
              <w:spacing w:after="20"/>
            </w:pPr>
            <w:r/>
            <w:r>
              <w:rPr>
                <w:rFonts w:ascii="Aptos" w:hAnsi="Aptos"/>
                <w:b w:val="0"/>
                <w:sz w:val="15"/>
              </w:rPr>
              <w:t>Store secrets/certificates in approved platform security storage; rotate, monitor expiry, and document incident replacement. Never commit secrets.</w:t>
            </w:r>
          </w:p>
        </w:tc>
        <w:tc>
          <w:tcPr>
            <w:tcW w:type="dxa" w:w="3168"/>
            <w:vAlign w:val="center"/>
            <w:shd w:fill="FFFFFF"/>
          </w:tcPr>
          <w:p>
            <w:pPr>
              <w:spacing w:after="20"/>
            </w:pPr>
            <w:r/>
            <w:r>
              <w:rPr>
                <w:rFonts w:ascii="Aptos" w:hAnsi="Aptos"/>
                <w:b w:val="0"/>
                <w:sz w:val="15"/>
              </w:rPr>
              <w:t>Credential inventory and expiry alerts.</w:t>
            </w:r>
          </w:p>
        </w:tc>
      </w:tr>
      <w:tr>
        <w:tc>
          <w:tcPr>
            <w:tcW w:type="dxa" w:w="1656"/>
            <w:vAlign w:val="center"/>
            <w:shd w:fill="F1F6F8"/>
          </w:tcPr>
          <w:p>
            <w:pPr>
              <w:spacing w:after="20"/>
            </w:pPr>
            <w:r/>
            <w:r>
              <w:rPr>
                <w:rFonts w:ascii="Aptos" w:hAnsi="Aptos"/>
                <w:b w:val="0"/>
                <w:sz w:val="15"/>
              </w:rPr>
              <w:t>Data minimization</w:t>
            </w:r>
          </w:p>
        </w:tc>
        <w:tc>
          <w:tcPr>
            <w:tcW w:type="dxa" w:w="5472"/>
            <w:vAlign w:val="center"/>
            <w:shd w:fill="F1F6F8"/>
          </w:tcPr>
          <w:p>
            <w:pPr>
              <w:spacing w:after="20"/>
            </w:pPr>
            <w:r/>
            <w:r>
              <w:rPr>
                <w:rFonts w:ascii="Aptos" w:hAnsi="Aptos"/>
                <w:b w:val="0"/>
                <w:sz w:val="15"/>
              </w:rPr>
              <w:t>Exchange only required business fields. Mask or omit sensitive values from routine logs and test fixtures.</w:t>
            </w:r>
          </w:p>
        </w:tc>
        <w:tc>
          <w:tcPr>
            <w:tcW w:type="dxa" w:w="3168"/>
            <w:vAlign w:val="center"/>
            <w:shd w:fill="F1F6F8"/>
          </w:tcPr>
          <w:p>
            <w:pPr>
              <w:spacing w:after="20"/>
            </w:pPr>
            <w:r/>
            <w:r>
              <w:rPr>
                <w:rFonts w:ascii="Aptos" w:hAnsi="Aptos"/>
                <w:b w:val="0"/>
                <w:sz w:val="15"/>
              </w:rPr>
              <w:t>Data classification, retention, and privacy assessment.</w:t>
            </w:r>
          </w:p>
        </w:tc>
      </w:tr>
      <w:tr>
        <w:tc>
          <w:tcPr>
            <w:tcW w:type="dxa" w:w="1656"/>
            <w:vAlign w:val="center"/>
            <w:shd w:fill="FFFFFF"/>
          </w:tcPr>
          <w:p>
            <w:pPr>
              <w:spacing w:after="20"/>
            </w:pPr>
            <w:r/>
            <w:r>
              <w:rPr>
                <w:rFonts w:ascii="Aptos" w:hAnsi="Aptos"/>
                <w:b w:val="0"/>
                <w:sz w:val="15"/>
              </w:rPr>
              <w:t>Input protection</w:t>
            </w:r>
          </w:p>
        </w:tc>
        <w:tc>
          <w:tcPr>
            <w:tcW w:type="dxa" w:w="5472"/>
            <w:vAlign w:val="center"/>
            <w:shd w:fill="FFFFFF"/>
          </w:tcPr>
          <w:p>
            <w:pPr>
              <w:spacing w:after="20"/>
            </w:pPr>
            <w:r/>
            <w:r>
              <w:rPr>
                <w:rFonts w:ascii="Aptos" w:hAnsi="Aptos"/>
                <w:b w:val="0"/>
                <w:sz w:val="15"/>
              </w:rPr>
              <w:t>Validate schema, size, allowed values, and content before mapping; reject malformed payloads safely.</w:t>
            </w:r>
          </w:p>
        </w:tc>
        <w:tc>
          <w:tcPr>
            <w:tcW w:type="dxa" w:w="3168"/>
            <w:vAlign w:val="center"/>
            <w:shd w:fill="FFFFFF"/>
          </w:tcPr>
          <w:p>
            <w:pPr>
              <w:spacing w:after="20"/>
            </w:pPr>
            <w:r/>
            <w:r>
              <w:rPr>
                <w:rFonts w:ascii="Aptos" w:hAnsi="Aptos"/>
                <w:b w:val="0"/>
                <w:sz w:val="15"/>
              </w:rPr>
              <w:t>API contract validation and negative test cases.</w:t>
            </w:r>
          </w:p>
        </w:tc>
      </w:tr>
      <w:tr>
        <w:tc>
          <w:tcPr>
            <w:tcW w:type="dxa" w:w="1656"/>
            <w:vAlign w:val="center"/>
            <w:shd w:fill="F1F6F8"/>
          </w:tcPr>
          <w:p>
            <w:pPr>
              <w:spacing w:after="20"/>
            </w:pPr>
            <w:r/>
            <w:r>
              <w:rPr>
                <w:rFonts w:ascii="Aptos" w:hAnsi="Aptos"/>
                <w:b w:val="0"/>
                <w:sz w:val="15"/>
              </w:rPr>
              <w:t>Audit and monitoring</w:t>
            </w:r>
          </w:p>
        </w:tc>
        <w:tc>
          <w:tcPr>
            <w:tcW w:type="dxa" w:w="5472"/>
            <w:vAlign w:val="center"/>
            <w:shd w:fill="F1F6F8"/>
          </w:tcPr>
          <w:p>
            <w:pPr>
              <w:spacing w:after="20"/>
            </w:pPr>
            <w:r/>
            <w:r>
              <w:rPr>
                <w:rFonts w:ascii="Aptos" w:hAnsi="Aptos"/>
                <w:b w:val="0"/>
                <w:sz w:val="15"/>
              </w:rPr>
              <w:t>Record actor/system identity, correlation ID, outcome category, timestamps, and operator actions under an approved retention period.</w:t>
            </w:r>
          </w:p>
        </w:tc>
        <w:tc>
          <w:tcPr>
            <w:tcW w:type="dxa" w:w="3168"/>
            <w:vAlign w:val="center"/>
            <w:shd w:fill="F1F6F8"/>
          </w:tcPr>
          <w:p>
            <w:pPr>
              <w:spacing w:after="20"/>
            </w:pPr>
            <w:r/>
            <w:r>
              <w:rPr>
                <w:rFonts w:ascii="Aptos" w:hAnsi="Aptos"/>
                <w:b w:val="0"/>
                <w:sz w:val="15"/>
              </w:rPr>
              <w:t>Logging standard, restricted access, alert and audit review.</w:t>
            </w:r>
          </w:p>
        </w:tc>
      </w:tr>
      <w:tr>
        <w:tc>
          <w:tcPr>
            <w:tcW w:type="dxa" w:w="1656"/>
            <w:vAlign w:val="center"/>
            <w:shd w:fill="FFFFFF"/>
          </w:tcPr>
          <w:p>
            <w:pPr>
              <w:spacing w:after="20"/>
            </w:pPr>
            <w:r/>
            <w:r>
              <w:rPr>
                <w:rFonts w:ascii="Aptos" w:hAnsi="Aptos"/>
                <w:b w:val="0"/>
                <w:sz w:val="15"/>
              </w:rPr>
              <w:t>Network boundary</w:t>
            </w:r>
          </w:p>
        </w:tc>
        <w:tc>
          <w:tcPr>
            <w:tcW w:type="dxa" w:w="5472"/>
            <w:vAlign w:val="center"/>
            <w:shd w:fill="FFFFFF"/>
          </w:tcPr>
          <w:p>
            <w:pPr>
              <w:spacing w:after="20"/>
            </w:pPr>
            <w:r/>
            <w:r>
              <w:rPr>
                <w:rFonts w:ascii="Aptos" w:hAnsi="Aptos"/>
                <w:b w:val="0"/>
                <w:sz w:val="15"/>
              </w:rPr>
              <w:t>Use approved ingress/egress controls; if an on-premise SAP system is in scope, validate the supported secure connectivity path and network controls with the platform team.</w:t>
            </w:r>
          </w:p>
        </w:tc>
        <w:tc>
          <w:tcPr>
            <w:tcW w:type="dxa" w:w="3168"/>
            <w:vAlign w:val="center"/>
            <w:shd w:fill="FFFFFF"/>
          </w:tcPr>
          <w:p>
            <w:pPr>
              <w:spacing w:after="20"/>
            </w:pPr>
            <w:r/>
            <w:r>
              <w:rPr>
                <w:rFonts w:ascii="Aptos" w:hAnsi="Aptos"/>
                <w:b w:val="0"/>
                <w:sz w:val="15"/>
              </w:rPr>
              <w:t>Architecture/security approval; Cloud Connector only if applicable and approved.</w:t>
            </w:r>
          </w:p>
        </w:tc>
      </w:tr>
    </w:tbl>
    <w:p>
      <w:pPr>
        <w:spacing w:after="20"/>
      </w:pPr>
    </w:p>
    <w:p>
      <w:r>
        <w:t>SAP documentation describes several authentication options whose availability depends on the adapter, runtime, and environment. The security team must select a supported pattern for the actual product and landscape. This blueprint does not prescribe credentials, role names, certificate configuration, or network settings.</w:t>
      </w:r>
    </w:p>
    <w:p>
      <w:pPr>
        <w:pStyle w:val="Heading1"/>
      </w:pPr>
      <w:r>
        <w:t>7. Validation and error-handling design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shd w:fill="15324B"/>
          </w:tcPr>
          <w:p>
            <w:pPr>
              <w:spacing w:after="20"/>
            </w:pPr>
            <w:r/>
            <w:r>
              <w:rPr>
                <w:rFonts w:ascii="Aptos" w:hAnsi="Aptos"/>
                <w:b/>
                <w:color w:val="FFFFFF"/>
                <w:sz w:val="15"/>
              </w:rPr>
              <w:t>STAGE</w:t>
            </w:r>
          </w:p>
        </w:tc>
        <w:tc>
          <w:tcPr>
            <w:tcW w:type="dxa" w:w="5112"/>
            <w:vAlign w:val="center"/>
            <w:shd w:fill="15324B"/>
          </w:tcPr>
          <w:p>
            <w:pPr>
              <w:spacing w:after="20"/>
            </w:pPr>
            <w:r/>
            <w:r>
              <w:rPr>
                <w:rFonts w:ascii="Aptos" w:hAnsi="Aptos"/>
                <w:b/>
                <w:color w:val="FFFFFF"/>
                <w:sz w:val="15"/>
              </w:rPr>
              <w:t>CHECKS / RESPONSE</w:t>
            </w:r>
          </w:p>
        </w:tc>
        <w:tc>
          <w:tcPr>
            <w:tcW w:type="dxa" w:w="3384"/>
            <w:vAlign w:val="center"/>
            <w:shd w:fill="15324B"/>
          </w:tcPr>
          <w:p>
            <w:pPr>
              <w:spacing w:after="20"/>
            </w:pPr>
            <w:r/>
            <w:r>
              <w:rPr>
                <w:rFonts w:ascii="Aptos" w:hAnsi="Aptos"/>
                <w:b/>
                <w:color w:val="FFFFFF"/>
                <w:sz w:val="15"/>
              </w:rPr>
              <w:t>HANDLING</w:t>
            </w:r>
          </w:p>
        </w:tc>
      </w:tr>
      <w:tr>
        <w:tc>
          <w:tcPr>
            <w:tcW w:type="dxa" w:w="1800"/>
            <w:vAlign w:val="center"/>
            <w:shd w:fill="F1F6F8"/>
          </w:tcPr>
          <w:p>
            <w:pPr>
              <w:spacing w:after="20"/>
            </w:pPr>
            <w:r/>
            <w:r>
              <w:rPr>
                <w:rFonts w:ascii="Aptos" w:hAnsi="Aptos"/>
                <w:b w:val="0"/>
                <w:sz w:val="15"/>
              </w:rPr>
              <w:t>Ingress</w:t>
            </w:r>
          </w:p>
        </w:tc>
        <w:tc>
          <w:tcPr>
            <w:tcW w:type="dxa" w:w="5112"/>
            <w:vAlign w:val="center"/>
            <w:shd w:fill="F1F6F8"/>
          </w:tcPr>
          <w:p>
            <w:pPr>
              <w:spacing w:after="20"/>
            </w:pPr>
            <w:r/>
            <w:r>
              <w:rPr>
                <w:rFonts w:ascii="Aptos" w:hAnsi="Aptos"/>
                <w:b w:val="0"/>
                <w:sz w:val="15"/>
              </w:rPr>
              <w:t>Authentication/authorization; content type; payload size; schema/version; required fields; request timestamp and correlation ID.</w:t>
            </w:r>
          </w:p>
        </w:tc>
        <w:tc>
          <w:tcPr>
            <w:tcW w:type="dxa" w:w="3384"/>
            <w:vAlign w:val="center"/>
            <w:shd w:fill="F1F6F8"/>
          </w:tcPr>
          <w:p>
            <w:pPr>
              <w:spacing w:after="20"/>
            </w:pPr>
            <w:r/>
            <w:r>
              <w:rPr>
                <w:rFonts w:ascii="Aptos" w:hAnsi="Aptos"/>
                <w:b w:val="0"/>
                <w:sz w:val="15"/>
              </w:rPr>
              <w:t>Reject unauthorized or malformed request; return safe error and log correlation.</w:t>
            </w:r>
          </w:p>
        </w:tc>
      </w:tr>
      <w:tr>
        <w:tc>
          <w:tcPr>
            <w:tcW w:type="dxa" w:w="1800"/>
            <w:vAlign w:val="center"/>
            <w:shd w:fill="FFFFFF"/>
          </w:tcPr>
          <w:p>
            <w:pPr>
              <w:spacing w:after="20"/>
            </w:pPr>
            <w:r/>
            <w:r>
              <w:rPr>
                <w:rFonts w:ascii="Aptos" w:hAnsi="Aptos"/>
                <w:b w:val="0"/>
                <w:sz w:val="15"/>
              </w:rPr>
              <w:t>Business validation</w:t>
            </w:r>
          </w:p>
        </w:tc>
        <w:tc>
          <w:tcPr>
            <w:tcW w:type="dxa" w:w="5112"/>
            <w:vAlign w:val="center"/>
            <w:shd w:fill="FFFFFF"/>
          </w:tcPr>
          <w:p>
            <w:pPr>
              <w:spacing w:after="20"/>
            </w:pPr>
            <w:r/>
            <w:r>
              <w:rPr>
                <w:rFonts w:ascii="Aptos" w:hAnsi="Aptos"/>
                <w:b w:val="0"/>
                <w:sz w:val="15"/>
              </w:rPr>
              <w:t>Customer/product references; quantity and unit; allowed currency/date; duplicate external reference; required partner/shipping data; business-rule ownership.</w:t>
            </w:r>
          </w:p>
        </w:tc>
        <w:tc>
          <w:tcPr>
            <w:tcW w:type="dxa" w:w="3384"/>
            <w:vAlign w:val="center"/>
            <w:shd w:fill="FFFFFF"/>
          </w:tcPr>
          <w:p>
            <w:pPr>
              <w:spacing w:after="20"/>
            </w:pPr>
            <w:r/>
            <w:r>
              <w:rPr>
                <w:rFonts w:ascii="Aptos" w:hAnsi="Aptos"/>
                <w:b w:val="0"/>
                <w:sz w:val="15"/>
              </w:rPr>
              <w:t>Return field-level reason when safe; do not submit incomplete orders. Route master-data correction to its owner.</w:t>
            </w:r>
          </w:p>
        </w:tc>
      </w:tr>
      <w:tr>
        <w:tc>
          <w:tcPr>
            <w:tcW w:type="dxa" w:w="1800"/>
            <w:vAlign w:val="center"/>
            <w:shd w:fill="F1F6F8"/>
          </w:tcPr>
          <w:p>
            <w:pPr>
              <w:spacing w:after="20"/>
            </w:pPr>
            <w:r/>
            <w:r>
              <w:rPr>
                <w:rFonts w:ascii="Aptos" w:hAnsi="Aptos"/>
                <w:b w:val="0"/>
                <w:sz w:val="15"/>
              </w:rPr>
              <w:t>Mapping and SAP call</w:t>
            </w:r>
          </w:p>
        </w:tc>
        <w:tc>
          <w:tcPr>
            <w:tcW w:type="dxa" w:w="5112"/>
            <w:vAlign w:val="center"/>
            <w:shd w:fill="F1F6F8"/>
          </w:tcPr>
          <w:p>
            <w:pPr>
              <w:spacing w:after="20"/>
            </w:pPr>
            <w:r/>
            <w:r>
              <w:rPr>
                <w:rFonts w:ascii="Aptos" w:hAnsi="Aptos"/>
                <w:b w:val="0"/>
                <w:sz w:val="15"/>
              </w:rPr>
              <w:t>Canonical-to-target mapping; code conversion; precision; API operation and response semantics; bounded call timeout.</w:t>
            </w:r>
          </w:p>
        </w:tc>
        <w:tc>
          <w:tcPr>
            <w:tcW w:type="dxa" w:w="3384"/>
            <w:vAlign w:val="center"/>
            <w:shd w:fill="F1F6F8"/>
          </w:tcPr>
          <w:p>
            <w:pPr>
              <w:spacing w:after="20"/>
            </w:pPr>
            <w:r/>
            <w:r>
              <w:rPr>
                <w:rFonts w:ascii="Aptos" w:hAnsi="Aptos"/>
                <w:b w:val="0"/>
                <w:sz w:val="15"/>
              </w:rPr>
              <w:t>Classify validation vs transient vs permanent failures. Preserve original reference and mapping version.</w:t>
            </w:r>
          </w:p>
        </w:tc>
      </w:tr>
      <w:tr>
        <w:tc>
          <w:tcPr>
            <w:tcW w:type="dxa" w:w="1800"/>
            <w:vAlign w:val="center"/>
            <w:shd w:fill="FFFFFF"/>
          </w:tcPr>
          <w:p>
            <w:pPr>
              <w:spacing w:after="20"/>
            </w:pPr>
            <w:r/>
            <w:r>
              <w:rPr>
                <w:rFonts w:ascii="Aptos" w:hAnsi="Aptos"/>
                <w:b w:val="0"/>
                <w:sz w:val="15"/>
              </w:rPr>
              <w:t>Transient failure</w:t>
            </w:r>
          </w:p>
        </w:tc>
        <w:tc>
          <w:tcPr>
            <w:tcW w:type="dxa" w:w="5112"/>
            <w:vAlign w:val="center"/>
            <w:shd w:fill="FFFFFF"/>
          </w:tcPr>
          <w:p>
            <w:pPr>
              <w:spacing w:after="20"/>
            </w:pPr>
            <w:r/>
            <w:r>
              <w:rPr>
                <w:rFonts w:ascii="Aptos" w:hAnsi="Aptos"/>
                <w:b w:val="0"/>
                <w:sz w:val="15"/>
              </w:rPr>
              <w:t>Temporary network issue, throttling, or service unavailability.</w:t>
            </w:r>
          </w:p>
        </w:tc>
        <w:tc>
          <w:tcPr>
            <w:tcW w:type="dxa" w:w="3384"/>
            <w:vAlign w:val="center"/>
            <w:shd w:fill="FFFFFF"/>
          </w:tcPr>
          <w:p>
            <w:pPr>
              <w:spacing w:after="20"/>
            </w:pPr>
            <w:r/>
            <w:r>
              <w:rPr>
                <w:rFonts w:ascii="Aptos" w:hAnsi="Aptos"/>
                <w:b w:val="0"/>
                <w:sz w:val="15"/>
              </w:rPr>
              <w:t>Use bounded exponential backoff with jitter and maximum elapsed time where sender/receiver policy allows. Avoid retrying business rejections.</w:t>
            </w:r>
          </w:p>
        </w:tc>
      </w:tr>
      <w:tr>
        <w:tc>
          <w:tcPr>
            <w:tcW w:type="dxa" w:w="1800"/>
            <w:vAlign w:val="center"/>
            <w:shd w:fill="F1F6F8"/>
          </w:tcPr>
          <w:p>
            <w:pPr>
              <w:spacing w:after="20"/>
            </w:pPr>
            <w:r/>
            <w:r>
              <w:rPr>
                <w:rFonts w:ascii="Aptos" w:hAnsi="Aptos"/>
                <w:b w:val="0"/>
                <w:sz w:val="15"/>
              </w:rPr>
              <w:t>Ambiguous timeout</w:t>
            </w:r>
          </w:p>
        </w:tc>
        <w:tc>
          <w:tcPr>
            <w:tcW w:type="dxa" w:w="5112"/>
            <w:vAlign w:val="center"/>
            <w:shd w:fill="F1F6F8"/>
          </w:tcPr>
          <w:p>
            <w:pPr>
              <w:spacing w:after="20"/>
            </w:pPr>
            <w:r/>
            <w:r>
              <w:rPr>
                <w:rFonts w:ascii="Aptos" w:hAnsi="Aptos"/>
                <w:b w:val="0"/>
                <w:sz w:val="15"/>
              </w:rPr>
              <w:t>Request may have reached target but response is missing.</w:t>
            </w:r>
          </w:p>
        </w:tc>
        <w:tc>
          <w:tcPr>
            <w:tcW w:type="dxa" w:w="3384"/>
            <w:vAlign w:val="center"/>
            <w:shd w:fill="F1F6F8"/>
          </w:tcPr>
          <w:p>
            <w:pPr>
              <w:spacing w:after="20"/>
            </w:pPr>
            <w:r/>
            <w:r>
              <w:rPr>
                <w:rFonts w:ascii="Aptos" w:hAnsi="Aptos"/>
                <w:b w:val="0"/>
                <w:sz w:val="15"/>
              </w:rPr>
              <w:t>Do not assume failure. Query/reconcile by stable external reference or use target-supported idempotency before replay.</w:t>
            </w:r>
          </w:p>
        </w:tc>
      </w:tr>
      <w:tr>
        <w:tc>
          <w:tcPr>
            <w:tcW w:type="dxa" w:w="1800"/>
            <w:vAlign w:val="center"/>
            <w:shd w:fill="FFFFFF"/>
          </w:tcPr>
          <w:p>
            <w:pPr>
              <w:spacing w:after="20"/>
            </w:pPr>
            <w:r/>
            <w:r>
              <w:rPr>
                <w:rFonts w:ascii="Aptos" w:hAnsi="Aptos"/>
                <w:b w:val="0"/>
                <w:sz w:val="15"/>
              </w:rPr>
              <w:t>Exhaustion / permanent failure</w:t>
            </w:r>
          </w:p>
        </w:tc>
        <w:tc>
          <w:tcPr>
            <w:tcW w:type="dxa" w:w="5112"/>
            <w:vAlign w:val="center"/>
            <w:shd w:fill="FFFFFF"/>
          </w:tcPr>
          <w:p>
            <w:pPr>
              <w:spacing w:after="20"/>
            </w:pPr>
            <w:r/>
            <w:r>
              <w:rPr>
                <w:rFonts w:ascii="Aptos" w:hAnsi="Aptos"/>
                <w:b w:val="0"/>
                <w:sz w:val="15"/>
              </w:rPr>
              <w:t>Retry limit reached or non-retryable technical/business exception.</w:t>
            </w:r>
          </w:p>
        </w:tc>
        <w:tc>
          <w:tcPr>
            <w:tcW w:type="dxa" w:w="3384"/>
            <w:vAlign w:val="center"/>
            <w:shd w:fill="FFFFFF"/>
          </w:tcPr>
          <w:p>
            <w:pPr>
              <w:spacing w:after="20"/>
            </w:pPr>
            <w:r/>
            <w:r>
              <w:rPr>
                <w:rFonts w:ascii="Aptos" w:hAnsi="Aptos"/>
                <w:b w:val="0"/>
                <w:sz w:val="15"/>
              </w:rPr>
              <w:t>Move to controlled exception queue/worklist, alert owner, preserve evidence, and require authorized correction/replay.</w:t>
            </w:r>
          </w:p>
        </w:tc>
      </w:tr>
      <w:tr>
        <w:tc>
          <w:tcPr>
            <w:tcW w:type="dxa" w:w="1800"/>
            <w:vAlign w:val="center"/>
            <w:shd w:fill="F1F6F8"/>
          </w:tcPr>
          <w:p>
            <w:pPr>
              <w:spacing w:after="20"/>
            </w:pPr>
            <w:r/>
            <w:r>
              <w:rPr>
                <w:rFonts w:ascii="Aptos" w:hAnsi="Aptos"/>
                <w:b w:val="0"/>
                <w:sz w:val="15"/>
              </w:rPr>
              <w:t>Recovery and reconciliation</w:t>
            </w:r>
          </w:p>
        </w:tc>
        <w:tc>
          <w:tcPr>
            <w:tcW w:type="dxa" w:w="5112"/>
            <w:vAlign w:val="center"/>
            <w:shd w:fill="F1F6F8"/>
          </w:tcPr>
          <w:p>
            <w:pPr>
              <w:spacing w:after="20"/>
            </w:pPr>
            <w:r/>
            <w:r>
              <w:rPr>
                <w:rFonts w:ascii="Aptos" w:hAnsi="Aptos"/>
                <w:b w:val="0"/>
                <w:sz w:val="15"/>
              </w:rPr>
              <w:t>Replay corrected request using same business key; compare channel references with SAP outcomes; detect missing/duplicate records.</w:t>
            </w:r>
          </w:p>
        </w:tc>
        <w:tc>
          <w:tcPr>
            <w:tcW w:type="dxa" w:w="3384"/>
            <w:vAlign w:val="center"/>
            <w:shd w:fill="F1F6F8"/>
          </w:tcPr>
          <w:p>
            <w:pPr>
              <w:spacing w:after="20"/>
            </w:pPr>
            <w:r/>
            <w:r>
              <w:rPr>
                <w:rFonts w:ascii="Aptos" w:hAnsi="Aptos"/>
                <w:b w:val="0"/>
                <w:sz w:val="15"/>
              </w:rPr>
              <w:t>Record operator, reason, before/after state, and final resolution; follow retention/access policy.</w:t>
            </w:r>
          </w:p>
        </w:tc>
      </w:tr>
    </w:tbl>
    <w:p>
      <w:pPr>
        <w:spacing w:after="20"/>
      </w:pPr>
    </w:p>
    <w:p>
      <w:r>
        <w:t>Idempotency recommendation: use an immutable channel order reference plus a message/correlation identifier. The receiving business application should enforce duplicate-safe creation in the same transaction as order persistence where possible. If not supported, document residual duplicate risk and use a pre-replay lookup/reconciliation control. A middleware idempotent step is a supplementary guard, not proof of end-to-end exactly-once processing.</w:t>
      </w:r>
    </w:p>
    <w:p>
      <w:pPr>
        <w:pStyle w:val="Heading1"/>
      </w:pPr>
      <w:r>
        <w:t>8. Monitoring and operational model</w:t>
      </w:r>
    </w:p>
    <w:p>
      <w:pPr>
        <w:pStyle w:val="ListBullet"/>
        <w:spacing w:after="40"/>
      </w:pPr>
      <w:r>
        <w:t>Capture correlation ID, channel order reference, SAP document reference when available, flow/interface version, timestamps, state, and reason category.</w:t>
      </w:r>
    </w:p>
    <w:p>
      <w:pPr>
        <w:pStyle w:val="ListBullet"/>
        <w:spacing w:after="40"/>
      </w:pPr>
      <w:r>
        <w:t>Monitor message counts by accepted, rejected, pending, retrying, and escalated state; alert on queue age, failure rate, stuck processing, and reconciliation variance using approved thresholds.</w:t>
      </w:r>
    </w:p>
    <w:p>
      <w:pPr>
        <w:pStyle w:val="ListBullet"/>
        <w:spacing w:after="40"/>
      </w:pPr>
      <w:r>
        <w:t>Restrict payload trace/log access; default to metadata and masked values. Enable detailed trace only under controlled, time-bounded troubleshooting procedures.</w:t>
      </w:r>
    </w:p>
    <w:p>
      <w:pPr>
        <w:pStyle w:val="ListBullet"/>
        <w:spacing w:after="40"/>
      </w:pPr>
      <w:r>
        <w:t>Define support hours, on-call/escalation, incident severity, business owner for data correction, and technical owner for replay.</w:t>
      </w:r>
    </w:p>
    <w:p>
      <w:pPr>
        <w:pStyle w:val="ListBullet"/>
        <w:spacing w:after="40"/>
      </w:pPr>
      <w:r>
        <w:t>Publish runbooks for known error categories, retry exhaustion, certificate expiry, endpoint outage, reconciliation discrepancy, and manual order handling.</w:t>
      </w:r>
    </w:p>
    <w:p>
      <w:pPr>
        <w:pStyle w:val="ListBullet"/>
        <w:spacing w:after="40"/>
      </w:pPr>
      <w:r>
        <w:t>Set retention and deletion rules for message logs, queue payloads, and audit events based on security/privacy requirements and platform capabilities.</w:t>
      </w:r>
    </w:p>
    <w:p>
      <w:pPr>
        <w:pStyle w:val="Heading1"/>
      </w:pPr>
      <w:r>
        <w:t>9. Open decisions and feasibility gates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vAlign w:val="center"/>
            <w:shd w:fill="15324B"/>
          </w:tcPr>
          <w:p>
            <w:pPr>
              <w:spacing w:after="20"/>
            </w:pPr>
            <w:r/>
            <w:r>
              <w:rPr>
                <w:rFonts w:ascii="Aptos" w:hAnsi="Aptos"/>
                <w:b/>
                <w:color w:val="FFFFFF"/>
                <w:sz w:val="15"/>
              </w:rPr>
              <w:t>DECISION</w:t>
            </w:r>
          </w:p>
        </w:tc>
        <w:tc>
          <w:tcPr>
            <w:tcW w:type="dxa" w:w="4464"/>
            <w:vAlign w:val="center"/>
            <w:shd w:fill="15324B"/>
          </w:tcPr>
          <w:p>
            <w:pPr>
              <w:spacing w:after="20"/>
            </w:pPr>
            <w:r/>
            <w:r>
              <w:rPr>
                <w:rFonts w:ascii="Aptos" w:hAnsi="Aptos"/>
                <w:b/>
                <w:color w:val="FFFFFF"/>
                <w:sz w:val="15"/>
              </w:rPr>
              <w:t>WHY IT MATTERS</w:t>
            </w:r>
          </w:p>
        </w:tc>
        <w:tc>
          <w:tcPr>
            <w:tcW w:type="dxa" w:w="3240"/>
            <w:vAlign w:val="center"/>
            <w:shd w:fill="15324B"/>
          </w:tcPr>
          <w:p>
            <w:pPr>
              <w:spacing w:after="20"/>
            </w:pPr>
            <w:r/>
            <w:r>
              <w:rPr>
                <w:rFonts w:ascii="Aptos" w:hAnsi="Aptos"/>
                <w:b/>
                <w:color w:val="FFFFFF"/>
                <w:sz w:val="15"/>
              </w:rPr>
              <w:t>OWNER / GATE</w:t>
            </w:r>
          </w:p>
        </w:tc>
      </w:tr>
      <w:tr>
        <w:tc>
          <w:tcPr>
            <w:tcW w:type="dxa" w:w="2520"/>
            <w:vAlign w:val="center"/>
            <w:shd w:fill="F1F6F8"/>
          </w:tcPr>
          <w:p>
            <w:pPr>
              <w:spacing w:after="20"/>
            </w:pPr>
            <w:r/>
            <w:r>
              <w:rPr>
                <w:rFonts w:ascii="Aptos" w:hAnsi="Aptos"/>
                <w:b w:val="0"/>
                <w:sz w:val="15"/>
              </w:rPr>
              <w:t>Actual SAP product, deployment, and release</w:t>
            </w:r>
          </w:p>
        </w:tc>
        <w:tc>
          <w:tcPr>
            <w:tcW w:type="dxa" w:w="4464"/>
            <w:vAlign w:val="center"/>
            <w:shd w:fill="F1F6F8"/>
          </w:tcPr>
          <w:p>
            <w:pPr>
              <w:spacing w:after="20"/>
            </w:pPr>
            <w:r/>
            <w:r>
              <w:rPr>
                <w:rFonts w:ascii="Aptos" w:hAnsi="Aptos"/>
                <w:b w:val="0"/>
                <w:sz w:val="15"/>
              </w:rPr>
              <w:t>Determines supported API, authentication, connectivity, and constraints.</w:t>
            </w:r>
          </w:p>
        </w:tc>
        <w:tc>
          <w:tcPr>
            <w:tcW w:type="dxa" w:w="3240"/>
            <w:vAlign w:val="center"/>
            <w:shd w:fill="F1F6F8"/>
          </w:tcPr>
          <w:p>
            <w:pPr>
              <w:spacing w:after="20"/>
            </w:pPr>
            <w:r/>
            <w:r>
              <w:rPr>
                <w:rFonts w:ascii="Aptos" w:hAnsi="Aptos"/>
                <w:b w:val="0"/>
                <w:sz w:val="15"/>
              </w:rPr>
              <w:t>SAP owner; before interface selection.</w:t>
            </w:r>
          </w:p>
        </w:tc>
      </w:tr>
      <w:tr>
        <w:tc>
          <w:tcPr>
            <w:tcW w:type="dxa" w:w="2520"/>
            <w:vAlign w:val="center"/>
            <w:shd w:fill="FFFFFF"/>
          </w:tcPr>
          <w:p>
            <w:pPr>
              <w:spacing w:after="20"/>
            </w:pPr>
            <w:r/>
            <w:r>
              <w:rPr>
                <w:rFonts w:ascii="Aptos" w:hAnsi="Aptos"/>
                <w:b w:val="0"/>
                <w:sz w:val="15"/>
              </w:rPr>
              <w:t>Middleware and environment</w:t>
            </w:r>
          </w:p>
        </w:tc>
        <w:tc>
          <w:tcPr>
            <w:tcW w:type="dxa" w:w="4464"/>
            <w:vAlign w:val="center"/>
            <w:shd w:fill="FFFFFF"/>
          </w:tcPr>
          <w:p>
            <w:pPr>
              <w:spacing w:after="20"/>
            </w:pPr>
            <w:r/>
            <w:r>
              <w:rPr>
                <w:rFonts w:ascii="Aptos" w:hAnsi="Aptos"/>
                <w:b w:val="0"/>
                <w:sz w:val="15"/>
              </w:rPr>
              <w:t>Determines available adapters, persistence, monitoring, limits, support, and cost.</w:t>
            </w:r>
          </w:p>
        </w:tc>
        <w:tc>
          <w:tcPr>
            <w:tcW w:type="dxa" w:w="3240"/>
            <w:vAlign w:val="center"/>
            <w:shd w:fill="FFFFFF"/>
          </w:tcPr>
          <w:p>
            <w:pPr>
              <w:spacing w:after="20"/>
            </w:pPr>
            <w:r/>
            <w:r>
              <w:rPr>
                <w:rFonts w:ascii="Aptos" w:hAnsi="Aptos"/>
                <w:b w:val="0"/>
                <w:sz w:val="15"/>
              </w:rPr>
              <w:t>Enterprise architect; before estimate baseline.</w:t>
            </w:r>
          </w:p>
        </w:tc>
      </w:tr>
      <w:tr>
        <w:tc>
          <w:tcPr>
            <w:tcW w:type="dxa" w:w="2520"/>
            <w:vAlign w:val="center"/>
            <w:shd w:fill="F1F6F8"/>
          </w:tcPr>
          <w:p>
            <w:pPr>
              <w:spacing w:after="20"/>
            </w:pPr>
            <w:r/>
            <w:r>
              <w:rPr>
                <w:rFonts w:ascii="Aptos" w:hAnsi="Aptos"/>
                <w:b w:val="0"/>
                <w:sz w:val="15"/>
              </w:rPr>
              <w:t>Synchronous vs asynchronous acceptance</w:t>
            </w:r>
          </w:p>
        </w:tc>
        <w:tc>
          <w:tcPr>
            <w:tcW w:type="dxa" w:w="4464"/>
            <w:vAlign w:val="center"/>
            <w:shd w:fill="F1F6F8"/>
          </w:tcPr>
          <w:p>
            <w:pPr>
              <w:spacing w:after="20"/>
            </w:pPr>
            <w:r/>
            <w:r>
              <w:rPr>
                <w:rFonts w:ascii="Aptos" w:hAnsi="Aptos"/>
                <w:b w:val="0"/>
                <w:sz w:val="15"/>
              </w:rPr>
              <w:t>Changes user experience, timeout contract, queueing, and status lifecycle.</w:t>
            </w:r>
          </w:p>
        </w:tc>
        <w:tc>
          <w:tcPr>
            <w:tcW w:type="dxa" w:w="3240"/>
            <w:vAlign w:val="center"/>
            <w:shd w:fill="F1F6F8"/>
          </w:tcPr>
          <w:p>
            <w:pPr>
              <w:spacing w:after="20"/>
            </w:pPr>
            <w:r/>
            <w:r>
              <w:rPr>
                <w:rFonts w:ascii="Aptos" w:hAnsi="Aptos"/>
                <w:b w:val="0"/>
                <w:sz w:val="15"/>
              </w:rPr>
              <w:t>Business/channel owner; before interface contract.</w:t>
            </w:r>
          </w:p>
        </w:tc>
      </w:tr>
      <w:tr>
        <w:tc>
          <w:tcPr>
            <w:tcW w:type="dxa" w:w="2520"/>
            <w:vAlign w:val="center"/>
            <w:shd w:fill="FFFFFF"/>
          </w:tcPr>
          <w:p>
            <w:pPr>
              <w:spacing w:after="20"/>
            </w:pPr>
            <w:r/>
            <w:r>
              <w:rPr>
                <w:rFonts w:ascii="Aptos" w:hAnsi="Aptos"/>
                <w:b w:val="0"/>
                <w:sz w:val="15"/>
              </w:rPr>
              <w:t>Status source and event mechanism</w:t>
            </w:r>
          </w:p>
        </w:tc>
        <w:tc>
          <w:tcPr>
            <w:tcW w:type="dxa" w:w="4464"/>
            <w:vAlign w:val="center"/>
            <w:shd w:fill="FFFFFF"/>
          </w:tcPr>
          <w:p>
            <w:pPr>
              <w:spacing w:after="20"/>
            </w:pPr>
            <w:r/>
            <w:r>
              <w:rPr>
                <w:rFonts w:ascii="Aptos" w:hAnsi="Aptos"/>
                <w:b w:val="0"/>
                <w:sz w:val="15"/>
              </w:rPr>
              <w:t>Determines polling/event support, latency, ordering, and replay design.</w:t>
            </w:r>
          </w:p>
        </w:tc>
        <w:tc>
          <w:tcPr>
            <w:tcW w:type="dxa" w:w="3240"/>
            <w:vAlign w:val="center"/>
            <w:shd w:fill="FFFFFF"/>
          </w:tcPr>
          <w:p>
            <w:pPr>
              <w:spacing w:after="20"/>
            </w:pPr>
            <w:r/>
            <w:r>
              <w:rPr>
                <w:rFonts w:ascii="Aptos" w:hAnsi="Aptos"/>
                <w:b w:val="0"/>
                <w:sz w:val="15"/>
              </w:rPr>
              <w:t>SAP/channel owners; before status design approval.</w:t>
            </w:r>
          </w:p>
        </w:tc>
      </w:tr>
      <w:tr>
        <w:tc>
          <w:tcPr>
            <w:tcW w:type="dxa" w:w="2520"/>
            <w:vAlign w:val="center"/>
            <w:shd w:fill="F1F6F8"/>
          </w:tcPr>
          <w:p>
            <w:pPr>
              <w:spacing w:after="20"/>
            </w:pPr>
            <w:r/>
            <w:r>
              <w:rPr>
                <w:rFonts w:ascii="Aptos" w:hAnsi="Aptos"/>
                <w:b w:val="0"/>
                <w:sz w:val="15"/>
              </w:rPr>
              <w:t>Business key and duplicate policy</w:t>
            </w:r>
          </w:p>
        </w:tc>
        <w:tc>
          <w:tcPr>
            <w:tcW w:type="dxa" w:w="4464"/>
            <w:vAlign w:val="center"/>
            <w:shd w:fill="F1F6F8"/>
          </w:tcPr>
          <w:p>
            <w:pPr>
              <w:spacing w:after="20"/>
            </w:pPr>
            <w:r/>
            <w:r>
              <w:rPr>
                <w:rFonts w:ascii="Aptos" w:hAnsi="Aptos"/>
                <w:b w:val="0"/>
                <w:sz w:val="15"/>
              </w:rPr>
              <w:t>Prevents duplicate sales orders during retries or lost acknowledgements.</w:t>
            </w:r>
          </w:p>
        </w:tc>
        <w:tc>
          <w:tcPr>
            <w:tcW w:type="dxa" w:w="3240"/>
            <w:vAlign w:val="center"/>
            <w:shd w:fill="F1F6F8"/>
          </w:tcPr>
          <w:p>
            <w:pPr>
              <w:spacing w:after="20"/>
            </w:pPr>
            <w:r/>
            <w:r>
              <w:rPr>
                <w:rFonts w:ascii="Aptos" w:hAnsi="Aptos"/>
                <w:b w:val="0"/>
                <w:sz w:val="15"/>
              </w:rPr>
              <w:t>Business + SAP owners; before build/test.</w:t>
            </w:r>
          </w:p>
        </w:tc>
      </w:tr>
      <w:tr>
        <w:tc>
          <w:tcPr>
            <w:tcW w:type="dxa" w:w="2520"/>
            <w:vAlign w:val="center"/>
            <w:shd w:fill="FFFFFF"/>
          </w:tcPr>
          <w:p>
            <w:pPr>
              <w:spacing w:after="20"/>
            </w:pPr>
            <w:r/>
            <w:r>
              <w:rPr>
                <w:rFonts w:ascii="Aptos" w:hAnsi="Aptos"/>
                <w:b w:val="0"/>
                <w:sz w:val="15"/>
              </w:rPr>
              <w:t>Data classification and retention</w:t>
            </w:r>
          </w:p>
        </w:tc>
        <w:tc>
          <w:tcPr>
            <w:tcW w:type="dxa" w:w="4464"/>
            <w:vAlign w:val="center"/>
            <w:shd w:fill="FFFFFF"/>
          </w:tcPr>
          <w:p>
            <w:pPr>
              <w:spacing w:after="20"/>
            </w:pPr>
            <w:r/>
            <w:r>
              <w:rPr>
                <w:rFonts w:ascii="Aptos" w:hAnsi="Aptos"/>
                <w:b w:val="0"/>
                <w:sz w:val="15"/>
              </w:rPr>
              <w:t>Controls payload fields, logging, access, residency, and deletion.</w:t>
            </w:r>
          </w:p>
        </w:tc>
        <w:tc>
          <w:tcPr>
            <w:tcW w:type="dxa" w:w="3240"/>
            <w:vAlign w:val="center"/>
            <w:shd w:fill="FFFFFF"/>
          </w:tcPr>
          <w:p>
            <w:pPr>
              <w:spacing w:after="20"/>
            </w:pPr>
            <w:r/>
            <w:r>
              <w:rPr>
                <w:rFonts w:ascii="Aptos" w:hAnsi="Aptos"/>
                <w:b w:val="0"/>
                <w:sz w:val="15"/>
              </w:rPr>
              <w:t>Security/privacy owner; before connectivity.</w:t>
            </w:r>
          </w:p>
        </w:tc>
      </w:tr>
      <w:tr>
        <w:tc>
          <w:tcPr>
            <w:tcW w:type="dxa" w:w="2520"/>
            <w:vAlign w:val="center"/>
            <w:shd w:fill="F1F6F8"/>
          </w:tcPr>
          <w:p>
            <w:pPr>
              <w:spacing w:after="20"/>
            </w:pPr>
            <w:r/>
            <w:r>
              <w:rPr>
                <w:rFonts w:ascii="Aptos" w:hAnsi="Aptos"/>
                <w:b w:val="0"/>
                <w:sz w:val="15"/>
              </w:rPr>
              <w:t>Volumes and service targets</w:t>
            </w:r>
          </w:p>
        </w:tc>
        <w:tc>
          <w:tcPr>
            <w:tcW w:type="dxa" w:w="4464"/>
            <w:vAlign w:val="center"/>
            <w:shd w:fill="F1F6F8"/>
          </w:tcPr>
          <w:p>
            <w:pPr>
              <w:spacing w:after="20"/>
            </w:pPr>
            <w:r/>
            <w:r>
              <w:rPr>
                <w:rFonts w:ascii="Aptos" w:hAnsi="Aptos"/>
                <w:b w:val="0"/>
                <w:sz w:val="15"/>
              </w:rPr>
              <w:t>Drives sizing, concurrency, throttling, and performance test expectations.</w:t>
            </w:r>
          </w:p>
        </w:tc>
        <w:tc>
          <w:tcPr>
            <w:tcW w:type="dxa" w:w="3240"/>
            <w:vAlign w:val="center"/>
            <w:shd w:fill="F1F6F8"/>
          </w:tcPr>
          <w:p>
            <w:pPr>
              <w:spacing w:after="20"/>
            </w:pPr>
            <w:r/>
            <w:r>
              <w:rPr>
                <w:rFonts w:ascii="Aptos" w:hAnsi="Aptos"/>
                <w:b w:val="0"/>
                <w:sz w:val="15"/>
              </w:rPr>
              <w:t>Business + platform owners; before capacity approval.</w:t>
            </w:r>
          </w:p>
        </w:tc>
      </w:tr>
    </w:tbl>
    <w:p>
      <w:pPr>
        <w:spacing w:after="20"/>
      </w:pPr>
    </w:p>
    <w:p>
      <w:pPr>
        <w:pStyle w:val="Heading1"/>
      </w:pPr>
      <w:r>
        <w:t>10. Traceability to Week 3 testing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888"/>
            <w:vAlign w:val="center"/>
            <w:shd w:fill="15324B"/>
          </w:tcPr>
          <w:p>
            <w:pPr>
              <w:spacing w:after="20"/>
            </w:pPr>
            <w:r/>
            <w:r>
              <w:rPr>
                <w:rFonts w:ascii="Aptos" w:hAnsi="Aptos"/>
                <w:b/>
                <w:color w:val="FFFFFF"/>
                <w:sz w:val="15"/>
              </w:rPr>
              <w:t>REQUIREMENT / DESIGN</w:t>
            </w:r>
          </w:p>
        </w:tc>
        <w:tc>
          <w:tcPr>
            <w:tcW w:type="dxa" w:w="6336"/>
            <w:vAlign w:val="center"/>
            <w:shd w:fill="15324B"/>
          </w:tcPr>
          <w:p>
            <w:pPr>
              <w:spacing w:after="20"/>
            </w:pPr>
            <w:r/>
            <w:r>
              <w:rPr>
                <w:rFonts w:ascii="Aptos" w:hAnsi="Aptos"/>
                <w:b/>
                <w:color w:val="FFFFFF"/>
                <w:sz w:val="15"/>
              </w:rPr>
              <w:t>TEST FOCUS</w:t>
            </w:r>
          </w:p>
        </w:tc>
      </w:tr>
      <w:tr>
        <w:tc>
          <w:tcPr>
            <w:tcW w:type="dxa" w:w="3888"/>
            <w:vAlign w:val="center"/>
            <w:shd w:fill="F1F6F8"/>
          </w:tcPr>
          <w:p>
            <w:pPr>
              <w:spacing w:after="20"/>
            </w:pPr>
            <w:r/>
            <w:r>
              <w:rPr>
                <w:rFonts w:ascii="Aptos" w:hAnsi="Aptos"/>
                <w:b w:val="0"/>
                <w:sz w:val="15"/>
              </w:rPr>
              <w:t>I-01 create order with stable external reference</w:t>
            </w:r>
          </w:p>
        </w:tc>
        <w:tc>
          <w:tcPr>
            <w:tcW w:type="dxa" w:w="6336"/>
            <w:vAlign w:val="center"/>
            <w:shd w:fill="F1F6F8"/>
          </w:tcPr>
          <w:p>
            <w:pPr>
              <w:spacing w:after="20"/>
            </w:pPr>
            <w:r/>
            <w:r>
              <w:rPr>
                <w:rFonts w:ascii="Aptos" w:hAnsi="Aptos"/>
                <w:b w:val="0"/>
                <w:sz w:val="15"/>
              </w:rPr>
              <w:t>Valid order; missing/invalid mandatory fields; unsupported code; repeat submission; ambiguous timeout and safe lookup.</w:t>
            </w:r>
          </w:p>
        </w:tc>
      </w:tr>
      <w:tr>
        <w:tc>
          <w:tcPr>
            <w:tcW w:type="dxa" w:w="3888"/>
            <w:vAlign w:val="center"/>
            <w:shd w:fill="FFFFFF"/>
          </w:tcPr>
          <w:p>
            <w:pPr>
              <w:spacing w:after="20"/>
            </w:pPr>
            <w:r/>
            <w:r>
              <w:rPr>
                <w:rFonts w:ascii="Aptos" w:hAnsi="Aptos"/>
                <w:b w:val="0"/>
                <w:sz w:val="15"/>
              </w:rPr>
              <w:t>I-02 outcome response</w:t>
            </w:r>
          </w:p>
        </w:tc>
        <w:tc>
          <w:tcPr>
            <w:tcW w:type="dxa" w:w="6336"/>
            <w:vAlign w:val="center"/>
            <w:shd w:fill="FFFFFF"/>
          </w:tcPr>
          <w:p>
            <w:pPr>
              <w:spacing w:after="20"/>
            </w:pPr>
            <w:r/>
            <w:r>
              <w:rPr>
                <w:rFonts w:ascii="Aptos" w:hAnsi="Aptos"/>
                <w:b w:val="0"/>
                <w:sz w:val="15"/>
              </w:rPr>
              <w:t>Accepted vs rejected semantics; safe message; lost response; correlation and reference consistency.</w:t>
            </w:r>
          </w:p>
        </w:tc>
      </w:tr>
      <w:tr>
        <w:tc>
          <w:tcPr>
            <w:tcW w:type="dxa" w:w="3888"/>
            <w:vAlign w:val="center"/>
            <w:shd w:fill="F1F6F8"/>
          </w:tcPr>
          <w:p>
            <w:pPr>
              <w:spacing w:after="20"/>
            </w:pPr>
            <w:r/>
            <w:r>
              <w:rPr>
                <w:rFonts w:ascii="Aptos" w:hAnsi="Aptos"/>
                <w:b w:val="0"/>
                <w:sz w:val="15"/>
              </w:rPr>
              <w:t>I-03 status update</w:t>
            </w:r>
          </w:p>
        </w:tc>
        <w:tc>
          <w:tcPr>
            <w:tcW w:type="dxa" w:w="6336"/>
            <w:vAlign w:val="center"/>
            <w:shd w:fill="F1F6F8"/>
          </w:tcPr>
          <w:p>
            <w:pPr>
              <w:spacing w:after="20"/>
            </w:pPr>
            <w:r/>
            <w:r>
              <w:rPr>
                <w:rFonts w:ascii="Aptos" w:hAnsi="Aptos"/>
                <w:b w:val="0"/>
                <w:sz w:val="15"/>
              </w:rPr>
              <w:t>Allowed transition; duplicate/out-of-order update; delayed delivery; missing target order; acknowledgement.</w:t>
            </w:r>
          </w:p>
        </w:tc>
      </w:tr>
      <w:tr>
        <w:tc>
          <w:tcPr>
            <w:tcW w:type="dxa" w:w="3888"/>
            <w:vAlign w:val="center"/>
            <w:shd w:fill="FFFFFF"/>
          </w:tcPr>
          <w:p>
            <w:pPr>
              <w:spacing w:after="20"/>
            </w:pPr>
            <w:r/>
            <w:r>
              <w:rPr>
                <w:rFonts w:ascii="Aptos" w:hAnsi="Aptos"/>
                <w:b w:val="0"/>
                <w:sz w:val="15"/>
              </w:rPr>
              <w:t>Security controls</w:t>
            </w:r>
          </w:p>
        </w:tc>
        <w:tc>
          <w:tcPr>
            <w:tcW w:type="dxa" w:w="6336"/>
            <w:vAlign w:val="center"/>
            <w:shd w:fill="FFFFFF"/>
          </w:tcPr>
          <w:p>
            <w:pPr>
              <w:spacing w:after="20"/>
            </w:pPr>
            <w:r/>
            <w:r>
              <w:rPr>
                <w:rFonts w:ascii="Aptos" w:hAnsi="Aptos"/>
                <w:b w:val="0"/>
                <w:sz w:val="15"/>
              </w:rPr>
              <w:t>Unauthorized identity; expired/invalid credential in authorized test environment; over-size/malformed payload; sensitive data absent from logs.</w:t>
            </w:r>
          </w:p>
        </w:tc>
      </w:tr>
      <w:tr>
        <w:tc>
          <w:tcPr>
            <w:tcW w:type="dxa" w:w="3888"/>
            <w:vAlign w:val="center"/>
            <w:shd w:fill="F1F6F8"/>
          </w:tcPr>
          <w:p>
            <w:pPr>
              <w:spacing w:after="20"/>
            </w:pPr>
            <w:r/>
            <w:r>
              <w:rPr>
                <w:rFonts w:ascii="Aptos" w:hAnsi="Aptos"/>
                <w:b w:val="0"/>
                <w:sz w:val="15"/>
              </w:rPr>
              <w:t>Retry and recovery</w:t>
            </w:r>
          </w:p>
        </w:tc>
        <w:tc>
          <w:tcPr>
            <w:tcW w:type="dxa" w:w="6336"/>
            <w:vAlign w:val="center"/>
            <w:shd w:fill="F1F6F8"/>
          </w:tcPr>
          <w:p>
            <w:pPr>
              <w:spacing w:after="20"/>
            </w:pPr>
            <w:r/>
            <w:r>
              <w:rPr>
                <w:rFonts w:ascii="Aptos" w:hAnsi="Aptos"/>
                <w:b w:val="0"/>
                <w:sz w:val="15"/>
              </w:rPr>
              <w:t>Transient endpoint failure; bounded retry; exhaustion/alert; controlled replay; reconciliation catches missing and duplicate state.</w:t>
            </w:r>
          </w:p>
        </w:tc>
      </w:tr>
      <w:tr>
        <w:tc>
          <w:tcPr>
            <w:tcW w:type="dxa" w:w="3888"/>
            <w:vAlign w:val="center"/>
            <w:shd w:fill="FFFFFF"/>
          </w:tcPr>
          <w:p>
            <w:pPr>
              <w:spacing w:after="20"/>
            </w:pPr>
            <w:r/>
            <w:r>
              <w:rPr>
                <w:rFonts w:ascii="Aptos" w:hAnsi="Aptos"/>
                <w:b w:val="0"/>
                <w:sz w:val="15"/>
              </w:rPr>
              <w:t>Operational monitoring</w:t>
            </w:r>
          </w:p>
        </w:tc>
        <w:tc>
          <w:tcPr>
            <w:tcW w:type="dxa" w:w="6336"/>
            <w:vAlign w:val="center"/>
            <w:shd w:fill="FFFFFF"/>
          </w:tcPr>
          <w:p>
            <w:pPr>
              <w:spacing w:after="20"/>
            </w:pPr>
            <w:r/>
            <w:r>
              <w:rPr>
                <w:rFonts w:ascii="Aptos" w:hAnsi="Aptos"/>
                <w:b w:val="0"/>
                <w:sz w:val="15"/>
              </w:rPr>
              <w:t>Trace lookup; alert threshold; queue-age escalation; role-appropriate access; audit of manual replay.</w:t>
            </w:r>
          </w:p>
        </w:tc>
      </w:tr>
    </w:tbl>
    <w:p>
      <w:pPr>
        <w:spacing w:after="20"/>
      </w:pPr>
    </w:p>
    <w:p>
      <w:pPr>
        <w:pStyle w:val="Heading1"/>
      </w:pPr>
      <w:r>
        <w:t>Conclusion</w:t>
      </w:r>
    </w:p>
    <w:p>
      <w:r>
        <w:t>A contract-first design with a protected API boundary, a governed integration layer, explicit business identifiers, duplicate-safe processing, controlled recovery, and reconciliation is a sound proposed direction for the fictional case. SAP’s published sales API and Cloud Integration capabilities provide candidates to assess, not automatic proof of fit. Architecture approval should remain gated on the actual landscape, supported release-specific API behavior, security and privacy review, volume expectations, receiver idempotency, and operating ownership. All diagrams, interface examples, and controls in this report are proposed; none represent a deployed or tested system.</w:t>
      </w:r>
    </w:p>
    <w:p>
      <w:pPr>
        <w:pStyle w:val="Heading1"/>
      </w:pPr>
      <w:r>
        <w:t>References</w:t>
      </w:r>
    </w:p>
    <w:p>
      <w:pPr>
        <w:spacing w:after="60"/>
      </w:pPr>
      <w:r>
        <w:t xml:space="preserve">1. SAP Help Portal. “Sales Order (A2X, OData V2).” SAP S/4HANA Cloud Public Edition, APIs for Sales. Accessed 30 October 2026. </w:t>
      </w:r>
      <w:r>
        <w:t>https://help.sap.com/docs/SAP_S4HANA_CLOUD/03c04db2a7434731b7fe21dca77440da/00d244581efca007e10000000a441470.html</w:t>
      </w:r>
    </w:p>
    <w:p>
      <w:pPr>
        <w:spacing w:after="60"/>
      </w:pPr>
      <w:r>
        <w:t xml:space="preserve">2. SAP Help Portal. “Operations for Sales Order (A2X, OData V2).” SAP S/4HANA Cloud Public Edition. Accessed 30 October 2026. </w:t>
      </w:r>
      <w:r>
        <w:t>https://help.sap.com/docs/SAP_S4HANA_CLOUD/03c04db2a7434731b7fe21dca77440da/17f4a94ed364458ba96b399d43fd1779.html</w:t>
      </w:r>
    </w:p>
    <w:p>
      <w:pPr>
        <w:spacing w:after="60"/>
      </w:pPr>
      <w:r>
        <w:t xml:space="preserve">3. SAP Help Portal. “Decoupling via JMS Queue.” SAP Integration Suite. Accessed 30 October 2026. </w:t>
      </w:r>
      <w:r>
        <w:t>https://help.sap.com/docs/integration-suite/sap-integration-suite/decoupling-via-jms-queue</w:t>
      </w:r>
    </w:p>
    <w:p>
      <w:pPr>
        <w:spacing w:after="60"/>
      </w:pPr>
      <w:r>
        <w:t xml:space="preserve">4. SAP Help Portal. “Quality of Service Exactly Once.” SAP Integration Suite. Accessed 30 October 2026. </w:t>
      </w:r>
      <w:r>
        <w:t>https://help.sap.com/docs/integration-suite/sap-integration-suite/quality-of-service-exactly-once</w:t>
      </w:r>
    </w:p>
    <w:p>
      <w:pPr>
        <w:spacing w:after="60"/>
      </w:pPr>
      <w:r>
        <w:t xml:space="preserve">5. SAP Help Portal. “Connectivity Options and Communication Security.” SAP Cloud Integration. Accessed 30 October 2026. </w:t>
      </w:r>
      <w:r>
        <w:t>https://help.sap.com/docs/cloud-integration/sap-cloud-integration/connectivity-options-and-communication-security</w:t>
      </w:r>
    </w:p>
    <w:p>
      <w:pPr>
        <w:spacing w:after="60"/>
      </w:pPr>
      <w:r>
        <w:t xml:space="preserve">6. SAP Help Portal. “Authentication and Authorization Options (Inbound).” SAP Cloud Integration. Accessed 30 October 2026. </w:t>
      </w:r>
      <w:r>
        <w:t>https://help.sap.com/docs/cloud-integration/sap-cloud-integration/authentication-and-authorization-options-inbound</w:t>
      </w:r>
    </w:p>
    <w:p>
      <w:pPr>
        <w:spacing w:after="60"/>
      </w:pPr>
      <w:r>
        <w:t xml:space="preserve">7. SAP Help Portal. “Introduction.” SAP Cloud Integration. Protocol and adapter overview. Accessed 30 October 2026. </w:t>
      </w:r>
      <w:r>
        <w:t>https://help.sap.com/docs/cloud-integration/sap-cloud-integration/introduction</w:t>
      </w:r>
    </w:p>
    <w:p>
      <w:pPr>
        <w:spacing w:after="60"/>
      </w:pPr>
      <w:r>
        <w:t xml:space="preserve">8. Y </w:t>
      </w:r>
      <w:r>
        <w:t>u</w:t>
      </w:r>
    </w:p>
    <w:sectPr w:rsidR="00FC693F" w:rsidRPr="0006063C" w:rsidSect="00034616">
      <w:headerReference w:type="default" r:id="rId9"/>
      <w:footerReference w:type="default" r:id="rId10"/>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7D"/>
        <w:sz w:val="16"/>
      </w:rPr>
      <w:t>Educational case study  •  Proposed logical design  •  No live SAP system access represented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E7D"/>
        <w:sz w:val="16"/>
      </w:rPr>
      <w:t>JUNIOR SAP SD INTEGRATION SPECIALIST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b w:val="0"/>
      <w:color w:val="2D37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Display" w:hAnsi="Aptos Display"/>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697A"/>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669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b/>
      <w:color w:val="15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the Technical Integration Blueprint</dc:title>
  <dc:subject>Week 2 SAP SD integration blueprint</dc:subject>
  <dc:creator>Portfolio project author</dc:creator>
  <cp:keywords>SAP SD, OData, integration blueprint, illustrative case study</cp:keywords>
  <dc:description>generated by python-docx</dc:description>
  <cp:lastModifiedBy/>
  <cp:revision>1</cp:revision>
  <dcterms:created xsi:type="dcterms:W3CDTF">2013-12-23T23:15:00Z</dcterms:created>
  <dcterms:modified xsi:type="dcterms:W3CDTF">2013-12-23T23:15:00Z</dcterms:modified>
  <cp:category/>
</cp:coreProperties>
</file>