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pPr>
      <w:r>
        <w:rPr>
          <w:b/>
          <w:color w:val="16697A"/>
          <w:sz w:val="20"/>
        </w:rPr>
        <w:t>WEEK 3  /  TEST DESIGN</w:t>
      </w:r>
    </w:p>
    <w:p>
      <w:pPr>
        <w:pStyle w:val="Title"/>
      </w:pPr>
      <w:r>
        <w:t>Development and Documentation of Integration Test Scenarios</w:t>
      </w:r>
    </w:p>
    <w:p>
      <w:r>
        <w:t>Traceable test approach, synthetic data, expected results, environment, and contingency</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592"/>
            <w:vAlign w:val="center"/>
            <w:shd w:fill="15324B"/>
          </w:tcPr>
          <w:p>
            <w:pPr>
              <w:spacing w:after="20"/>
            </w:pPr>
            <w:r/>
            <w:r>
              <w:rPr>
                <w:rFonts w:ascii="Aptos" w:hAnsi="Aptos"/>
                <w:b/>
                <w:color w:val="FFFFFF"/>
                <w:sz w:val="15"/>
              </w:rPr>
              <w:t>REPORT DETAILS</w:t>
            </w:r>
          </w:p>
        </w:tc>
        <w:tc>
          <w:tcPr>
            <w:tcW w:type="dxa" w:w="7200"/>
            <w:vAlign w:val="center"/>
            <w:shd w:fill="15324B"/>
          </w:tcPr>
          <w:p>
            <w:pPr>
              <w:spacing w:after="20"/>
            </w:pPr>
            <w:r/>
            <w:r>
              <w:rPr>
                <w:rFonts w:ascii="Aptos" w:hAnsi="Aptos"/>
                <w:b/>
                <w:color w:val="FFFFFF"/>
                <w:sz w:val="15"/>
              </w:rPr>
              <w:t>VALUE</w:t>
            </w:r>
          </w:p>
        </w:tc>
      </w:tr>
      <w:tr>
        <w:tc>
          <w:tcPr>
            <w:tcW w:type="dxa" w:w="2592"/>
            <w:vAlign w:val="center"/>
            <w:shd w:fill="F1F6F8"/>
          </w:tcPr>
          <w:p>
            <w:pPr>
              <w:spacing w:after="20"/>
            </w:pPr>
            <w:r/>
            <w:r>
              <w:rPr>
                <w:rFonts w:ascii="Aptos" w:hAnsi="Aptos"/>
                <w:b w:val="0"/>
                <w:sz w:val="14"/>
              </w:rPr>
              <w:t>Program</w:t>
            </w:r>
          </w:p>
        </w:tc>
        <w:tc>
          <w:tcPr>
            <w:tcW w:type="dxa" w:w="7200"/>
            <w:vAlign w:val="center"/>
            <w:shd w:fill="F1F6F8"/>
          </w:tcPr>
          <w:p>
            <w:pPr>
              <w:spacing w:after="20"/>
            </w:pPr>
            <w:r/>
            <w:r>
              <w:rPr>
                <w:rFonts w:ascii="Aptos" w:hAnsi="Aptos"/>
                <w:b w:val="0"/>
                <w:sz w:val="14"/>
              </w:rPr>
              <w:t>Junior SAP SD Integration Specialist virtual internship</w:t>
            </w:r>
          </w:p>
        </w:tc>
      </w:tr>
      <w:tr>
        <w:tc>
          <w:tcPr>
            <w:tcW w:type="dxa" w:w="2592"/>
            <w:vAlign w:val="center"/>
            <w:shd w:fill="FFFFFF"/>
          </w:tcPr>
          <w:p>
            <w:pPr>
              <w:spacing w:after="20"/>
            </w:pPr>
            <w:r/>
            <w:r>
              <w:rPr>
                <w:rFonts w:ascii="Aptos" w:hAnsi="Aptos"/>
                <w:b w:val="0"/>
                <w:sz w:val="14"/>
              </w:rPr>
              <w:t>Task period</w:t>
            </w:r>
          </w:p>
        </w:tc>
        <w:tc>
          <w:tcPr>
            <w:tcW w:type="dxa" w:w="7200"/>
            <w:vAlign w:val="center"/>
            <w:shd w:fill="FFFFFF"/>
          </w:tcPr>
          <w:p>
            <w:pPr>
              <w:spacing w:after="20"/>
            </w:pPr>
            <w:r/>
            <w:r>
              <w:rPr>
                <w:rFonts w:ascii="Aptos" w:hAnsi="Aptos"/>
                <w:b w:val="0"/>
                <w:sz w:val="14"/>
              </w:rPr>
              <w:t>13–20 November 2026 (Week 3 of 30 October–27 November 2026)</w:t>
            </w:r>
          </w:p>
        </w:tc>
      </w:tr>
      <w:tr>
        <w:tc>
          <w:tcPr>
            <w:tcW w:type="dxa" w:w="2592"/>
            <w:vAlign w:val="center"/>
            <w:shd w:fill="F1F6F8"/>
          </w:tcPr>
          <w:p>
            <w:pPr>
              <w:spacing w:after="20"/>
            </w:pPr>
            <w:r/>
            <w:r>
              <w:rPr>
                <w:rFonts w:ascii="Aptos" w:hAnsi="Aptos"/>
                <w:b w:val="0"/>
                <w:sz w:val="14"/>
              </w:rPr>
              <w:t>Prepared</w:t>
            </w:r>
          </w:p>
        </w:tc>
        <w:tc>
          <w:tcPr>
            <w:tcW w:type="dxa" w:w="7200"/>
            <w:vAlign w:val="center"/>
            <w:shd w:fill="F1F6F8"/>
          </w:tcPr>
          <w:p>
            <w:pPr>
              <w:spacing w:after="20"/>
            </w:pPr>
            <w:r/>
            <w:r>
              <w:rPr>
                <w:rFonts w:ascii="Aptos" w:hAnsi="Aptos"/>
                <w:b w:val="0"/>
                <w:sz w:val="14"/>
              </w:rPr>
              <w:t>30 October 2026</w:t>
            </w:r>
          </w:p>
        </w:tc>
      </w:tr>
      <w:tr>
        <w:tc>
          <w:tcPr>
            <w:tcW w:type="dxa" w:w="2592"/>
            <w:vAlign w:val="center"/>
            <w:shd w:fill="FFFFFF"/>
          </w:tcPr>
          <w:p>
            <w:pPr>
              <w:spacing w:after="20"/>
            </w:pPr>
            <w:r/>
            <w:r>
              <w:rPr>
                <w:rFonts w:ascii="Aptos" w:hAnsi="Aptos"/>
                <w:b w:val="0"/>
                <w:sz w:val="14"/>
              </w:rPr>
              <w:t>Version</w:t>
            </w:r>
          </w:p>
        </w:tc>
        <w:tc>
          <w:tcPr>
            <w:tcW w:type="dxa" w:w="7200"/>
            <w:vAlign w:val="center"/>
            <w:shd w:fill="FFFFFF"/>
          </w:tcPr>
          <w:p>
            <w:pPr>
              <w:spacing w:after="20"/>
            </w:pPr>
            <w:r/>
            <w:r>
              <w:rPr>
                <w:rFonts w:ascii="Aptos" w:hAnsi="Aptos"/>
                <w:b w:val="0"/>
                <w:sz w:val="14"/>
              </w:rPr>
              <w:t>1.0 — portfolio case study</w:t>
            </w:r>
          </w:p>
        </w:tc>
      </w:tr>
      <w:tr>
        <w:tc>
          <w:tcPr>
            <w:tcW w:type="dxa" w:w="2592"/>
            <w:vAlign w:val="center"/>
            <w:shd w:fill="F1F6F8"/>
          </w:tcPr>
          <w:p>
            <w:pPr>
              <w:spacing w:after="20"/>
            </w:pPr>
            <w:r/>
            <w:r>
              <w:rPr>
                <w:rFonts w:ascii="Aptos" w:hAnsi="Aptos"/>
                <w:b w:val="0"/>
                <w:sz w:val="14"/>
              </w:rPr>
              <w:t>System context</w:t>
            </w:r>
          </w:p>
        </w:tc>
        <w:tc>
          <w:tcPr>
            <w:tcW w:type="dxa" w:w="7200"/>
            <w:vAlign w:val="center"/>
            <w:shd w:fill="F1F6F8"/>
          </w:tcPr>
          <w:p>
            <w:pPr>
              <w:spacing w:after="20"/>
            </w:pPr>
            <w:r/>
            <w:r>
              <w:rPr>
                <w:rFonts w:ascii="Aptos" w:hAnsi="Aptos"/>
                <w:b w:val="0"/>
                <w:sz w:val="14"/>
              </w:rPr>
              <w:t>Proposed interface from external sales channel through integration layer to SAP SD</w:t>
            </w:r>
          </w:p>
        </w:tc>
      </w:tr>
      <w:tr>
        <w:tc>
          <w:tcPr>
            <w:tcW w:type="dxa" w:w="2592"/>
            <w:vAlign w:val="center"/>
            <w:shd w:fill="FFFFFF"/>
          </w:tcPr>
          <w:p>
            <w:pPr>
              <w:spacing w:after="20"/>
            </w:pPr>
            <w:r/>
            <w:r>
              <w:rPr>
                <w:rFonts w:ascii="Aptos" w:hAnsi="Aptos"/>
                <w:b w:val="0"/>
                <w:sz w:val="14"/>
              </w:rPr>
              <w:t>Estimated task effort</w:t>
            </w:r>
          </w:p>
        </w:tc>
        <w:tc>
          <w:tcPr>
            <w:tcW w:type="dxa" w:w="7200"/>
            <w:vAlign w:val="center"/>
            <w:shd w:fill="FFFFFF"/>
          </w:tcPr>
          <w:p>
            <w:pPr>
              <w:spacing w:after="20"/>
            </w:pPr>
            <w:r/>
            <w:r>
              <w:rPr>
                <w:rFonts w:ascii="Aptos" w:hAnsi="Aptos"/>
                <w:b w:val="0"/>
                <w:sz w:val="14"/>
              </w:rPr>
              <w:t>30–35 hours expected by the task brief; completion hours not asserted</w:t>
            </w:r>
          </w:p>
        </w:tc>
      </w:tr>
    </w:tbl>
    <w:p>
      <w:pPr>
        <w:spacing w:after="20"/>
      </w:pPr>
    </w:p>
    <w:p>
      <w:pPr>
        <w:pStyle w:val="Heading2"/>
      </w:pPr>
      <w:r>
        <w:t>Execution status</w:t>
      </w:r>
    </w:p>
    <w:p>
      <w:r>
        <w:t>This document defines planned cases and expected outcomes. No SAP system, integration flow, endpoint, or test environment was accessed; no case is marked passed or failed. Execute only in an authorized non-production environment with approved synthetic data and record evidence, actual results, defects, and retests before reporting execution status.</w:t>
      </w:r>
    </w:p>
    <w:p>
      <w:r>
        <w:br w:type="page"/>
      </w:r>
    </w:p>
    <w:p>
      <w:pPr>
        <w:pStyle w:val="Heading1"/>
      </w:pPr>
      <w:r>
        <w:t>Executive summary</w:t>
      </w:r>
    </w:p>
    <w:p>
      <w:r>
        <w:t>This test plan converts the Week 2 proposed order-submission and status-update blueprint into a traceable set of integration scenarios. It covers nominal processing, data and schema rejection, duplicate requests, uncertain acknowledgements, transient outages, retry exhaustion, replay, status mapping, reconciliation, access controls, and operational monitoring. Tests use fictional identifiers and synthetic values only.</w:t>
      </w:r>
    </w:p>
    <w:p>
      <w:r>
        <w:t>The plan assumes an external sales channel, a protected API boundary, an integration layer, and a target SAP SD process. The concrete endpoint, middleware, event source, authentication pattern, and test tooling must be selected and confirmed by the authorized platform owners. The cases are contract-level design material until an actual test environment and approved API contract exist.</w:t>
      </w:r>
    </w:p>
    <w:p>
      <w:r>
        <w:t>The expected task effort is approximately 30–35 hours per the supplied internship brief. This does not state that those hours have been completed. Test execution, defects, coverage, performance measures, and system results remain unreported.</w:t>
      </w:r>
    </w:p>
    <w:p>
      <w:pPr>
        <w:pStyle w:val="Heading1"/>
      </w:pPr>
      <w:r>
        <w:t>1. Objectives, scope, and test principles</w:t>
      </w:r>
    </w:p>
    <w:p>
      <w:r>
        <w:t>The objective is to plan detailed integration test scenarios for the proposed SAP SD exchange, including environment setup, step-by-step actions, expected results, success criteria, risk mitigation, and post-test analysis. Test outcomes should demonstrate that requirements are validated at the system boundary and that failures can be contained and reconciled.</w:t>
      </w:r>
    </w:p>
    <w:p>
      <w:pPr>
        <w:pStyle w:val="Heading2"/>
      </w:pPr>
      <w:r>
        <w:t>Scope</w:t>
      </w:r>
    </w:p>
    <w:p>
      <w:pPr>
        <w:pStyle w:val="ListBullet"/>
        <w:spacing w:after="40"/>
      </w:pPr>
      <w:r>
        <w:t>Order submission from a channel through the integration boundary toward an approved SAP SD interface.</w:t>
      </w:r>
    </w:p>
    <w:p>
      <w:pPr>
        <w:pStyle w:val="ListBullet"/>
        <w:spacing w:after="40"/>
      </w:pPr>
      <w:r>
        <w:t>Technical receipt versus business acceptance semantics and response correlation.</w:t>
      </w:r>
    </w:p>
    <w:p>
      <w:pPr>
        <w:pStyle w:val="ListBullet"/>
        <w:spacing w:after="40"/>
      </w:pPr>
      <w:r>
        <w:t>Status-update mapping and delivery, subject to confirmation of the actual status source.</w:t>
      </w:r>
    </w:p>
    <w:p>
      <w:pPr>
        <w:pStyle w:val="ListBullet"/>
        <w:spacing w:after="40"/>
      </w:pPr>
      <w:r>
        <w:t>Validation, duplicate safety, transient retry, timeout ambiguity, exception ownership, controlled replay, and reconciliation.</w:t>
      </w:r>
    </w:p>
    <w:p>
      <w:pPr>
        <w:pStyle w:val="ListBullet"/>
        <w:spacing w:after="40"/>
      </w:pPr>
      <w:r>
        <w:t>Security and access checks, safe diagnostics, monitoring, and operational recovery planning.</w:t>
      </w:r>
    </w:p>
    <w:p>
      <w:pPr>
        <w:pStyle w:val="Heading2"/>
      </w:pPr>
      <w:r>
        <w:t>Out of scope</w:t>
      </w:r>
    </w:p>
    <w:p>
      <w:pPr>
        <w:pStyle w:val="ListBullet"/>
        <w:spacing w:after="40"/>
      </w:pPr>
      <w:r>
        <w:t>Execution against a live or production SAP environment; production load generation; real customer or company data.</w:t>
      </w:r>
    </w:p>
    <w:p>
      <w:pPr>
        <w:pStyle w:val="ListBullet"/>
        <w:spacing w:after="40"/>
      </w:pPr>
      <w:r>
        <w:t>SAP configuration, code deployment, penetration testing, certification, or formal compliance attestation.</w:t>
      </w:r>
    </w:p>
    <w:p>
      <w:pPr>
        <w:pStyle w:val="ListBullet"/>
        <w:spacing w:after="40"/>
      </w:pPr>
      <w:r>
        <w:t>Tests for interface behavior not confirmed in the eventual approved API contract.</w:t>
      </w:r>
    </w:p>
    <w:p>
      <w:pPr>
        <w:pStyle w:val="Heading2"/>
      </w:pPr>
      <w:r>
        <w:t>Principles</w:t>
      </w:r>
    </w:p>
    <w:p>
      <w:pPr>
        <w:pStyle w:val="ListBullet"/>
        <w:spacing w:after="40"/>
      </w:pPr>
      <w:r>
        <w:t>Every case maps to a requirement or design control and has repeatable setup, steps, expected results, and evidence fields.</w:t>
      </w:r>
    </w:p>
    <w:p>
      <w:pPr>
        <w:pStyle w:val="ListBullet"/>
        <w:spacing w:after="40"/>
      </w:pPr>
      <w:r>
        <w:t>Use only synthetic data, non-production endpoints, and authorized test identities.</w:t>
      </w:r>
    </w:p>
    <w:p>
      <w:pPr>
        <w:pStyle w:val="ListBullet"/>
        <w:spacing w:after="40"/>
      </w:pPr>
      <w:r>
        <w:t>Distinguish HTTP/technical receipt from SAP business order acceptance.</w:t>
      </w:r>
    </w:p>
    <w:p>
      <w:pPr>
        <w:pStyle w:val="ListBullet"/>
        <w:spacing w:after="40"/>
      </w:pPr>
      <w:r>
        <w:t>Retry only classified transient failures; use stable references and verify state before replay after an ambiguous timeout.</w:t>
      </w:r>
    </w:p>
    <w:p>
      <w:pPr>
        <w:pStyle w:val="ListBullet"/>
        <w:spacing w:after="40"/>
      </w:pPr>
      <w:r>
        <w:t>Do not infer “exactly once” from middleware retry alone; verify duplicate behavior at the business receiver.</w:t>
      </w:r>
    </w:p>
    <w:p>
      <w:pPr>
        <w:pStyle w:val="Heading1"/>
      </w:pPr>
      <w:r>
        <w:t>2. Requirements traceability</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800"/>
            <w:vAlign w:val="center"/>
            <w:shd w:fill="15324B"/>
          </w:tcPr>
          <w:p>
            <w:pPr>
              <w:spacing w:after="20"/>
            </w:pPr>
            <w:r/>
            <w:r>
              <w:rPr>
                <w:rFonts w:ascii="Aptos" w:hAnsi="Aptos"/>
                <w:b/>
                <w:color w:val="FFFFFF"/>
                <w:sz w:val="15"/>
              </w:rPr>
              <w:t>REF</w:t>
            </w:r>
          </w:p>
        </w:tc>
        <w:tc>
          <w:tcPr>
            <w:tcW w:type="dxa" w:w="4968"/>
            <w:vAlign w:val="center"/>
            <w:shd w:fill="15324B"/>
          </w:tcPr>
          <w:p>
            <w:pPr>
              <w:spacing w:after="20"/>
            </w:pPr>
            <w:r/>
            <w:r>
              <w:rPr>
                <w:rFonts w:ascii="Aptos" w:hAnsi="Aptos"/>
                <w:b/>
                <w:color w:val="FFFFFF"/>
                <w:sz w:val="15"/>
              </w:rPr>
              <w:t>DESIGN REQUIREMENT</w:t>
            </w:r>
          </w:p>
        </w:tc>
        <w:tc>
          <w:tcPr>
            <w:tcW w:type="dxa" w:w="3456"/>
            <w:vAlign w:val="center"/>
            <w:shd w:fill="15324B"/>
          </w:tcPr>
          <w:p>
            <w:pPr>
              <w:spacing w:after="20"/>
            </w:pPr>
            <w:r/>
            <w:r>
              <w:rPr>
                <w:rFonts w:ascii="Aptos" w:hAnsi="Aptos"/>
                <w:b/>
                <w:color w:val="FFFFFF"/>
                <w:sz w:val="15"/>
              </w:rPr>
              <w:t>COVERAGE IN CASES</w:t>
            </w:r>
          </w:p>
        </w:tc>
      </w:tr>
      <w:tr>
        <w:tc>
          <w:tcPr>
            <w:tcW w:type="dxa" w:w="1800"/>
            <w:vAlign w:val="center"/>
            <w:shd w:fill="F1F6F8"/>
          </w:tcPr>
          <w:p>
            <w:pPr>
              <w:spacing w:after="20"/>
            </w:pPr>
            <w:r/>
            <w:r>
              <w:rPr>
                <w:rFonts w:ascii="Aptos" w:hAnsi="Aptos"/>
                <w:b w:val="0"/>
                <w:sz w:val="14"/>
              </w:rPr>
              <w:t>BR-01 / I-01</w:t>
            </w:r>
          </w:p>
        </w:tc>
        <w:tc>
          <w:tcPr>
            <w:tcW w:type="dxa" w:w="4968"/>
            <w:vAlign w:val="center"/>
            <w:shd w:fill="F1F6F8"/>
          </w:tcPr>
          <w:p>
            <w:pPr>
              <w:spacing w:after="20"/>
            </w:pPr>
            <w:r/>
            <w:r>
              <w:rPr>
                <w:rFonts w:ascii="Aptos" w:hAnsi="Aptos"/>
                <w:b w:val="0"/>
                <w:sz w:val="14"/>
              </w:rPr>
              <w:t>Submit eligible order with stable channel reference and traceable acknowledgement.</w:t>
            </w:r>
          </w:p>
        </w:tc>
        <w:tc>
          <w:tcPr>
            <w:tcW w:type="dxa" w:w="3456"/>
            <w:vAlign w:val="center"/>
            <w:shd w:fill="F1F6F8"/>
          </w:tcPr>
          <w:p>
            <w:pPr>
              <w:spacing w:after="20"/>
            </w:pPr>
            <w:r/>
            <w:r>
              <w:rPr>
                <w:rFonts w:ascii="Aptos" w:hAnsi="Aptos"/>
                <w:b w:val="0"/>
                <w:sz w:val="14"/>
              </w:rPr>
              <w:t>TC-01, 02, 03, 04, 05, 06</w:t>
            </w:r>
          </w:p>
        </w:tc>
      </w:tr>
      <w:tr>
        <w:tc>
          <w:tcPr>
            <w:tcW w:type="dxa" w:w="1800"/>
            <w:vAlign w:val="center"/>
            <w:shd w:fill="FFFFFF"/>
          </w:tcPr>
          <w:p>
            <w:pPr>
              <w:spacing w:after="20"/>
            </w:pPr>
            <w:r/>
            <w:r>
              <w:rPr>
                <w:rFonts w:ascii="Aptos" w:hAnsi="Aptos"/>
                <w:b w:val="0"/>
                <w:sz w:val="14"/>
              </w:rPr>
              <w:t>BR-02 / I-03</w:t>
            </w:r>
          </w:p>
        </w:tc>
        <w:tc>
          <w:tcPr>
            <w:tcW w:type="dxa" w:w="4968"/>
            <w:vAlign w:val="center"/>
            <w:shd w:fill="FFFFFF"/>
          </w:tcPr>
          <w:p>
            <w:pPr>
              <w:spacing w:after="20"/>
            </w:pPr>
            <w:r/>
            <w:r>
              <w:rPr>
                <w:rFonts w:ascii="Aptos" w:hAnsi="Aptos"/>
                <w:b w:val="0"/>
                <w:sz w:val="14"/>
              </w:rPr>
              <w:t>Return agreed order status updates to originating channel.</w:t>
            </w:r>
          </w:p>
        </w:tc>
        <w:tc>
          <w:tcPr>
            <w:tcW w:type="dxa" w:w="3456"/>
            <w:vAlign w:val="center"/>
            <w:shd w:fill="FFFFFF"/>
          </w:tcPr>
          <w:p>
            <w:pPr>
              <w:spacing w:after="20"/>
            </w:pPr>
            <w:r/>
            <w:r>
              <w:rPr>
                <w:rFonts w:ascii="Aptos" w:hAnsi="Aptos"/>
                <w:b w:val="0"/>
                <w:sz w:val="14"/>
              </w:rPr>
              <w:t>TC-11, 12, 13</w:t>
            </w:r>
          </w:p>
        </w:tc>
      </w:tr>
      <w:tr>
        <w:tc>
          <w:tcPr>
            <w:tcW w:type="dxa" w:w="1800"/>
            <w:vAlign w:val="center"/>
            <w:shd w:fill="F1F6F8"/>
          </w:tcPr>
          <w:p>
            <w:pPr>
              <w:spacing w:after="20"/>
            </w:pPr>
            <w:r/>
            <w:r>
              <w:rPr>
                <w:rFonts w:ascii="Aptos" w:hAnsi="Aptos"/>
                <w:b w:val="0"/>
                <w:sz w:val="14"/>
              </w:rPr>
              <w:t>BR-03</w:t>
            </w:r>
          </w:p>
        </w:tc>
        <w:tc>
          <w:tcPr>
            <w:tcW w:type="dxa" w:w="4968"/>
            <w:vAlign w:val="center"/>
            <w:shd w:fill="F1F6F8"/>
          </w:tcPr>
          <w:p>
            <w:pPr>
              <w:spacing w:after="20"/>
            </w:pPr>
            <w:r/>
            <w:r>
              <w:rPr>
                <w:rFonts w:ascii="Aptos" w:hAnsi="Aptos"/>
                <w:b w:val="0"/>
                <w:sz w:val="14"/>
              </w:rPr>
              <w:t>Identify/prevent duplicate order creation during retry or resubmission.</w:t>
            </w:r>
          </w:p>
        </w:tc>
        <w:tc>
          <w:tcPr>
            <w:tcW w:type="dxa" w:w="3456"/>
            <w:vAlign w:val="center"/>
            <w:shd w:fill="F1F6F8"/>
          </w:tcPr>
          <w:p>
            <w:pPr>
              <w:spacing w:after="20"/>
            </w:pPr>
            <w:r/>
            <w:r>
              <w:rPr>
                <w:rFonts w:ascii="Aptos" w:hAnsi="Aptos"/>
                <w:b w:val="0"/>
                <w:sz w:val="14"/>
              </w:rPr>
              <w:t>TC-04, 05, 08, 10</w:t>
            </w:r>
          </w:p>
        </w:tc>
      </w:tr>
      <w:tr>
        <w:tc>
          <w:tcPr>
            <w:tcW w:type="dxa" w:w="1800"/>
            <w:vAlign w:val="center"/>
            <w:shd w:fill="FFFFFF"/>
          </w:tcPr>
          <w:p>
            <w:pPr>
              <w:spacing w:after="20"/>
            </w:pPr>
            <w:r/>
            <w:r>
              <w:rPr>
                <w:rFonts w:ascii="Aptos" w:hAnsi="Aptos"/>
                <w:b w:val="0"/>
                <w:sz w:val="14"/>
              </w:rPr>
              <w:t>BR-04</w:t>
            </w:r>
          </w:p>
        </w:tc>
        <w:tc>
          <w:tcPr>
            <w:tcW w:type="dxa" w:w="4968"/>
            <w:vAlign w:val="center"/>
            <w:shd w:fill="FFFFFF"/>
          </w:tcPr>
          <w:p>
            <w:pPr>
              <w:spacing w:after="20"/>
            </w:pPr>
            <w:r/>
            <w:r>
              <w:rPr>
                <w:rFonts w:ascii="Aptos" w:hAnsi="Aptos"/>
                <w:b w:val="0"/>
                <w:sz w:val="14"/>
              </w:rPr>
              <w:t>Route rejected or unresolved records to an owned exception process.</w:t>
            </w:r>
          </w:p>
        </w:tc>
        <w:tc>
          <w:tcPr>
            <w:tcW w:type="dxa" w:w="3456"/>
            <w:vAlign w:val="center"/>
            <w:shd w:fill="FFFFFF"/>
          </w:tcPr>
          <w:p>
            <w:pPr>
              <w:spacing w:after="20"/>
            </w:pPr>
            <w:r/>
            <w:r>
              <w:rPr>
                <w:rFonts w:ascii="Aptos" w:hAnsi="Aptos"/>
                <w:b w:val="0"/>
                <w:sz w:val="14"/>
              </w:rPr>
              <w:t>TC-02, 07, 09, 14</w:t>
            </w:r>
          </w:p>
        </w:tc>
      </w:tr>
      <w:tr>
        <w:tc>
          <w:tcPr>
            <w:tcW w:type="dxa" w:w="1800"/>
            <w:vAlign w:val="center"/>
            <w:shd w:fill="F1F6F8"/>
          </w:tcPr>
          <w:p>
            <w:pPr>
              <w:spacing w:after="20"/>
            </w:pPr>
            <w:r/>
            <w:r>
              <w:rPr>
                <w:rFonts w:ascii="Aptos" w:hAnsi="Aptos"/>
                <w:b w:val="0"/>
                <w:sz w:val="14"/>
              </w:rPr>
              <w:t>BR-05 / I-04</w:t>
            </w:r>
          </w:p>
        </w:tc>
        <w:tc>
          <w:tcPr>
            <w:tcW w:type="dxa" w:w="4968"/>
            <w:vAlign w:val="center"/>
            <w:shd w:fill="F1F6F8"/>
          </w:tcPr>
          <w:p>
            <w:pPr>
              <w:spacing w:after="20"/>
            </w:pPr>
            <w:r/>
            <w:r>
              <w:rPr>
                <w:rFonts w:ascii="Aptos" w:hAnsi="Aptos"/>
                <w:b w:val="0"/>
                <w:sz w:val="14"/>
              </w:rPr>
              <w:t>Reconcile accepted, rejected, pending, missing, and duplicate outcomes.</w:t>
            </w:r>
          </w:p>
        </w:tc>
        <w:tc>
          <w:tcPr>
            <w:tcW w:type="dxa" w:w="3456"/>
            <w:vAlign w:val="center"/>
            <w:shd w:fill="F1F6F8"/>
          </w:tcPr>
          <w:p>
            <w:pPr>
              <w:spacing w:after="20"/>
            </w:pPr>
            <w:r/>
            <w:r>
              <w:rPr>
                <w:rFonts w:ascii="Aptos" w:hAnsi="Aptos"/>
                <w:b w:val="0"/>
                <w:sz w:val="14"/>
              </w:rPr>
              <w:t>TC-10, 13, 15</w:t>
            </w:r>
          </w:p>
        </w:tc>
      </w:tr>
      <w:tr>
        <w:tc>
          <w:tcPr>
            <w:tcW w:type="dxa" w:w="1800"/>
            <w:vAlign w:val="center"/>
            <w:shd w:fill="FFFFFF"/>
          </w:tcPr>
          <w:p>
            <w:pPr>
              <w:spacing w:after="20"/>
            </w:pPr>
            <w:r/>
            <w:r>
              <w:rPr>
                <w:rFonts w:ascii="Aptos" w:hAnsi="Aptos"/>
                <w:b w:val="0"/>
                <w:sz w:val="14"/>
              </w:rPr>
              <w:t>BR-06</w:t>
            </w:r>
          </w:p>
        </w:tc>
        <w:tc>
          <w:tcPr>
            <w:tcW w:type="dxa" w:w="4968"/>
            <w:vAlign w:val="center"/>
            <w:shd w:fill="FFFFFF"/>
          </w:tcPr>
          <w:p>
            <w:pPr>
              <w:spacing w:after="20"/>
            </w:pPr>
            <w:r/>
            <w:r>
              <w:rPr>
                <w:rFonts w:ascii="Aptos" w:hAnsi="Aptos"/>
                <w:b w:val="0"/>
                <w:sz w:val="14"/>
              </w:rPr>
              <w:t>Retain an auditable lifecycle with controlled access and safe diagnostic content.</w:t>
            </w:r>
          </w:p>
        </w:tc>
        <w:tc>
          <w:tcPr>
            <w:tcW w:type="dxa" w:w="3456"/>
            <w:vAlign w:val="center"/>
            <w:shd w:fill="FFFFFF"/>
          </w:tcPr>
          <w:p>
            <w:pPr>
              <w:spacing w:after="20"/>
            </w:pPr>
            <w:r/>
            <w:r>
              <w:rPr>
                <w:rFonts w:ascii="Aptos" w:hAnsi="Aptos"/>
                <w:b w:val="0"/>
                <w:sz w:val="14"/>
              </w:rPr>
              <w:t>TC-14, 15, 16</w:t>
            </w:r>
          </w:p>
        </w:tc>
      </w:tr>
      <w:tr>
        <w:tc>
          <w:tcPr>
            <w:tcW w:type="dxa" w:w="1800"/>
            <w:vAlign w:val="center"/>
            <w:shd w:fill="F1F6F8"/>
          </w:tcPr>
          <w:p>
            <w:pPr>
              <w:spacing w:after="20"/>
            </w:pPr>
            <w:r/>
            <w:r>
              <w:rPr>
                <w:rFonts w:ascii="Aptos" w:hAnsi="Aptos"/>
                <w:b w:val="0"/>
                <w:sz w:val="14"/>
              </w:rPr>
              <w:t>SEC-01</w:t>
            </w:r>
          </w:p>
        </w:tc>
        <w:tc>
          <w:tcPr>
            <w:tcW w:type="dxa" w:w="4968"/>
            <w:vAlign w:val="center"/>
            <w:shd w:fill="F1F6F8"/>
          </w:tcPr>
          <w:p>
            <w:pPr>
              <w:spacing w:after="20"/>
            </w:pPr>
            <w:r/>
            <w:r>
              <w:rPr>
                <w:rFonts w:ascii="Aptos" w:hAnsi="Aptos"/>
                <w:b w:val="0"/>
                <w:sz w:val="14"/>
              </w:rPr>
              <w:t>Authenticate and authorize system callers with least privilege.</w:t>
            </w:r>
          </w:p>
        </w:tc>
        <w:tc>
          <w:tcPr>
            <w:tcW w:type="dxa" w:w="3456"/>
            <w:vAlign w:val="center"/>
            <w:shd w:fill="F1F6F8"/>
          </w:tcPr>
          <w:p>
            <w:pPr>
              <w:spacing w:after="20"/>
            </w:pPr>
            <w:r/>
            <w:r>
              <w:rPr>
                <w:rFonts w:ascii="Aptos" w:hAnsi="Aptos"/>
                <w:b w:val="0"/>
                <w:sz w:val="14"/>
              </w:rPr>
              <w:t>TC-16, 17</w:t>
            </w:r>
          </w:p>
        </w:tc>
      </w:tr>
      <w:tr>
        <w:tc>
          <w:tcPr>
            <w:tcW w:type="dxa" w:w="1800"/>
            <w:vAlign w:val="center"/>
            <w:shd w:fill="FFFFFF"/>
          </w:tcPr>
          <w:p>
            <w:pPr>
              <w:spacing w:after="20"/>
            </w:pPr>
            <w:r/>
            <w:r>
              <w:rPr>
                <w:rFonts w:ascii="Aptos" w:hAnsi="Aptos"/>
                <w:b w:val="0"/>
                <w:sz w:val="14"/>
              </w:rPr>
              <w:t>NFR-01</w:t>
            </w:r>
          </w:p>
        </w:tc>
        <w:tc>
          <w:tcPr>
            <w:tcW w:type="dxa" w:w="4968"/>
            <w:vAlign w:val="center"/>
            <w:shd w:fill="FFFFFF"/>
          </w:tcPr>
          <w:p>
            <w:pPr>
              <w:spacing w:after="20"/>
            </w:pPr>
            <w:r/>
            <w:r>
              <w:rPr>
                <w:rFonts w:ascii="Aptos" w:hAnsi="Aptos"/>
                <w:b w:val="0"/>
                <w:sz w:val="14"/>
              </w:rPr>
              <w:t>Measure agreed response and throughput targets once real targets are defined.</w:t>
            </w:r>
          </w:p>
        </w:tc>
        <w:tc>
          <w:tcPr>
            <w:tcW w:type="dxa" w:w="3456"/>
            <w:vAlign w:val="center"/>
            <w:shd w:fill="FFFFFF"/>
          </w:tcPr>
          <w:p>
            <w:pPr>
              <w:spacing w:after="20"/>
            </w:pPr>
            <w:r/>
            <w:r>
              <w:rPr>
                <w:rFonts w:ascii="Aptos" w:hAnsi="Aptos"/>
                <w:b w:val="0"/>
                <w:sz w:val="14"/>
              </w:rPr>
              <w:t>TC-18 (target values TBD)</w:t>
            </w:r>
          </w:p>
        </w:tc>
      </w:tr>
    </w:tbl>
    <w:p>
      <w:pPr>
        <w:spacing w:after="20"/>
      </w:pPr>
    </w:p>
    <w:p>
      <w:pPr>
        <w:pStyle w:val="Heading1"/>
      </w:pPr>
      <w:r>
        <w:t>3. Environment and test data plan</w:t>
      </w:r>
    </w:p>
    <w:p>
      <w:pPr>
        <w:pStyle w:val="Heading2"/>
      </w:pPr>
      <w:r>
        <w:t>Environment prerequisites</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vAlign w:val="center"/>
            <w:shd w:fill="15324B"/>
          </w:tcPr>
          <w:p>
            <w:pPr>
              <w:spacing w:after="20"/>
            </w:pPr>
            <w:r/>
            <w:r>
              <w:rPr>
                <w:rFonts w:ascii="Aptos" w:hAnsi="Aptos"/>
                <w:b/>
                <w:color w:val="FFFFFF"/>
                <w:sz w:val="15"/>
              </w:rPr>
              <w:t>COMPONENT</w:t>
            </w:r>
          </w:p>
        </w:tc>
        <w:tc>
          <w:tcPr>
            <w:tcW w:type="dxa" w:w="7992"/>
            <w:vAlign w:val="center"/>
            <w:shd w:fill="15324B"/>
          </w:tcPr>
          <w:p>
            <w:pPr>
              <w:spacing w:after="20"/>
            </w:pPr>
            <w:r/>
            <w:r>
              <w:rPr>
                <w:rFonts w:ascii="Aptos" w:hAnsi="Aptos"/>
                <w:b/>
                <w:color w:val="FFFFFF"/>
                <w:sz w:val="15"/>
              </w:rPr>
              <w:t>REQUIREMENT BEFORE EXECUTION</w:t>
            </w:r>
          </w:p>
        </w:tc>
      </w:tr>
      <w:tr>
        <w:tc>
          <w:tcPr>
            <w:tcW w:type="dxa" w:w="2232"/>
            <w:vAlign w:val="center"/>
            <w:shd w:fill="F1F6F8"/>
          </w:tcPr>
          <w:p>
            <w:pPr>
              <w:spacing w:after="20"/>
            </w:pPr>
            <w:r/>
            <w:r>
              <w:rPr>
                <w:rFonts w:ascii="Aptos" w:hAnsi="Aptos"/>
                <w:b w:val="0"/>
                <w:sz w:val="14"/>
              </w:rPr>
              <w:t>Channel simulator or approved test client</w:t>
            </w:r>
          </w:p>
        </w:tc>
        <w:tc>
          <w:tcPr>
            <w:tcW w:type="dxa" w:w="7992"/>
            <w:vAlign w:val="center"/>
            <w:shd w:fill="F1F6F8"/>
          </w:tcPr>
          <w:p>
            <w:pPr>
              <w:spacing w:after="20"/>
            </w:pPr>
            <w:r/>
            <w:r>
              <w:rPr>
                <w:rFonts w:ascii="Aptos" w:hAnsi="Aptos"/>
                <w:b w:val="0"/>
                <w:sz w:val="14"/>
              </w:rPr>
              <w:t>Configured to submit contract-valid and intentionally invalid synthetic requests; caller identity restricted to test scope.</w:t>
            </w:r>
          </w:p>
        </w:tc>
      </w:tr>
      <w:tr>
        <w:tc>
          <w:tcPr>
            <w:tcW w:type="dxa" w:w="2232"/>
            <w:vAlign w:val="center"/>
            <w:shd w:fill="FFFFFF"/>
          </w:tcPr>
          <w:p>
            <w:pPr>
              <w:spacing w:after="20"/>
            </w:pPr>
            <w:r/>
            <w:r>
              <w:rPr>
                <w:rFonts w:ascii="Aptos" w:hAnsi="Aptos"/>
                <w:b w:val="0"/>
                <w:sz w:val="14"/>
              </w:rPr>
              <w:t>Integration test runtime</w:t>
            </w:r>
          </w:p>
        </w:tc>
        <w:tc>
          <w:tcPr>
            <w:tcW w:type="dxa" w:w="7992"/>
            <w:vAlign w:val="center"/>
            <w:shd w:fill="FFFFFF"/>
          </w:tcPr>
          <w:p>
            <w:pPr>
              <w:spacing w:after="20"/>
            </w:pPr>
            <w:r/>
            <w:r>
              <w:rPr>
                <w:rFonts w:ascii="Aptos" w:hAnsi="Aptos"/>
                <w:b w:val="0"/>
                <w:sz w:val="14"/>
              </w:rPr>
              <w:t>Approved non-production deployment/version; flow configuration and mapping version recorded; monitoring available to test roles.</w:t>
            </w:r>
          </w:p>
        </w:tc>
      </w:tr>
      <w:tr>
        <w:tc>
          <w:tcPr>
            <w:tcW w:type="dxa" w:w="2232"/>
            <w:vAlign w:val="center"/>
            <w:shd w:fill="F1F6F8"/>
          </w:tcPr>
          <w:p>
            <w:pPr>
              <w:spacing w:after="20"/>
            </w:pPr>
            <w:r/>
            <w:r>
              <w:rPr>
                <w:rFonts w:ascii="Aptos" w:hAnsi="Aptos"/>
                <w:b w:val="0"/>
                <w:sz w:val="14"/>
              </w:rPr>
              <w:t>SAP SD test endpoint</w:t>
            </w:r>
          </w:p>
        </w:tc>
        <w:tc>
          <w:tcPr>
            <w:tcW w:type="dxa" w:w="7992"/>
            <w:vAlign w:val="center"/>
            <w:shd w:fill="F1F6F8"/>
          </w:tcPr>
          <w:p>
            <w:pPr>
              <w:spacing w:after="20"/>
            </w:pPr>
            <w:r/>
            <w:r>
              <w:rPr>
                <w:rFonts w:ascii="Aptos" w:hAnsi="Aptos"/>
                <w:b w:val="0"/>
                <w:sz w:val="14"/>
              </w:rPr>
              <w:t>Authorized non-production client/system with supported test API and test master data; endpoint/API release and enabled operations confirmed.</w:t>
            </w:r>
          </w:p>
        </w:tc>
      </w:tr>
      <w:tr>
        <w:tc>
          <w:tcPr>
            <w:tcW w:type="dxa" w:w="2232"/>
            <w:vAlign w:val="center"/>
            <w:shd w:fill="FFFFFF"/>
          </w:tcPr>
          <w:p>
            <w:pPr>
              <w:spacing w:after="20"/>
            </w:pPr>
            <w:r/>
            <w:r>
              <w:rPr>
                <w:rFonts w:ascii="Aptos" w:hAnsi="Aptos"/>
                <w:b w:val="0"/>
                <w:sz w:val="14"/>
              </w:rPr>
              <w:t>Security setup</w:t>
            </w:r>
          </w:p>
        </w:tc>
        <w:tc>
          <w:tcPr>
            <w:tcW w:type="dxa" w:w="7992"/>
            <w:vAlign w:val="center"/>
            <w:shd w:fill="FFFFFF"/>
          </w:tcPr>
          <w:p>
            <w:pPr>
              <w:spacing w:after="20"/>
            </w:pPr>
            <w:r/>
            <w:r>
              <w:rPr>
                <w:rFonts w:ascii="Aptos" w:hAnsi="Aptos"/>
                <w:b w:val="0"/>
                <w:sz w:val="14"/>
              </w:rPr>
              <w:t>Approved test certificates/tokens, least-privilege roles, clock synchronization, and documented expiry/revocation process.</w:t>
            </w:r>
          </w:p>
        </w:tc>
      </w:tr>
      <w:tr>
        <w:tc>
          <w:tcPr>
            <w:tcW w:type="dxa" w:w="2232"/>
            <w:vAlign w:val="center"/>
            <w:shd w:fill="F1F6F8"/>
          </w:tcPr>
          <w:p>
            <w:pPr>
              <w:spacing w:after="20"/>
            </w:pPr>
            <w:r/>
            <w:r>
              <w:rPr>
                <w:rFonts w:ascii="Aptos" w:hAnsi="Aptos"/>
                <w:b w:val="0"/>
                <w:sz w:val="14"/>
              </w:rPr>
              <w:t>Observability</w:t>
            </w:r>
          </w:p>
        </w:tc>
        <w:tc>
          <w:tcPr>
            <w:tcW w:type="dxa" w:w="7992"/>
            <w:vAlign w:val="center"/>
            <w:shd w:fill="F1F6F8"/>
          </w:tcPr>
          <w:p>
            <w:pPr>
              <w:spacing w:after="20"/>
            </w:pPr>
            <w:r/>
            <w:r>
              <w:rPr>
                <w:rFonts w:ascii="Aptos" w:hAnsi="Aptos"/>
                <w:b w:val="0"/>
                <w:sz w:val="14"/>
              </w:rPr>
              <w:t>Correlation ID lookup, message state, retry/exception visibility, alert route, and audit event access available to authorized testers.</w:t>
            </w:r>
          </w:p>
        </w:tc>
      </w:tr>
      <w:tr>
        <w:tc>
          <w:tcPr>
            <w:tcW w:type="dxa" w:w="2232"/>
            <w:vAlign w:val="center"/>
            <w:shd w:fill="FFFFFF"/>
          </w:tcPr>
          <w:p>
            <w:pPr>
              <w:spacing w:after="20"/>
            </w:pPr>
            <w:r/>
            <w:r>
              <w:rPr>
                <w:rFonts w:ascii="Aptos" w:hAnsi="Aptos"/>
                <w:b w:val="0"/>
                <w:sz w:val="14"/>
              </w:rPr>
              <w:t>Recovery controls</w:t>
            </w:r>
          </w:p>
        </w:tc>
        <w:tc>
          <w:tcPr>
            <w:tcW w:type="dxa" w:w="7992"/>
            <w:vAlign w:val="center"/>
            <w:shd w:fill="FFFFFF"/>
          </w:tcPr>
          <w:p>
            <w:pPr>
              <w:spacing w:after="20"/>
            </w:pPr>
            <w:r/>
            <w:r>
              <w:rPr>
                <w:rFonts w:ascii="Aptos" w:hAnsi="Aptos"/>
                <w:b w:val="0"/>
                <w:sz w:val="14"/>
              </w:rPr>
              <w:t>Queue/retry limits and test-only recovery procedure agreed; rollback, cleanup, and manual fallback defined before failure injection.</w:t>
            </w:r>
          </w:p>
        </w:tc>
      </w:tr>
    </w:tbl>
    <w:p>
      <w:pPr>
        <w:spacing w:after="20"/>
      </w:pPr>
    </w:p>
    <w:p>
      <w:pPr>
        <w:pStyle w:val="Heading2"/>
      </w:pPr>
      <w:r>
        <w:t>Synthetic data rules</w:t>
      </w:r>
    </w:p>
    <w:p>
      <w:pPr>
        <w:pStyle w:val="ListBullet"/>
        <w:spacing w:after="40"/>
      </w:pPr>
      <w:r>
        <w:t>Use fictional customer/material codes explicitly seeded in the non-production environment; confirm no mapping to real customer records.</w:t>
      </w:r>
    </w:p>
    <w:p>
      <w:pPr>
        <w:pStyle w:val="ListBullet"/>
        <w:spacing w:after="40"/>
      </w:pPr>
      <w:r>
        <w:t>Use a unique synthetic channel order reference per positive case, with intentionally reused IDs only in duplicate tests.</w:t>
      </w:r>
    </w:p>
    <w:p>
      <w:pPr>
        <w:pStyle w:val="ListBullet"/>
        <w:spacing w:after="40"/>
      </w:pPr>
      <w:r>
        <w:t>Keep values deterministic: currency, unit, quantity, requested date, partner references, and expected mapped values are recorded in the case file.</w:t>
      </w:r>
    </w:p>
    <w:p>
      <w:pPr>
        <w:pStyle w:val="ListBullet"/>
        <w:spacing w:after="40"/>
      </w:pPr>
      <w:r>
        <w:t>Store no passwords, secrets, personal data, or production payloads in test evidence. Mask any sensitive-looking values in screenshots or logs.</w:t>
      </w:r>
    </w:p>
    <w:p>
      <w:pPr>
        <w:pStyle w:val="ListBullet"/>
        <w:spacing w:after="40"/>
      </w:pPr>
      <w:r>
        <w:t>For boundary/volume testing, agree safe limits with platform owners; do not run stress or destructive cases without written environment authorization.</w:t>
      </w:r>
    </w:p>
    <w:p>
      <w:pPr>
        <w:pStyle w:val="Heading1"/>
      </w:pPr>
      <w:r>
        <w:t>4. Test case register</w:t>
      </w:r>
    </w:p>
    <w:p>
      <w:r>
        <w:t>Priority: P1 = release-blocking business/control risk; P2 = important behavior; P3 = supporting or operational check. Expected outcomes are acceptance criteria, not actual results. Use the detailed steps below as a starting contract and revise them after the API and interface schemas are approved.</w:t>
      </w:r>
    </w:p>
    <w:tbl>
      <w:tblPr>
        <w:tblStyle w:val="TableGrid"/>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691"/>
            <w:vAlign w:val="center"/>
            <w:shd w:fill="15324B"/>
          </w:tcPr>
          <w:p>
            <w:pPr>
              <w:spacing w:after="20"/>
            </w:pPr>
            <w:r/>
            <w:r>
              <w:rPr>
                <w:rFonts w:ascii="Aptos" w:hAnsi="Aptos"/>
                <w:b/>
                <w:color w:val="FFFFFF"/>
                <w:sz w:val="15"/>
              </w:rPr>
              <w:t>ID</w:t>
            </w:r>
          </w:p>
        </w:tc>
        <w:tc>
          <w:tcPr>
            <w:tcW w:type="dxa" w:w="1800"/>
            <w:vAlign w:val="center"/>
            <w:shd w:fill="15324B"/>
          </w:tcPr>
          <w:p>
            <w:pPr>
              <w:spacing w:after="20"/>
            </w:pPr>
            <w:r/>
            <w:r>
              <w:rPr>
                <w:rFonts w:ascii="Aptos" w:hAnsi="Aptos"/>
                <w:b/>
                <w:color w:val="FFFFFF"/>
                <w:sz w:val="15"/>
              </w:rPr>
              <w:t>SCENARIO</w:t>
            </w:r>
          </w:p>
        </w:tc>
        <w:tc>
          <w:tcPr>
            <w:tcW w:type="dxa" w:w="1440"/>
            <w:vAlign w:val="center"/>
            <w:shd w:fill="15324B"/>
          </w:tcPr>
          <w:p>
            <w:pPr>
              <w:spacing w:after="20"/>
            </w:pPr>
            <w:r/>
            <w:r>
              <w:rPr>
                <w:rFonts w:ascii="Aptos" w:hAnsi="Aptos"/>
                <w:b/>
                <w:color w:val="FFFFFF"/>
                <w:sz w:val="15"/>
              </w:rPr>
              <w:t>PRIORITY / TYPE</w:t>
            </w:r>
          </w:p>
        </w:tc>
        <w:tc>
          <w:tcPr>
            <w:tcW w:type="dxa" w:w="3672"/>
            <w:vAlign w:val="center"/>
            <w:shd w:fill="15324B"/>
          </w:tcPr>
          <w:p>
            <w:pPr>
              <w:spacing w:after="20"/>
            </w:pPr>
            <w:r/>
            <w:r>
              <w:rPr>
                <w:rFonts w:ascii="Aptos" w:hAnsi="Aptos"/>
                <w:b/>
                <w:color w:val="FFFFFF"/>
                <w:sz w:val="15"/>
              </w:rPr>
              <w:t>PROPOSED STEPS</w:t>
            </w:r>
          </w:p>
        </w:tc>
        <w:tc>
          <w:tcPr>
            <w:tcW w:type="dxa" w:w="3528"/>
            <w:vAlign w:val="center"/>
            <w:shd w:fill="15324B"/>
          </w:tcPr>
          <w:p>
            <w:pPr>
              <w:spacing w:after="20"/>
            </w:pPr>
            <w:r/>
            <w:r>
              <w:rPr>
                <w:rFonts w:ascii="Aptos" w:hAnsi="Aptos"/>
                <w:b/>
                <w:color w:val="FFFFFF"/>
                <w:sz w:val="15"/>
              </w:rPr>
              <w:t>EXPECTED RESULT / PASS CRITERIA</w:t>
            </w:r>
          </w:p>
        </w:tc>
      </w:tr>
      <w:tr>
        <w:tc>
          <w:tcPr>
            <w:tcW w:type="dxa" w:w="691"/>
            <w:vAlign w:val="center"/>
            <w:shd w:fill="F1F6F8"/>
          </w:tcPr>
          <w:p>
            <w:pPr>
              <w:spacing w:after="20"/>
            </w:pPr>
            <w:r/>
            <w:r>
              <w:rPr>
                <w:rFonts w:ascii="Aptos" w:hAnsi="Aptos"/>
                <w:b w:val="0"/>
                <w:sz w:val="14"/>
              </w:rPr>
              <w:t>TC-01</w:t>
            </w:r>
          </w:p>
        </w:tc>
        <w:tc>
          <w:tcPr>
            <w:tcW w:type="dxa" w:w="1800"/>
            <w:vAlign w:val="center"/>
            <w:shd w:fill="F1F6F8"/>
          </w:tcPr>
          <w:p>
            <w:pPr>
              <w:spacing w:after="20"/>
            </w:pPr>
            <w:r/>
            <w:r>
              <w:rPr>
                <w:rFonts w:ascii="Aptos" w:hAnsi="Aptos"/>
                <w:b w:val="0"/>
                <w:sz w:val="14"/>
              </w:rPr>
              <w:t>Valid order creation</w:t>
            </w:r>
          </w:p>
        </w:tc>
        <w:tc>
          <w:tcPr>
            <w:tcW w:type="dxa" w:w="1440"/>
            <w:vAlign w:val="center"/>
            <w:shd w:fill="F1F6F8"/>
          </w:tcPr>
          <w:p>
            <w:pPr>
              <w:spacing w:after="20"/>
            </w:pPr>
            <w:r/>
            <w:r>
              <w:rPr>
                <w:rFonts w:ascii="Aptos" w:hAnsi="Aptos"/>
                <w:b w:val="0"/>
                <w:sz w:val="14"/>
              </w:rPr>
              <w:t>P1 / Positive</w:t>
            </w:r>
          </w:p>
        </w:tc>
        <w:tc>
          <w:tcPr>
            <w:tcW w:type="dxa" w:w="3672"/>
            <w:vAlign w:val="center"/>
            <w:shd w:fill="F1F6F8"/>
          </w:tcPr>
          <w:p>
            <w:pPr>
              <w:spacing w:after="20"/>
            </w:pPr>
            <w:r/>
            <w:r>
              <w:rPr>
                <w:rFonts w:ascii="Aptos" w:hAnsi="Aptos"/>
                <w:b w:val="0"/>
                <w:sz w:val="14"/>
              </w:rPr>
              <w:t>Submit one valid synthetic order with unique channel reference; inspect response and target record.</w:t>
            </w:r>
          </w:p>
        </w:tc>
        <w:tc>
          <w:tcPr>
            <w:tcW w:type="dxa" w:w="3528"/>
            <w:vAlign w:val="center"/>
            <w:shd w:fill="F1F6F8"/>
          </w:tcPr>
          <w:p>
            <w:pPr>
              <w:spacing w:after="20"/>
            </w:pPr>
            <w:r/>
            <w:r>
              <w:rPr>
                <w:rFonts w:ascii="Aptos" w:hAnsi="Aptos"/>
                <w:b w:val="0"/>
                <w:sz w:val="14"/>
              </w:rPr>
              <w:t>One business order is created once; acknowledgement identifies the same channel reference and a target document reference; mapped fields match the approved contract.</w:t>
            </w:r>
          </w:p>
        </w:tc>
      </w:tr>
      <w:tr>
        <w:tc>
          <w:tcPr>
            <w:tcW w:type="dxa" w:w="691"/>
            <w:vAlign w:val="center"/>
            <w:shd w:fill="FFFFFF"/>
          </w:tcPr>
          <w:p>
            <w:pPr>
              <w:spacing w:after="20"/>
            </w:pPr>
            <w:r/>
            <w:r>
              <w:rPr>
                <w:rFonts w:ascii="Aptos" w:hAnsi="Aptos"/>
                <w:b w:val="0"/>
                <w:sz w:val="14"/>
              </w:rPr>
              <w:t>TC-02</w:t>
            </w:r>
          </w:p>
        </w:tc>
        <w:tc>
          <w:tcPr>
            <w:tcW w:type="dxa" w:w="1800"/>
            <w:vAlign w:val="center"/>
            <w:shd w:fill="FFFFFF"/>
          </w:tcPr>
          <w:p>
            <w:pPr>
              <w:spacing w:after="20"/>
            </w:pPr>
            <w:r/>
            <w:r>
              <w:rPr>
                <w:rFonts w:ascii="Aptos" w:hAnsi="Aptos"/>
                <w:b w:val="0"/>
                <w:sz w:val="14"/>
              </w:rPr>
              <w:t>Missing required field</w:t>
            </w:r>
          </w:p>
        </w:tc>
        <w:tc>
          <w:tcPr>
            <w:tcW w:type="dxa" w:w="1440"/>
            <w:vAlign w:val="center"/>
            <w:shd w:fill="FFFFFF"/>
          </w:tcPr>
          <w:p>
            <w:pPr>
              <w:spacing w:after="20"/>
            </w:pPr>
            <w:r/>
            <w:r>
              <w:rPr>
                <w:rFonts w:ascii="Aptos" w:hAnsi="Aptos"/>
                <w:b w:val="0"/>
                <w:sz w:val="14"/>
              </w:rPr>
              <w:t>P1 / Negative</w:t>
            </w:r>
          </w:p>
        </w:tc>
        <w:tc>
          <w:tcPr>
            <w:tcW w:type="dxa" w:w="3672"/>
            <w:vAlign w:val="center"/>
            <w:shd w:fill="FFFFFF"/>
          </w:tcPr>
          <w:p>
            <w:pPr>
              <w:spacing w:after="20"/>
            </w:pPr>
            <w:r/>
            <w:r>
              <w:rPr>
                <w:rFonts w:ascii="Aptos" w:hAnsi="Aptos"/>
                <w:b w:val="0"/>
                <w:sz w:val="14"/>
              </w:rPr>
              <w:t>Omit one confirmed mandatory field; submit and inspect response, target, and exception route.</w:t>
            </w:r>
          </w:p>
        </w:tc>
        <w:tc>
          <w:tcPr>
            <w:tcW w:type="dxa" w:w="3528"/>
            <w:vAlign w:val="center"/>
            <w:shd w:fill="FFFFFF"/>
          </w:tcPr>
          <w:p>
            <w:pPr>
              <w:spacing w:after="20"/>
            </w:pPr>
            <w:r/>
            <w:r>
              <w:rPr>
                <w:rFonts w:ascii="Aptos" w:hAnsi="Aptos"/>
                <w:b w:val="0"/>
                <w:sz w:val="14"/>
              </w:rPr>
              <w:t>Request is rejected with safe field-level reason; no order is created; correlation and outcome are traceable.</w:t>
            </w:r>
          </w:p>
        </w:tc>
      </w:tr>
      <w:tr>
        <w:tc>
          <w:tcPr>
            <w:tcW w:type="dxa" w:w="691"/>
            <w:vAlign w:val="center"/>
            <w:shd w:fill="F1F6F8"/>
          </w:tcPr>
          <w:p>
            <w:pPr>
              <w:spacing w:after="20"/>
            </w:pPr>
            <w:r/>
            <w:r>
              <w:rPr>
                <w:rFonts w:ascii="Aptos" w:hAnsi="Aptos"/>
                <w:b w:val="0"/>
                <w:sz w:val="14"/>
              </w:rPr>
              <w:t>TC-03</w:t>
            </w:r>
          </w:p>
        </w:tc>
        <w:tc>
          <w:tcPr>
            <w:tcW w:type="dxa" w:w="1800"/>
            <w:vAlign w:val="center"/>
            <w:shd w:fill="F1F6F8"/>
          </w:tcPr>
          <w:p>
            <w:pPr>
              <w:spacing w:after="20"/>
            </w:pPr>
            <w:r/>
            <w:r>
              <w:rPr>
                <w:rFonts w:ascii="Aptos" w:hAnsi="Aptos"/>
                <w:b w:val="0"/>
                <w:sz w:val="14"/>
              </w:rPr>
              <w:t>Invalid code or reference</w:t>
            </w:r>
          </w:p>
        </w:tc>
        <w:tc>
          <w:tcPr>
            <w:tcW w:type="dxa" w:w="1440"/>
            <w:vAlign w:val="center"/>
            <w:shd w:fill="F1F6F8"/>
          </w:tcPr>
          <w:p>
            <w:pPr>
              <w:spacing w:after="20"/>
            </w:pPr>
            <w:r/>
            <w:r>
              <w:rPr>
                <w:rFonts w:ascii="Aptos" w:hAnsi="Aptos"/>
                <w:b w:val="0"/>
                <w:sz w:val="14"/>
              </w:rPr>
              <w:t>P1 / Negative</w:t>
            </w:r>
          </w:p>
        </w:tc>
        <w:tc>
          <w:tcPr>
            <w:tcW w:type="dxa" w:w="3672"/>
            <w:vAlign w:val="center"/>
            <w:shd w:fill="F1F6F8"/>
          </w:tcPr>
          <w:p>
            <w:pPr>
              <w:spacing w:after="20"/>
            </w:pPr>
            <w:r/>
            <w:r>
              <w:rPr>
                <w:rFonts w:ascii="Aptos" w:hAnsi="Aptos"/>
                <w:b w:val="0"/>
                <w:sz w:val="14"/>
              </w:rPr>
              <w:t>Use an unknown synthetic customer, material, unit, or partner code.</w:t>
            </w:r>
          </w:p>
        </w:tc>
        <w:tc>
          <w:tcPr>
            <w:tcW w:type="dxa" w:w="3528"/>
            <w:vAlign w:val="center"/>
            <w:shd w:fill="F1F6F8"/>
          </w:tcPr>
          <w:p>
            <w:pPr>
              <w:spacing w:after="20"/>
            </w:pPr>
            <w:r/>
            <w:r>
              <w:rPr>
                <w:rFonts w:ascii="Aptos" w:hAnsi="Aptos"/>
                <w:b w:val="0"/>
                <w:sz w:val="14"/>
              </w:rPr>
              <w:t>Business validation rejects or routes according to approved rule; no silent substitution or unintended order; owner/reason is identifiable.</w:t>
            </w:r>
          </w:p>
        </w:tc>
      </w:tr>
      <w:tr>
        <w:tc>
          <w:tcPr>
            <w:tcW w:type="dxa" w:w="691"/>
            <w:vAlign w:val="center"/>
            <w:shd w:fill="FFFFFF"/>
          </w:tcPr>
          <w:p>
            <w:pPr>
              <w:spacing w:after="20"/>
            </w:pPr>
            <w:r/>
            <w:r>
              <w:rPr>
                <w:rFonts w:ascii="Aptos" w:hAnsi="Aptos"/>
                <w:b w:val="0"/>
                <w:sz w:val="14"/>
              </w:rPr>
              <w:t>TC-04</w:t>
            </w:r>
          </w:p>
        </w:tc>
        <w:tc>
          <w:tcPr>
            <w:tcW w:type="dxa" w:w="1800"/>
            <w:vAlign w:val="center"/>
            <w:shd w:fill="FFFFFF"/>
          </w:tcPr>
          <w:p>
            <w:pPr>
              <w:spacing w:after="20"/>
            </w:pPr>
            <w:r/>
            <w:r>
              <w:rPr>
                <w:rFonts w:ascii="Aptos" w:hAnsi="Aptos"/>
                <w:b w:val="0"/>
                <w:sz w:val="14"/>
              </w:rPr>
              <w:t>Duplicate resubmission</w:t>
            </w:r>
          </w:p>
        </w:tc>
        <w:tc>
          <w:tcPr>
            <w:tcW w:type="dxa" w:w="1440"/>
            <w:vAlign w:val="center"/>
            <w:shd w:fill="FFFFFF"/>
          </w:tcPr>
          <w:p>
            <w:pPr>
              <w:spacing w:after="20"/>
            </w:pPr>
            <w:r/>
            <w:r>
              <w:rPr>
                <w:rFonts w:ascii="Aptos" w:hAnsi="Aptos"/>
                <w:b w:val="0"/>
                <w:sz w:val="14"/>
              </w:rPr>
              <w:t>P1 / Resilience</w:t>
            </w:r>
          </w:p>
        </w:tc>
        <w:tc>
          <w:tcPr>
            <w:tcW w:type="dxa" w:w="3672"/>
            <w:vAlign w:val="center"/>
            <w:shd w:fill="FFFFFF"/>
          </w:tcPr>
          <w:p>
            <w:pPr>
              <w:spacing w:after="20"/>
            </w:pPr>
            <w:r/>
            <w:r>
              <w:rPr>
                <w:rFonts w:ascii="Aptos" w:hAnsi="Aptos"/>
                <w:b w:val="0"/>
                <w:sz w:val="14"/>
              </w:rPr>
              <w:t>Submit a valid order, then resend identical request with same stable business reference.</w:t>
            </w:r>
          </w:p>
        </w:tc>
        <w:tc>
          <w:tcPr>
            <w:tcW w:type="dxa" w:w="3528"/>
            <w:vAlign w:val="center"/>
            <w:shd w:fill="FFFFFF"/>
          </w:tcPr>
          <w:p>
            <w:pPr>
              <w:spacing w:after="20"/>
            </w:pPr>
            <w:r/>
            <w:r>
              <w:rPr>
                <w:rFonts w:ascii="Aptos" w:hAnsi="Aptos"/>
                <w:b w:val="0"/>
                <w:sz w:val="14"/>
              </w:rPr>
              <w:t>Receiver duplicate policy prevents a second order or returns the original outcome; two distinct orders are not created.</w:t>
            </w:r>
          </w:p>
        </w:tc>
      </w:tr>
      <w:tr>
        <w:tc>
          <w:tcPr>
            <w:tcW w:type="dxa" w:w="691"/>
            <w:vAlign w:val="center"/>
            <w:shd w:fill="F1F6F8"/>
          </w:tcPr>
          <w:p>
            <w:pPr>
              <w:spacing w:after="20"/>
            </w:pPr>
            <w:r/>
            <w:r>
              <w:rPr>
                <w:rFonts w:ascii="Aptos" w:hAnsi="Aptos"/>
                <w:b w:val="0"/>
                <w:sz w:val="14"/>
              </w:rPr>
              <w:t>TC-05</w:t>
            </w:r>
          </w:p>
        </w:tc>
        <w:tc>
          <w:tcPr>
            <w:tcW w:type="dxa" w:w="1800"/>
            <w:vAlign w:val="center"/>
            <w:shd w:fill="F1F6F8"/>
          </w:tcPr>
          <w:p>
            <w:pPr>
              <w:spacing w:after="20"/>
            </w:pPr>
            <w:r/>
            <w:r>
              <w:rPr>
                <w:rFonts w:ascii="Aptos" w:hAnsi="Aptos"/>
                <w:b w:val="0"/>
                <w:sz w:val="14"/>
              </w:rPr>
              <w:t>Lost acknowledgement / timeout ambiguity</w:t>
            </w:r>
          </w:p>
        </w:tc>
        <w:tc>
          <w:tcPr>
            <w:tcW w:type="dxa" w:w="1440"/>
            <w:vAlign w:val="center"/>
            <w:shd w:fill="F1F6F8"/>
          </w:tcPr>
          <w:p>
            <w:pPr>
              <w:spacing w:after="20"/>
            </w:pPr>
            <w:r/>
            <w:r>
              <w:rPr>
                <w:rFonts w:ascii="Aptos" w:hAnsi="Aptos"/>
                <w:b w:val="0"/>
                <w:sz w:val="14"/>
              </w:rPr>
              <w:t>P1 / Recovery</w:t>
            </w:r>
          </w:p>
        </w:tc>
        <w:tc>
          <w:tcPr>
            <w:tcW w:type="dxa" w:w="3672"/>
            <w:vAlign w:val="center"/>
            <w:shd w:fill="F1F6F8"/>
          </w:tcPr>
          <w:p>
            <w:pPr>
              <w:spacing w:after="20"/>
            </w:pPr>
            <w:r/>
            <w:r>
              <w:rPr>
                <w:rFonts w:ascii="Aptos" w:hAnsi="Aptos"/>
                <w:b w:val="0"/>
                <w:sz w:val="14"/>
              </w:rPr>
              <w:t>Simulate response loss after request may have reached receiver; query using business reference before any replay.</w:t>
            </w:r>
          </w:p>
        </w:tc>
        <w:tc>
          <w:tcPr>
            <w:tcW w:type="dxa" w:w="3528"/>
            <w:vAlign w:val="center"/>
            <w:shd w:fill="F1F6F8"/>
          </w:tcPr>
          <w:p>
            <w:pPr>
              <w:spacing w:after="20"/>
            </w:pPr>
            <w:r/>
            <w:r>
              <w:rPr>
                <w:rFonts w:ascii="Aptos" w:hAnsi="Aptos"/>
                <w:b w:val="0"/>
                <w:sz w:val="14"/>
              </w:rPr>
              <w:t>System does not assume no order exists; reconciliation or idempotent lookup resolves state; replay does not create unintended duplicate.</w:t>
            </w:r>
          </w:p>
        </w:tc>
      </w:tr>
      <w:tr>
        <w:tc>
          <w:tcPr>
            <w:tcW w:type="dxa" w:w="691"/>
            <w:vAlign w:val="center"/>
            <w:shd w:fill="FFFFFF"/>
          </w:tcPr>
          <w:p>
            <w:pPr>
              <w:spacing w:after="20"/>
            </w:pPr>
            <w:r/>
            <w:r>
              <w:rPr>
                <w:rFonts w:ascii="Aptos" w:hAnsi="Aptos"/>
                <w:b w:val="0"/>
                <w:sz w:val="14"/>
              </w:rPr>
              <w:t>TC-06</w:t>
            </w:r>
          </w:p>
        </w:tc>
        <w:tc>
          <w:tcPr>
            <w:tcW w:type="dxa" w:w="1800"/>
            <w:vAlign w:val="center"/>
            <w:shd w:fill="FFFFFF"/>
          </w:tcPr>
          <w:p>
            <w:pPr>
              <w:spacing w:after="20"/>
            </w:pPr>
            <w:r/>
            <w:r>
              <w:rPr>
                <w:rFonts w:ascii="Aptos" w:hAnsi="Aptos"/>
                <w:b w:val="0"/>
                <w:sz w:val="14"/>
              </w:rPr>
              <w:t>Malformed schema / unsupported version</w:t>
            </w:r>
          </w:p>
        </w:tc>
        <w:tc>
          <w:tcPr>
            <w:tcW w:type="dxa" w:w="1440"/>
            <w:vAlign w:val="center"/>
            <w:shd w:fill="FFFFFF"/>
          </w:tcPr>
          <w:p>
            <w:pPr>
              <w:spacing w:after="20"/>
            </w:pPr>
            <w:r/>
            <w:r>
              <w:rPr>
                <w:rFonts w:ascii="Aptos" w:hAnsi="Aptos"/>
                <w:b w:val="0"/>
                <w:sz w:val="14"/>
              </w:rPr>
              <w:t>P1 / Negative</w:t>
            </w:r>
          </w:p>
        </w:tc>
        <w:tc>
          <w:tcPr>
            <w:tcW w:type="dxa" w:w="3672"/>
            <w:vAlign w:val="center"/>
            <w:shd w:fill="FFFFFF"/>
          </w:tcPr>
          <w:p>
            <w:pPr>
              <w:spacing w:after="20"/>
            </w:pPr>
            <w:r/>
            <w:r>
              <w:rPr>
                <w:rFonts w:ascii="Aptos" w:hAnsi="Aptos"/>
                <w:b w:val="0"/>
                <w:sz w:val="14"/>
              </w:rPr>
              <w:t>Send malformed body or unapproved contract version.</w:t>
            </w:r>
          </w:p>
        </w:tc>
        <w:tc>
          <w:tcPr>
            <w:tcW w:type="dxa" w:w="3528"/>
            <w:vAlign w:val="center"/>
            <w:shd w:fill="FFFFFF"/>
          </w:tcPr>
          <w:p>
            <w:pPr>
              <w:spacing w:after="20"/>
            </w:pPr>
            <w:r/>
            <w:r>
              <w:rPr>
                <w:rFonts w:ascii="Aptos" w:hAnsi="Aptos"/>
                <w:b w:val="0"/>
                <w:sz w:val="14"/>
              </w:rPr>
              <w:t>Request is rejected at boundary; no downstream call; response is safe; reason and correlation are logged.</w:t>
            </w:r>
          </w:p>
        </w:tc>
      </w:tr>
      <w:tr>
        <w:tc>
          <w:tcPr>
            <w:tcW w:type="dxa" w:w="691"/>
            <w:vAlign w:val="center"/>
            <w:shd w:fill="F1F6F8"/>
          </w:tcPr>
          <w:p>
            <w:pPr>
              <w:spacing w:after="20"/>
            </w:pPr>
            <w:r/>
            <w:r>
              <w:rPr>
                <w:rFonts w:ascii="Aptos" w:hAnsi="Aptos"/>
                <w:b w:val="0"/>
                <w:sz w:val="14"/>
              </w:rPr>
              <w:t>TC-07</w:t>
            </w:r>
          </w:p>
        </w:tc>
        <w:tc>
          <w:tcPr>
            <w:tcW w:type="dxa" w:w="1800"/>
            <w:vAlign w:val="center"/>
            <w:shd w:fill="F1F6F8"/>
          </w:tcPr>
          <w:p>
            <w:pPr>
              <w:spacing w:after="20"/>
            </w:pPr>
            <w:r/>
            <w:r>
              <w:rPr>
                <w:rFonts w:ascii="Aptos" w:hAnsi="Aptos"/>
                <w:b w:val="0"/>
                <w:sz w:val="14"/>
              </w:rPr>
              <w:t>Payload too large / invalid content type</w:t>
            </w:r>
          </w:p>
        </w:tc>
        <w:tc>
          <w:tcPr>
            <w:tcW w:type="dxa" w:w="1440"/>
            <w:vAlign w:val="center"/>
            <w:shd w:fill="F1F6F8"/>
          </w:tcPr>
          <w:p>
            <w:pPr>
              <w:spacing w:after="20"/>
            </w:pPr>
            <w:r/>
            <w:r>
              <w:rPr>
                <w:rFonts w:ascii="Aptos" w:hAnsi="Aptos"/>
                <w:b w:val="0"/>
                <w:sz w:val="14"/>
              </w:rPr>
              <w:t>P2 / Boundary</w:t>
            </w:r>
          </w:p>
        </w:tc>
        <w:tc>
          <w:tcPr>
            <w:tcW w:type="dxa" w:w="3672"/>
            <w:vAlign w:val="center"/>
            <w:shd w:fill="F1F6F8"/>
          </w:tcPr>
          <w:p>
            <w:pPr>
              <w:spacing w:after="20"/>
            </w:pPr>
            <w:r/>
            <w:r>
              <w:rPr>
                <w:rFonts w:ascii="Aptos" w:hAnsi="Aptos"/>
                <w:b w:val="0"/>
                <w:sz w:val="14"/>
              </w:rPr>
              <w:t>Submit controlled over-limit payload and unsupported media type in approved test setup.</w:t>
            </w:r>
          </w:p>
        </w:tc>
        <w:tc>
          <w:tcPr>
            <w:tcW w:type="dxa" w:w="3528"/>
            <w:vAlign w:val="center"/>
            <w:shd w:fill="F1F6F8"/>
          </w:tcPr>
          <w:p>
            <w:pPr>
              <w:spacing w:after="20"/>
            </w:pPr>
            <w:r/>
            <w:r>
              <w:rPr>
                <w:rFonts w:ascii="Aptos" w:hAnsi="Aptos"/>
                <w:b w:val="0"/>
                <w:sz w:val="14"/>
              </w:rPr>
              <w:t>Boundary rejects request before business processing; no crash or excessive payload retention; event visible to operations.</w:t>
            </w:r>
          </w:p>
        </w:tc>
      </w:tr>
      <w:tr>
        <w:tc>
          <w:tcPr>
            <w:tcW w:type="dxa" w:w="691"/>
            <w:vAlign w:val="center"/>
            <w:shd w:fill="FFFFFF"/>
          </w:tcPr>
          <w:p>
            <w:pPr>
              <w:spacing w:after="20"/>
            </w:pPr>
            <w:r/>
            <w:r>
              <w:rPr>
                <w:rFonts w:ascii="Aptos" w:hAnsi="Aptos"/>
                <w:b w:val="0"/>
                <w:sz w:val="14"/>
              </w:rPr>
              <w:t>TC-08</w:t>
            </w:r>
          </w:p>
        </w:tc>
        <w:tc>
          <w:tcPr>
            <w:tcW w:type="dxa" w:w="1800"/>
            <w:vAlign w:val="center"/>
            <w:shd w:fill="FFFFFF"/>
          </w:tcPr>
          <w:p>
            <w:pPr>
              <w:spacing w:after="20"/>
            </w:pPr>
            <w:r/>
            <w:r>
              <w:rPr>
                <w:rFonts w:ascii="Aptos" w:hAnsi="Aptos"/>
                <w:b w:val="0"/>
                <w:sz w:val="14"/>
              </w:rPr>
              <w:t>Transient downstream outage and recovery</w:t>
            </w:r>
          </w:p>
        </w:tc>
        <w:tc>
          <w:tcPr>
            <w:tcW w:type="dxa" w:w="1440"/>
            <w:vAlign w:val="center"/>
            <w:shd w:fill="FFFFFF"/>
          </w:tcPr>
          <w:p>
            <w:pPr>
              <w:spacing w:after="20"/>
            </w:pPr>
            <w:r/>
            <w:r>
              <w:rPr>
                <w:rFonts w:ascii="Aptos" w:hAnsi="Aptos"/>
                <w:b w:val="0"/>
                <w:sz w:val="14"/>
              </w:rPr>
              <w:t>P1 / Resilience</w:t>
            </w:r>
          </w:p>
        </w:tc>
        <w:tc>
          <w:tcPr>
            <w:tcW w:type="dxa" w:w="3672"/>
            <w:vAlign w:val="center"/>
            <w:shd w:fill="FFFFFF"/>
          </w:tcPr>
          <w:p>
            <w:pPr>
              <w:spacing w:after="20"/>
            </w:pPr>
            <w:r/>
            <w:r>
              <w:rPr>
                <w:rFonts w:ascii="Aptos" w:hAnsi="Aptos"/>
                <w:b w:val="0"/>
                <w:sz w:val="14"/>
              </w:rPr>
              <w:t>Make receiver unavailable in controlled test; submit; restore endpoint; observe bounded retry or sender retry policy.</w:t>
            </w:r>
          </w:p>
        </w:tc>
        <w:tc>
          <w:tcPr>
            <w:tcW w:type="dxa" w:w="3528"/>
            <w:vAlign w:val="center"/>
            <w:shd w:fill="FFFFFF"/>
          </w:tcPr>
          <w:p>
            <w:pPr>
              <w:spacing w:after="20"/>
            </w:pPr>
            <w:r/>
            <w:r>
              <w:rPr>
                <w:rFonts w:ascii="Aptos" w:hAnsi="Aptos"/>
                <w:b w:val="0"/>
                <w:sz w:val="14"/>
              </w:rPr>
              <w:t>Transient failure follows agreed retry ownership/backoff; message eventually resolves once or escalates visibly; no duplicate side effect.</w:t>
            </w:r>
          </w:p>
        </w:tc>
      </w:tr>
      <w:tr>
        <w:tc>
          <w:tcPr>
            <w:tcW w:type="dxa" w:w="691"/>
            <w:vAlign w:val="center"/>
            <w:shd w:fill="F1F6F8"/>
          </w:tcPr>
          <w:p>
            <w:pPr>
              <w:spacing w:after="20"/>
            </w:pPr>
            <w:r/>
            <w:r>
              <w:rPr>
                <w:rFonts w:ascii="Aptos" w:hAnsi="Aptos"/>
                <w:b w:val="0"/>
                <w:sz w:val="14"/>
              </w:rPr>
              <w:t>TC-09</w:t>
            </w:r>
          </w:p>
        </w:tc>
        <w:tc>
          <w:tcPr>
            <w:tcW w:type="dxa" w:w="1800"/>
            <w:vAlign w:val="center"/>
            <w:shd w:fill="F1F6F8"/>
          </w:tcPr>
          <w:p>
            <w:pPr>
              <w:spacing w:after="20"/>
            </w:pPr>
            <w:r/>
            <w:r>
              <w:rPr>
                <w:rFonts w:ascii="Aptos" w:hAnsi="Aptos"/>
                <w:b w:val="0"/>
                <w:sz w:val="14"/>
              </w:rPr>
              <w:t>Retry exhaustion and exception handling</w:t>
            </w:r>
          </w:p>
        </w:tc>
        <w:tc>
          <w:tcPr>
            <w:tcW w:type="dxa" w:w="1440"/>
            <w:vAlign w:val="center"/>
            <w:shd w:fill="F1F6F8"/>
          </w:tcPr>
          <w:p>
            <w:pPr>
              <w:spacing w:after="20"/>
            </w:pPr>
            <w:r/>
            <w:r>
              <w:rPr>
                <w:rFonts w:ascii="Aptos" w:hAnsi="Aptos"/>
                <w:b w:val="0"/>
                <w:sz w:val="14"/>
              </w:rPr>
              <w:t>P1 / Recovery</w:t>
            </w:r>
          </w:p>
        </w:tc>
        <w:tc>
          <w:tcPr>
            <w:tcW w:type="dxa" w:w="3672"/>
            <w:vAlign w:val="center"/>
            <w:shd w:fill="F1F6F8"/>
          </w:tcPr>
          <w:p>
            <w:pPr>
              <w:spacing w:after="20"/>
            </w:pPr>
            <w:r/>
            <w:r>
              <w:rPr>
                <w:rFonts w:ascii="Aptos" w:hAnsi="Aptos"/>
                <w:b w:val="0"/>
                <w:sz w:val="14"/>
              </w:rPr>
              <w:t>Maintain controlled failure beyond configured retry window and inspect alert/exception state.</w:t>
            </w:r>
          </w:p>
        </w:tc>
        <w:tc>
          <w:tcPr>
            <w:tcW w:type="dxa" w:w="3528"/>
            <w:vAlign w:val="center"/>
            <w:shd w:fill="F1F6F8"/>
          </w:tcPr>
          <w:p>
            <w:pPr>
              <w:spacing w:after="20"/>
            </w:pPr>
            <w:r/>
            <w:r>
              <w:rPr>
                <w:rFonts w:ascii="Aptos" w:hAnsi="Aptos"/>
                <w:b w:val="0"/>
                <w:sz w:val="14"/>
              </w:rPr>
              <w:t>Retry stops at agreed bound; message is retained/visible per design; accountable owner is notified; no uncontrolled retry loop.</w:t>
            </w:r>
          </w:p>
        </w:tc>
      </w:tr>
      <w:tr>
        <w:tc>
          <w:tcPr>
            <w:tcW w:type="dxa" w:w="691"/>
            <w:vAlign w:val="center"/>
            <w:shd w:fill="FFFFFF"/>
          </w:tcPr>
          <w:p>
            <w:pPr>
              <w:spacing w:after="20"/>
            </w:pPr>
            <w:r/>
            <w:r>
              <w:rPr>
                <w:rFonts w:ascii="Aptos" w:hAnsi="Aptos"/>
                <w:b w:val="0"/>
                <w:sz w:val="14"/>
              </w:rPr>
              <w:t>TC-10</w:t>
            </w:r>
          </w:p>
        </w:tc>
        <w:tc>
          <w:tcPr>
            <w:tcW w:type="dxa" w:w="1800"/>
            <w:vAlign w:val="center"/>
            <w:shd w:fill="FFFFFF"/>
          </w:tcPr>
          <w:p>
            <w:pPr>
              <w:spacing w:after="20"/>
            </w:pPr>
            <w:r/>
            <w:r>
              <w:rPr>
                <w:rFonts w:ascii="Aptos" w:hAnsi="Aptos"/>
                <w:b w:val="0"/>
                <w:sz w:val="14"/>
              </w:rPr>
              <w:t>Authorized replay after correction</w:t>
            </w:r>
          </w:p>
        </w:tc>
        <w:tc>
          <w:tcPr>
            <w:tcW w:type="dxa" w:w="1440"/>
            <w:vAlign w:val="center"/>
            <w:shd w:fill="FFFFFF"/>
          </w:tcPr>
          <w:p>
            <w:pPr>
              <w:spacing w:after="20"/>
            </w:pPr>
            <w:r/>
            <w:r>
              <w:rPr>
                <w:rFonts w:ascii="Aptos" w:hAnsi="Aptos"/>
                <w:b w:val="0"/>
                <w:sz w:val="14"/>
              </w:rPr>
              <w:t>P1 / Recovery</w:t>
            </w:r>
          </w:p>
        </w:tc>
        <w:tc>
          <w:tcPr>
            <w:tcW w:type="dxa" w:w="3672"/>
            <w:vAlign w:val="center"/>
            <w:shd w:fill="FFFFFF"/>
          </w:tcPr>
          <w:p>
            <w:pPr>
              <w:spacing w:after="20"/>
            </w:pPr>
            <w:r/>
            <w:r>
              <w:rPr>
                <w:rFonts w:ascii="Aptos" w:hAnsi="Aptos"/>
                <w:b w:val="0"/>
                <w:sz w:val="14"/>
              </w:rPr>
              <w:t>Correct an intentionally rejected synthetic record; replay through approved operator path using same reference.</w:t>
            </w:r>
          </w:p>
        </w:tc>
        <w:tc>
          <w:tcPr>
            <w:tcW w:type="dxa" w:w="3528"/>
            <w:vAlign w:val="center"/>
            <w:shd w:fill="FFFFFF"/>
          </w:tcPr>
          <w:p>
            <w:pPr>
              <w:spacing w:after="20"/>
            </w:pPr>
            <w:r/>
            <w:r>
              <w:rPr>
                <w:rFonts w:ascii="Aptos" w:hAnsi="Aptos"/>
                <w:b w:val="0"/>
                <w:sz w:val="14"/>
              </w:rPr>
              <w:t>Actor, reason, before/after states, and timestamps are auditable; replay is duplicate-safe and reaches expected terminal state.</w:t>
            </w:r>
          </w:p>
        </w:tc>
      </w:tr>
      <w:tr>
        <w:tc>
          <w:tcPr>
            <w:tcW w:type="dxa" w:w="691"/>
            <w:vAlign w:val="center"/>
            <w:shd w:fill="F1F6F8"/>
          </w:tcPr>
          <w:p>
            <w:pPr>
              <w:spacing w:after="20"/>
            </w:pPr>
            <w:r/>
            <w:r>
              <w:rPr>
                <w:rFonts w:ascii="Aptos" w:hAnsi="Aptos"/>
                <w:b w:val="0"/>
                <w:sz w:val="14"/>
              </w:rPr>
              <w:t>TC-11</w:t>
            </w:r>
          </w:p>
        </w:tc>
        <w:tc>
          <w:tcPr>
            <w:tcW w:type="dxa" w:w="1800"/>
            <w:vAlign w:val="center"/>
            <w:shd w:fill="F1F6F8"/>
          </w:tcPr>
          <w:p>
            <w:pPr>
              <w:spacing w:after="20"/>
            </w:pPr>
            <w:r/>
            <w:r>
              <w:rPr>
                <w:rFonts w:ascii="Aptos" w:hAnsi="Aptos"/>
                <w:b w:val="0"/>
                <w:sz w:val="14"/>
              </w:rPr>
              <w:t>Status mapping and valid transition</w:t>
            </w:r>
          </w:p>
        </w:tc>
        <w:tc>
          <w:tcPr>
            <w:tcW w:type="dxa" w:w="1440"/>
            <w:vAlign w:val="center"/>
            <w:shd w:fill="F1F6F8"/>
          </w:tcPr>
          <w:p>
            <w:pPr>
              <w:spacing w:after="20"/>
            </w:pPr>
            <w:r/>
            <w:r>
              <w:rPr>
                <w:rFonts w:ascii="Aptos" w:hAnsi="Aptos"/>
                <w:b w:val="0"/>
                <w:sz w:val="14"/>
              </w:rPr>
              <w:t>P1 / Functional</w:t>
            </w:r>
          </w:p>
        </w:tc>
        <w:tc>
          <w:tcPr>
            <w:tcW w:type="dxa" w:w="3672"/>
            <w:vAlign w:val="center"/>
            <w:shd w:fill="F1F6F8"/>
          </w:tcPr>
          <w:p>
            <w:pPr>
              <w:spacing w:after="20"/>
            </w:pPr>
            <w:r/>
            <w:r>
              <w:rPr>
                <w:rFonts w:ascii="Aptos" w:hAnsi="Aptos"/>
                <w:b w:val="0"/>
                <w:sz w:val="14"/>
              </w:rPr>
              <w:t>Send/trigger an approved status update and compare mapping with approved channel vocabulary.</w:t>
            </w:r>
          </w:p>
        </w:tc>
        <w:tc>
          <w:tcPr>
            <w:tcW w:type="dxa" w:w="3528"/>
            <w:vAlign w:val="center"/>
            <w:shd w:fill="F1F6F8"/>
          </w:tcPr>
          <w:p>
            <w:pPr>
              <w:spacing w:after="20"/>
            </w:pPr>
            <w:r/>
            <w:r>
              <w:rPr>
                <w:rFonts w:ascii="Aptos" w:hAnsi="Aptos"/>
                <w:b w:val="0"/>
                <w:sz w:val="14"/>
              </w:rPr>
              <w:t>Correct order and status are correlated; only approved transition is published; event timestamp and reference are retained.</w:t>
            </w:r>
          </w:p>
        </w:tc>
      </w:tr>
      <w:tr>
        <w:tc>
          <w:tcPr>
            <w:tcW w:type="dxa" w:w="691"/>
            <w:vAlign w:val="center"/>
            <w:shd w:fill="FFFFFF"/>
          </w:tcPr>
          <w:p>
            <w:pPr>
              <w:spacing w:after="20"/>
            </w:pPr>
            <w:r/>
            <w:r>
              <w:rPr>
                <w:rFonts w:ascii="Aptos" w:hAnsi="Aptos"/>
                <w:b w:val="0"/>
                <w:sz w:val="14"/>
              </w:rPr>
              <w:t>TC-12</w:t>
            </w:r>
          </w:p>
        </w:tc>
        <w:tc>
          <w:tcPr>
            <w:tcW w:type="dxa" w:w="1800"/>
            <w:vAlign w:val="center"/>
            <w:shd w:fill="FFFFFF"/>
          </w:tcPr>
          <w:p>
            <w:pPr>
              <w:spacing w:after="20"/>
            </w:pPr>
            <w:r/>
            <w:r>
              <w:rPr>
                <w:rFonts w:ascii="Aptos" w:hAnsi="Aptos"/>
                <w:b w:val="0"/>
                <w:sz w:val="14"/>
              </w:rPr>
              <w:t>Duplicate or out-of-order status</w:t>
            </w:r>
          </w:p>
        </w:tc>
        <w:tc>
          <w:tcPr>
            <w:tcW w:type="dxa" w:w="1440"/>
            <w:vAlign w:val="center"/>
            <w:shd w:fill="FFFFFF"/>
          </w:tcPr>
          <w:p>
            <w:pPr>
              <w:spacing w:after="20"/>
            </w:pPr>
            <w:r/>
            <w:r>
              <w:rPr>
                <w:rFonts w:ascii="Aptos" w:hAnsi="Aptos"/>
                <w:b w:val="0"/>
                <w:sz w:val="14"/>
              </w:rPr>
              <w:t>P2 / Resilience</w:t>
            </w:r>
          </w:p>
        </w:tc>
        <w:tc>
          <w:tcPr>
            <w:tcW w:type="dxa" w:w="3672"/>
            <w:vAlign w:val="center"/>
            <w:shd w:fill="FFFFFF"/>
          </w:tcPr>
          <w:p>
            <w:pPr>
              <w:spacing w:after="20"/>
            </w:pPr>
            <w:r/>
            <w:r>
              <w:rPr>
                <w:rFonts w:ascii="Aptos" w:hAnsi="Aptos"/>
                <w:b w:val="0"/>
                <w:sz w:val="14"/>
              </w:rPr>
              <w:t>Deliver same status twice and then a later/earlier sequence as permitted by test contract.</w:t>
            </w:r>
          </w:p>
        </w:tc>
        <w:tc>
          <w:tcPr>
            <w:tcW w:type="dxa" w:w="3528"/>
            <w:vAlign w:val="center"/>
            <w:shd w:fill="FFFFFF"/>
          </w:tcPr>
          <w:p>
            <w:pPr>
              <w:spacing w:after="20"/>
            </w:pPr>
            <w:r/>
            <w:r>
              <w:rPr>
                <w:rFonts w:ascii="Aptos" w:hAnsi="Aptos"/>
                <w:b w:val="0"/>
                <w:sz w:val="14"/>
              </w:rPr>
              <w:t>Duplicate is suppressed or safely tolerated; stale update does not regress state unless contract explicitly allows it.</w:t>
            </w:r>
          </w:p>
        </w:tc>
      </w:tr>
      <w:tr>
        <w:tc>
          <w:tcPr>
            <w:tcW w:type="dxa" w:w="691"/>
            <w:vAlign w:val="center"/>
            <w:shd w:fill="F1F6F8"/>
          </w:tcPr>
          <w:p>
            <w:pPr>
              <w:spacing w:after="20"/>
            </w:pPr>
            <w:r/>
            <w:r>
              <w:rPr>
                <w:rFonts w:ascii="Aptos" w:hAnsi="Aptos"/>
                <w:b w:val="0"/>
                <w:sz w:val="14"/>
              </w:rPr>
              <w:t>TC-13</w:t>
            </w:r>
          </w:p>
        </w:tc>
        <w:tc>
          <w:tcPr>
            <w:tcW w:type="dxa" w:w="1800"/>
            <w:vAlign w:val="center"/>
            <w:shd w:fill="F1F6F8"/>
          </w:tcPr>
          <w:p>
            <w:pPr>
              <w:spacing w:after="20"/>
            </w:pPr>
            <w:r/>
            <w:r>
              <w:rPr>
                <w:rFonts w:ascii="Aptos" w:hAnsi="Aptos"/>
                <w:b w:val="0"/>
                <w:sz w:val="14"/>
              </w:rPr>
              <w:t>Reconciliation of missing or duplicate outcome</w:t>
            </w:r>
          </w:p>
        </w:tc>
        <w:tc>
          <w:tcPr>
            <w:tcW w:type="dxa" w:w="1440"/>
            <w:vAlign w:val="center"/>
            <w:shd w:fill="F1F6F8"/>
          </w:tcPr>
          <w:p>
            <w:pPr>
              <w:spacing w:after="20"/>
            </w:pPr>
            <w:r/>
            <w:r>
              <w:rPr>
                <w:rFonts w:ascii="Aptos" w:hAnsi="Aptos"/>
                <w:b w:val="0"/>
                <w:sz w:val="14"/>
              </w:rPr>
              <w:t>P1 / Control</w:t>
            </w:r>
          </w:p>
        </w:tc>
        <w:tc>
          <w:tcPr>
            <w:tcW w:type="dxa" w:w="3672"/>
            <w:vAlign w:val="center"/>
            <w:shd w:fill="F1F6F8"/>
          </w:tcPr>
          <w:p>
            <w:pPr>
              <w:spacing w:after="20"/>
            </w:pPr>
            <w:r/>
            <w:r>
              <w:rPr>
                <w:rFonts w:ascii="Aptos" w:hAnsi="Aptos"/>
                <w:b w:val="0"/>
                <w:sz w:val="14"/>
              </w:rPr>
              <w:t>Seed synthetic cases with accepted, rejected, pending, and deliberately missing status in controlled records.</w:t>
            </w:r>
          </w:p>
        </w:tc>
        <w:tc>
          <w:tcPr>
            <w:tcW w:type="dxa" w:w="3528"/>
            <w:vAlign w:val="center"/>
            <w:shd w:fill="F1F6F8"/>
          </w:tcPr>
          <w:p>
            <w:pPr>
              <w:spacing w:after="20"/>
            </w:pPr>
            <w:r/>
            <w:r>
              <w:rPr>
                <w:rFonts w:ascii="Aptos" w:hAnsi="Aptos"/>
                <w:b w:val="0"/>
                <w:sz w:val="14"/>
              </w:rPr>
              <w:t>Report identifies count/state variance by stable reference and period; assigned owner and resolution path are clear.</w:t>
            </w:r>
          </w:p>
        </w:tc>
      </w:tr>
      <w:tr>
        <w:tc>
          <w:tcPr>
            <w:tcW w:type="dxa" w:w="691"/>
            <w:vAlign w:val="center"/>
            <w:shd w:fill="FFFFFF"/>
          </w:tcPr>
          <w:p>
            <w:pPr>
              <w:spacing w:after="20"/>
            </w:pPr>
            <w:r/>
            <w:r>
              <w:rPr>
                <w:rFonts w:ascii="Aptos" w:hAnsi="Aptos"/>
                <w:b w:val="0"/>
                <w:sz w:val="14"/>
              </w:rPr>
              <w:t>TC-14</w:t>
            </w:r>
          </w:p>
        </w:tc>
        <w:tc>
          <w:tcPr>
            <w:tcW w:type="dxa" w:w="1800"/>
            <w:vAlign w:val="center"/>
            <w:shd w:fill="FFFFFF"/>
          </w:tcPr>
          <w:p>
            <w:pPr>
              <w:spacing w:after="20"/>
            </w:pPr>
            <w:r/>
            <w:r>
              <w:rPr>
                <w:rFonts w:ascii="Aptos" w:hAnsi="Aptos"/>
                <w:b w:val="0"/>
                <w:sz w:val="14"/>
              </w:rPr>
              <w:t>Monitoring and alert routing</w:t>
            </w:r>
          </w:p>
        </w:tc>
        <w:tc>
          <w:tcPr>
            <w:tcW w:type="dxa" w:w="1440"/>
            <w:vAlign w:val="center"/>
            <w:shd w:fill="FFFFFF"/>
          </w:tcPr>
          <w:p>
            <w:pPr>
              <w:spacing w:after="20"/>
            </w:pPr>
            <w:r/>
            <w:r>
              <w:rPr>
                <w:rFonts w:ascii="Aptos" w:hAnsi="Aptos"/>
                <w:b w:val="0"/>
                <w:sz w:val="14"/>
              </w:rPr>
              <w:t>P1 / Operations</w:t>
            </w:r>
          </w:p>
        </w:tc>
        <w:tc>
          <w:tcPr>
            <w:tcW w:type="dxa" w:w="3672"/>
            <w:vAlign w:val="center"/>
            <w:shd w:fill="FFFFFF"/>
          </w:tcPr>
          <w:p>
            <w:pPr>
              <w:spacing w:after="20"/>
            </w:pPr>
            <w:r/>
            <w:r>
              <w:rPr>
                <w:rFonts w:ascii="Aptos" w:hAnsi="Aptos"/>
                <w:b w:val="0"/>
                <w:sz w:val="14"/>
              </w:rPr>
              <w:t>Trigger a controlled failure and inspect message state, alert threshold, recipient route, and runbook reference.</w:t>
            </w:r>
          </w:p>
        </w:tc>
        <w:tc>
          <w:tcPr>
            <w:tcW w:type="dxa" w:w="3528"/>
            <w:vAlign w:val="center"/>
            <w:shd w:fill="FFFFFF"/>
          </w:tcPr>
          <w:p>
            <w:pPr>
              <w:spacing w:after="20"/>
            </w:pPr>
            <w:r/>
            <w:r>
              <w:rPr>
                <w:rFonts w:ascii="Aptos" w:hAnsi="Aptos"/>
                <w:b w:val="0"/>
                <w:sz w:val="14"/>
              </w:rPr>
              <w:t>Alert is actionable, timely against agreed threshold, contains correlation but no unnecessary sensitive payload, and routes to correct support role.</w:t>
            </w:r>
          </w:p>
        </w:tc>
      </w:tr>
      <w:tr>
        <w:tc>
          <w:tcPr>
            <w:tcW w:type="dxa" w:w="691"/>
            <w:vAlign w:val="center"/>
            <w:shd w:fill="F1F6F8"/>
          </w:tcPr>
          <w:p>
            <w:pPr>
              <w:spacing w:after="20"/>
            </w:pPr>
            <w:r/>
            <w:r>
              <w:rPr>
                <w:rFonts w:ascii="Aptos" w:hAnsi="Aptos"/>
                <w:b w:val="0"/>
                <w:sz w:val="14"/>
              </w:rPr>
              <w:t>TC-15</w:t>
            </w:r>
          </w:p>
        </w:tc>
        <w:tc>
          <w:tcPr>
            <w:tcW w:type="dxa" w:w="1800"/>
            <w:vAlign w:val="center"/>
            <w:shd w:fill="F1F6F8"/>
          </w:tcPr>
          <w:p>
            <w:pPr>
              <w:spacing w:after="20"/>
            </w:pPr>
            <w:r/>
            <w:r>
              <w:rPr>
                <w:rFonts w:ascii="Aptos" w:hAnsi="Aptos"/>
                <w:b w:val="0"/>
                <w:sz w:val="14"/>
              </w:rPr>
              <w:t>Audit and diagnostic data minimization</w:t>
            </w:r>
          </w:p>
        </w:tc>
        <w:tc>
          <w:tcPr>
            <w:tcW w:type="dxa" w:w="1440"/>
            <w:vAlign w:val="center"/>
            <w:shd w:fill="F1F6F8"/>
          </w:tcPr>
          <w:p>
            <w:pPr>
              <w:spacing w:after="20"/>
            </w:pPr>
            <w:r/>
            <w:r>
              <w:rPr>
                <w:rFonts w:ascii="Aptos" w:hAnsi="Aptos"/>
                <w:b w:val="0"/>
                <w:sz w:val="14"/>
              </w:rPr>
              <w:t>P1 / Security</w:t>
            </w:r>
          </w:p>
        </w:tc>
        <w:tc>
          <w:tcPr>
            <w:tcW w:type="dxa" w:w="3672"/>
            <w:vAlign w:val="center"/>
            <w:shd w:fill="F1F6F8"/>
          </w:tcPr>
          <w:p>
            <w:pPr>
              <w:spacing w:after="20"/>
            </w:pPr>
            <w:r/>
            <w:r>
              <w:rPr>
                <w:rFonts w:ascii="Aptos" w:hAnsi="Aptos"/>
                <w:b w:val="0"/>
                <w:sz w:val="14"/>
              </w:rPr>
              <w:t>Inspect permitted logs/traces for a synthetic request containing test-only sensitive-like sentinel string.</w:t>
            </w:r>
          </w:p>
        </w:tc>
        <w:tc>
          <w:tcPr>
            <w:tcW w:type="dxa" w:w="3528"/>
            <w:vAlign w:val="center"/>
            <w:shd w:fill="F1F6F8"/>
          </w:tcPr>
          <w:p>
            <w:pPr>
              <w:spacing w:after="20"/>
            </w:pPr>
            <w:r/>
            <w:r>
              <w:rPr>
                <w:rFonts w:ascii="Aptos" w:hAnsi="Aptos"/>
                <w:b w:val="0"/>
                <w:sz w:val="14"/>
              </w:rPr>
              <w:t>Logs expose only approved fields; sentinel is masked/absent where required; access and retention follow policy.</w:t>
            </w:r>
          </w:p>
        </w:tc>
      </w:tr>
      <w:tr>
        <w:tc>
          <w:tcPr>
            <w:tcW w:type="dxa" w:w="691"/>
            <w:vAlign w:val="center"/>
            <w:shd w:fill="FFFFFF"/>
          </w:tcPr>
          <w:p>
            <w:pPr>
              <w:spacing w:after="20"/>
            </w:pPr>
            <w:r/>
            <w:r>
              <w:rPr>
                <w:rFonts w:ascii="Aptos" w:hAnsi="Aptos"/>
                <w:b w:val="0"/>
                <w:sz w:val="14"/>
              </w:rPr>
              <w:t>TC-16</w:t>
            </w:r>
          </w:p>
        </w:tc>
        <w:tc>
          <w:tcPr>
            <w:tcW w:type="dxa" w:w="1800"/>
            <w:vAlign w:val="center"/>
            <w:shd w:fill="FFFFFF"/>
          </w:tcPr>
          <w:p>
            <w:pPr>
              <w:spacing w:after="20"/>
            </w:pPr>
            <w:r/>
            <w:r>
              <w:rPr>
                <w:rFonts w:ascii="Aptos" w:hAnsi="Aptos"/>
                <w:b w:val="0"/>
                <w:sz w:val="14"/>
              </w:rPr>
              <w:t>Unauthenticated / unauthorized caller</w:t>
            </w:r>
          </w:p>
        </w:tc>
        <w:tc>
          <w:tcPr>
            <w:tcW w:type="dxa" w:w="1440"/>
            <w:vAlign w:val="center"/>
            <w:shd w:fill="FFFFFF"/>
          </w:tcPr>
          <w:p>
            <w:pPr>
              <w:spacing w:after="20"/>
            </w:pPr>
            <w:r/>
            <w:r>
              <w:rPr>
                <w:rFonts w:ascii="Aptos" w:hAnsi="Aptos"/>
                <w:b w:val="0"/>
                <w:sz w:val="14"/>
              </w:rPr>
              <w:t>P1 / Security</w:t>
            </w:r>
          </w:p>
        </w:tc>
        <w:tc>
          <w:tcPr>
            <w:tcW w:type="dxa" w:w="3672"/>
            <w:vAlign w:val="center"/>
            <w:shd w:fill="FFFFFF"/>
          </w:tcPr>
          <w:p>
            <w:pPr>
              <w:spacing w:after="20"/>
            </w:pPr>
            <w:r/>
            <w:r>
              <w:rPr>
                <w:rFonts w:ascii="Aptos" w:hAnsi="Aptos"/>
                <w:b w:val="0"/>
                <w:sz w:val="14"/>
              </w:rPr>
              <w:t>Call boundary without credential and with a valid test identity lacking required permission.</w:t>
            </w:r>
          </w:p>
        </w:tc>
        <w:tc>
          <w:tcPr>
            <w:tcW w:type="dxa" w:w="3528"/>
            <w:vAlign w:val="center"/>
            <w:shd w:fill="FFFFFF"/>
          </w:tcPr>
          <w:p>
            <w:pPr>
              <w:spacing w:after="20"/>
            </w:pPr>
            <w:r/>
            <w:r>
              <w:rPr>
                <w:rFonts w:ascii="Aptos" w:hAnsi="Aptos"/>
                <w:b w:val="0"/>
                <w:sz w:val="14"/>
              </w:rPr>
              <w:t>Both attempts are denied; no business side effect occurs; security event is recorded without credential leakage.</w:t>
            </w:r>
          </w:p>
        </w:tc>
      </w:tr>
      <w:tr>
        <w:tc>
          <w:tcPr>
            <w:tcW w:type="dxa" w:w="691"/>
            <w:vAlign w:val="center"/>
            <w:shd w:fill="F1F6F8"/>
          </w:tcPr>
          <w:p>
            <w:pPr>
              <w:spacing w:after="20"/>
            </w:pPr>
            <w:r/>
            <w:r>
              <w:rPr>
                <w:rFonts w:ascii="Aptos" w:hAnsi="Aptos"/>
                <w:b w:val="0"/>
                <w:sz w:val="14"/>
              </w:rPr>
              <w:t>TC-17</w:t>
            </w:r>
          </w:p>
        </w:tc>
        <w:tc>
          <w:tcPr>
            <w:tcW w:type="dxa" w:w="1800"/>
            <w:vAlign w:val="center"/>
            <w:shd w:fill="F1F6F8"/>
          </w:tcPr>
          <w:p>
            <w:pPr>
              <w:spacing w:after="20"/>
            </w:pPr>
            <w:r/>
            <w:r>
              <w:rPr>
                <w:rFonts w:ascii="Aptos" w:hAnsi="Aptos"/>
                <w:b w:val="0"/>
                <w:sz w:val="14"/>
              </w:rPr>
              <w:t>Credential expiry / certificate rotation</w:t>
            </w:r>
          </w:p>
        </w:tc>
        <w:tc>
          <w:tcPr>
            <w:tcW w:type="dxa" w:w="1440"/>
            <w:vAlign w:val="center"/>
            <w:shd w:fill="F1F6F8"/>
          </w:tcPr>
          <w:p>
            <w:pPr>
              <w:spacing w:after="20"/>
            </w:pPr>
            <w:r/>
            <w:r>
              <w:rPr>
                <w:rFonts w:ascii="Aptos" w:hAnsi="Aptos"/>
                <w:b w:val="0"/>
                <w:sz w:val="14"/>
              </w:rPr>
              <w:t>P2 / Security</w:t>
            </w:r>
          </w:p>
        </w:tc>
        <w:tc>
          <w:tcPr>
            <w:tcW w:type="dxa" w:w="3672"/>
            <w:vAlign w:val="center"/>
            <w:shd w:fill="F1F6F8"/>
          </w:tcPr>
          <w:p>
            <w:pPr>
              <w:spacing w:after="20"/>
            </w:pPr>
            <w:r/>
            <w:r>
              <w:rPr>
                <w:rFonts w:ascii="Aptos" w:hAnsi="Aptos"/>
                <w:b w:val="0"/>
                <w:sz w:val="14"/>
              </w:rPr>
              <w:t>In authorized test environment, exercise expired credential handling and approved rotation/recovery procedure.</w:t>
            </w:r>
          </w:p>
        </w:tc>
        <w:tc>
          <w:tcPr>
            <w:tcW w:type="dxa" w:w="3528"/>
            <w:vAlign w:val="center"/>
            <w:shd w:fill="F1F6F8"/>
          </w:tcPr>
          <w:p>
            <w:pPr>
              <w:spacing w:after="20"/>
            </w:pPr>
            <w:r/>
            <w:r>
              <w:rPr>
                <w:rFonts w:ascii="Aptos" w:hAnsi="Aptos"/>
                <w:b w:val="0"/>
                <w:sz w:val="14"/>
              </w:rPr>
              <w:t>Expired identity is rejected; renewed identity works only with intended scope; expiry/revocation process is observable.</w:t>
            </w:r>
          </w:p>
        </w:tc>
      </w:tr>
      <w:tr>
        <w:tc>
          <w:tcPr>
            <w:tcW w:type="dxa" w:w="691"/>
            <w:vAlign w:val="center"/>
            <w:shd w:fill="FFFFFF"/>
          </w:tcPr>
          <w:p>
            <w:pPr>
              <w:spacing w:after="20"/>
            </w:pPr>
            <w:r/>
            <w:r>
              <w:rPr>
                <w:rFonts w:ascii="Aptos" w:hAnsi="Aptos"/>
                <w:b w:val="0"/>
                <w:sz w:val="14"/>
              </w:rPr>
              <w:t>TC-18</w:t>
            </w:r>
          </w:p>
        </w:tc>
        <w:tc>
          <w:tcPr>
            <w:tcW w:type="dxa" w:w="1800"/>
            <w:vAlign w:val="center"/>
            <w:shd w:fill="FFFFFF"/>
          </w:tcPr>
          <w:p>
            <w:pPr>
              <w:spacing w:after="20"/>
            </w:pPr>
            <w:r/>
            <w:r>
              <w:rPr>
                <w:rFonts w:ascii="Aptos" w:hAnsi="Aptos"/>
                <w:b w:val="0"/>
                <w:sz w:val="14"/>
              </w:rPr>
              <w:t>Performance / concurrency envelope</w:t>
            </w:r>
          </w:p>
        </w:tc>
        <w:tc>
          <w:tcPr>
            <w:tcW w:type="dxa" w:w="1440"/>
            <w:vAlign w:val="center"/>
            <w:shd w:fill="FFFFFF"/>
          </w:tcPr>
          <w:p>
            <w:pPr>
              <w:spacing w:after="20"/>
            </w:pPr>
            <w:r/>
            <w:r>
              <w:rPr>
                <w:rFonts w:ascii="Aptos" w:hAnsi="Aptos"/>
                <w:b w:val="0"/>
                <w:sz w:val="14"/>
              </w:rPr>
              <w:t>P2 / Nonfunctional</w:t>
            </w:r>
          </w:p>
        </w:tc>
        <w:tc>
          <w:tcPr>
            <w:tcW w:type="dxa" w:w="3672"/>
            <w:vAlign w:val="center"/>
            <w:shd w:fill="FFFFFF"/>
          </w:tcPr>
          <w:p>
            <w:pPr>
              <w:spacing w:after="20"/>
            </w:pPr>
            <w:r/>
            <w:r>
              <w:rPr>
                <w:rFonts w:ascii="Aptos" w:hAnsi="Aptos"/>
                <w:b w:val="0"/>
                <w:sz w:val="14"/>
              </w:rPr>
              <w:t>After targets and safe limits are approved, send controlled representative load and record latency, errors, queue age, and resource indicators.</w:t>
            </w:r>
          </w:p>
        </w:tc>
        <w:tc>
          <w:tcPr>
            <w:tcW w:type="dxa" w:w="3528"/>
            <w:vAlign w:val="center"/>
            <w:shd w:fill="FFFFFF"/>
          </w:tcPr>
          <w:p>
            <w:pPr>
              <w:spacing w:after="20"/>
            </w:pPr>
            <w:r/>
            <w:r>
              <w:rPr>
                <w:rFonts w:ascii="Aptos" w:hAnsi="Aptos"/>
                <w:b w:val="0"/>
                <w:sz w:val="14"/>
              </w:rPr>
              <w:t>Results are compared with agreed targets and test conditions; no production claim; platform owner approves test boundary.</w:t>
            </w:r>
          </w:p>
        </w:tc>
      </w:tr>
    </w:tbl>
    <w:p>
      <w:pPr>
        <w:spacing w:after="20"/>
      </w:pPr>
    </w:p>
    <w:p>
      <w:pPr>
        <w:pStyle w:val="Heading1"/>
      </w:pPr>
      <w:r>
        <w:t>5. Detailed execution record template</w:t>
      </w:r>
    </w:p>
    <w:p>
      <w:r>
        <w:t>For each case, create an execution record using this structure. Do not fill actual result or status until the case has been run in the approved environment.</w:t>
      </w:r>
    </w:p>
    <w:tbl>
      <w:tblPr>
        <w:tblStyle w:val="TableGrid"/>
        <w:tblW w:type="auto" w:w="0"/>
        <w:jc w:val="center"/>
        <w:tblLayout w:type="fixed"/>
        <w:tblLook w:firstColumn="1" w:firstRow="1" w:lastColumn="0" w:lastRow="0" w:noHBand="0" w:noVBand="1" w:val="04A0"/>
      </w:tblPr>
      <w:tblGrid>
        <w:gridCol w:w="5141"/>
        <w:gridCol w:w="5141"/>
      </w:tblGrid>
      <w:tr>
        <w:trPr>
          <w:tblHeader w:val="true"/>
        </w:trPr>
        <w:tc>
          <w:tcPr>
            <w:tcW w:type="dxa" w:w="2232"/>
            <w:vAlign w:val="center"/>
            <w:shd w:fill="15324B"/>
          </w:tcPr>
          <w:p>
            <w:pPr>
              <w:spacing w:after="20"/>
            </w:pPr>
            <w:r/>
            <w:r>
              <w:rPr>
                <w:rFonts w:ascii="Aptos" w:hAnsi="Aptos"/>
                <w:b/>
                <w:color w:val="FFFFFF"/>
                <w:sz w:val="15"/>
              </w:rPr>
              <w:t>FIELD</w:t>
            </w:r>
          </w:p>
        </w:tc>
        <w:tc>
          <w:tcPr>
            <w:tcW w:type="dxa" w:w="7992"/>
            <w:vAlign w:val="center"/>
            <w:shd w:fill="15324B"/>
          </w:tcPr>
          <w:p>
            <w:pPr>
              <w:spacing w:after="20"/>
            </w:pPr>
            <w:r/>
            <w:r>
              <w:rPr>
                <w:rFonts w:ascii="Aptos" w:hAnsi="Aptos"/>
                <w:b/>
                <w:color w:val="FFFFFF"/>
                <w:sz w:val="15"/>
              </w:rPr>
              <w:t>RECORD</w:t>
            </w:r>
          </w:p>
        </w:tc>
      </w:tr>
      <w:tr>
        <w:tc>
          <w:tcPr>
            <w:tcW w:type="dxa" w:w="2232"/>
            <w:vAlign w:val="center"/>
            <w:shd w:fill="F1F6F8"/>
          </w:tcPr>
          <w:p>
            <w:pPr>
              <w:spacing w:after="20"/>
            </w:pPr>
            <w:r/>
            <w:r>
              <w:rPr>
                <w:rFonts w:ascii="Aptos" w:hAnsi="Aptos"/>
                <w:b w:val="0"/>
                <w:sz w:val="14"/>
              </w:rPr>
              <w:t>Case ID / version</w:t>
            </w:r>
          </w:p>
        </w:tc>
        <w:tc>
          <w:tcPr>
            <w:tcW w:type="dxa" w:w="7992"/>
            <w:vAlign w:val="center"/>
            <w:shd w:fill="F1F6F8"/>
          </w:tcPr>
          <w:p>
            <w:pPr>
              <w:spacing w:after="20"/>
            </w:pPr>
            <w:r/>
            <w:r>
              <w:rPr>
                <w:rFonts w:ascii="Aptos" w:hAnsi="Aptos"/>
                <w:b w:val="0"/>
                <w:sz w:val="14"/>
              </w:rPr>
              <w:t>TC-__ / test-plan version / interface-contract version</w:t>
            </w:r>
          </w:p>
        </w:tc>
      </w:tr>
      <w:tr>
        <w:tc>
          <w:tcPr>
            <w:tcW w:type="dxa" w:w="2232"/>
            <w:vAlign w:val="center"/>
            <w:shd w:fill="FFFFFF"/>
          </w:tcPr>
          <w:p>
            <w:pPr>
              <w:spacing w:after="20"/>
            </w:pPr>
            <w:r/>
            <w:r>
              <w:rPr>
                <w:rFonts w:ascii="Aptos" w:hAnsi="Aptos"/>
                <w:b w:val="0"/>
                <w:sz w:val="14"/>
              </w:rPr>
              <w:t>Execution context</w:t>
            </w:r>
          </w:p>
        </w:tc>
        <w:tc>
          <w:tcPr>
            <w:tcW w:type="dxa" w:w="7992"/>
            <w:vAlign w:val="center"/>
            <w:shd w:fill="FFFFFF"/>
          </w:tcPr>
          <w:p>
            <w:pPr>
              <w:spacing w:after="20"/>
            </w:pPr>
            <w:r/>
            <w:r>
              <w:rPr>
                <w:rFonts w:ascii="Aptos" w:hAnsi="Aptos"/>
                <w:b w:val="0"/>
                <w:sz w:val="14"/>
              </w:rPr>
              <w:t>Date/time and time zone; environment and build; tester role; endpoint/API version</w:t>
            </w:r>
          </w:p>
        </w:tc>
      </w:tr>
      <w:tr>
        <w:tc>
          <w:tcPr>
            <w:tcW w:type="dxa" w:w="2232"/>
            <w:vAlign w:val="center"/>
            <w:shd w:fill="F1F6F8"/>
          </w:tcPr>
          <w:p>
            <w:pPr>
              <w:spacing w:after="20"/>
            </w:pPr>
            <w:r/>
            <w:r>
              <w:rPr>
                <w:rFonts w:ascii="Aptos" w:hAnsi="Aptos"/>
                <w:b w:val="0"/>
                <w:sz w:val="14"/>
              </w:rPr>
              <w:t>Preconditions</w:t>
            </w:r>
          </w:p>
        </w:tc>
        <w:tc>
          <w:tcPr>
            <w:tcW w:type="dxa" w:w="7992"/>
            <w:vAlign w:val="center"/>
            <w:shd w:fill="F1F6F8"/>
          </w:tcPr>
          <w:p>
            <w:pPr>
              <w:spacing w:after="20"/>
            </w:pPr>
            <w:r/>
            <w:r>
              <w:rPr>
                <w:rFonts w:ascii="Aptos" w:hAnsi="Aptos"/>
                <w:b w:val="0"/>
                <w:sz w:val="14"/>
              </w:rPr>
              <w:t>Configuration, master data, queue/monitor state, credentials approved, and cleanup plan</w:t>
            </w:r>
          </w:p>
        </w:tc>
      </w:tr>
      <w:tr>
        <w:tc>
          <w:tcPr>
            <w:tcW w:type="dxa" w:w="2232"/>
            <w:vAlign w:val="center"/>
            <w:shd w:fill="FFFFFF"/>
          </w:tcPr>
          <w:p>
            <w:pPr>
              <w:spacing w:after="20"/>
            </w:pPr>
            <w:r/>
            <w:r>
              <w:rPr>
                <w:rFonts w:ascii="Aptos" w:hAnsi="Aptos"/>
                <w:b w:val="0"/>
                <w:sz w:val="14"/>
              </w:rPr>
              <w:t>Synthetic input</w:t>
            </w:r>
          </w:p>
        </w:tc>
        <w:tc>
          <w:tcPr>
            <w:tcW w:type="dxa" w:w="7992"/>
            <w:vAlign w:val="center"/>
            <w:shd w:fill="FFFFFF"/>
          </w:tcPr>
          <w:p>
            <w:pPr>
              <w:spacing w:after="20"/>
            </w:pPr>
            <w:r/>
            <w:r>
              <w:rPr>
                <w:rFonts w:ascii="Aptos" w:hAnsi="Aptos"/>
                <w:b w:val="0"/>
                <w:sz w:val="14"/>
              </w:rPr>
              <w:t>Fixture ID, business reference, expected mapping, and data classification</w:t>
            </w:r>
          </w:p>
        </w:tc>
      </w:tr>
      <w:tr>
        <w:tc>
          <w:tcPr>
            <w:tcW w:type="dxa" w:w="2232"/>
            <w:vAlign w:val="center"/>
            <w:shd w:fill="F1F6F8"/>
          </w:tcPr>
          <w:p>
            <w:pPr>
              <w:spacing w:after="20"/>
            </w:pPr>
            <w:r/>
            <w:r>
              <w:rPr>
                <w:rFonts w:ascii="Aptos" w:hAnsi="Aptos"/>
                <w:b w:val="0"/>
                <w:sz w:val="14"/>
              </w:rPr>
              <w:t>Steps</w:t>
            </w:r>
          </w:p>
        </w:tc>
        <w:tc>
          <w:tcPr>
            <w:tcW w:type="dxa" w:w="7992"/>
            <w:vAlign w:val="center"/>
            <w:shd w:fill="F1F6F8"/>
          </w:tcPr>
          <w:p>
            <w:pPr>
              <w:spacing w:after="20"/>
            </w:pPr>
            <w:r/>
            <w:r>
              <w:rPr>
                <w:rFonts w:ascii="Aptos" w:hAnsi="Aptos"/>
                <w:b w:val="0"/>
                <w:sz w:val="14"/>
              </w:rPr>
              <w:t>Numbered actions with input values or fixture references</w:t>
            </w:r>
          </w:p>
        </w:tc>
      </w:tr>
      <w:tr>
        <w:tc>
          <w:tcPr>
            <w:tcW w:type="dxa" w:w="2232"/>
            <w:vAlign w:val="center"/>
            <w:shd w:fill="FFFFFF"/>
          </w:tcPr>
          <w:p>
            <w:pPr>
              <w:spacing w:after="20"/>
            </w:pPr>
            <w:r/>
            <w:r>
              <w:rPr>
                <w:rFonts w:ascii="Aptos" w:hAnsi="Aptos"/>
                <w:b w:val="0"/>
                <w:sz w:val="14"/>
              </w:rPr>
              <w:t>Expected result</w:t>
            </w:r>
          </w:p>
        </w:tc>
        <w:tc>
          <w:tcPr>
            <w:tcW w:type="dxa" w:w="7992"/>
            <w:vAlign w:val="center"/>
            <w:shd w:fill="FFFFFF"/>
          </w:tcPr>
          <w:p>
            <w:pPr>
              <w:spacing w:after="20"/>
            </w:pPr>
            <w:r/>
            <w:r>
              <w:rPr>
                <w:rFonts w:ascii="Aptos" w:hAnsi="Aptos"/>
                <w:b w:val="0"/>
                <w:sz w:val="14"/>
              </w:rPr>
              <w:t>Business outcome, technical response, message state, side effects, and evidence locations</w:t>
            </w:r>
          </w:p>
        </w:tc>
      </w:tr>
      <w:tr>
        <w:tc>
          <w:tcPr>
            <w:tcW w:type="dxa" w:w="2232"/>
            <w:vAlign w:val="center"/>
            <w:shd w:fill="F1F6F8"/>
          </w:tcPr>
          <w:p>
            <w:pPr>
              <w:spacing w:after="20"/>
            </w:pPr>
            <w:r/>
            <w:r>
              <w:rPr>
                <w:rFonts w:ascii="Aptos" w:hAnsi="Aptos"/>
                <w:b w:val="0"/>
                <w:sz w:val="14"/>
              </w:rPr>
              <w:t>Actual result</w:t>
            </w:r>
          </w:p>
        </w:tc>
        <w:tc>
          <w:tcPr>
            <w:tcW w:type="dxa" w:w="7992"/>
            <w:vAlign w:val="center"/>
            <w:shd w:fill="F1F6F8"/>
          </w:tcPr>
          <w:p>
            <w:pPr>
              <w:spacing w:after="20"/>
            </w:pPr>
            <w:r/>
            <w:r>
              <w:rPr>
                <w:rFonts w:ascii="Aptos" w:hAnsi="Aptos"/>
                <w:b w:val="0"/>
                <w:sz w:val="14"/>
              </w:rPr>
              <w:t>Leave blank until executed; record factual observations and deviations</w:t>
            </w:r>
          </w:p>
        </w:tc>
      </w:tr>
      <w:tr>
        <w:tc>
          <w:tcPr>
            <w:tcW w:type="dxa" w:w="2232"/>
            <w:vAlign w:val="center"/>
            <w:shd w:fill="FFFFFF"/>
          </w:tcPr>
          <w:p>
            <w:pPr>
              <w:spacing w:after="20"/>
            </w:pPr>
            <w:r/>
            <w:r>
              <w:rPr>
                <w:rFonts w:ascii="Aptos" w:hAnsi="Aptos"/>
                <w:b w:val="0"/>
                <w:sz w:val="14"/>
              </w:rPr>
              <w:t>Status</w:t>
            </w:r>
          </w:p>
        </w:tc>
        <w:tc>
          <w:tcPr>
            <w:tcW w:type="dxa" w:w="7992"/>
            <w:vAlign w:val="center"/>
            <w:shd w:fill="FFFFFF"/>
          </w:tcPr>
          <w:p>
            <w:pPr>
              <w:spacing w:after="20"/>
            </w:pPr>
            <w:r/>
            <w:r>
              <w:rPr>
                <w:rFonts w:ascii="Aptos" w:hAnsi="Aptos"/>
                <w:b w:val="0"/>
                <w:sz w:val="14"/>
              </w:rPr>
              <w:t>Not Run / Pass / Fail / Blocked / Not Applicable; include reason for N/A</w:t>
            </w:r>
          </w:p>
        </w:tc>
      </w:tr>
      <w:tr>
        <w:tc>
          <w:tcPr>
            <w:tcW w:type="dxa" w:w="2232"/>
            <w:vAlign w:val="center"/>
            <w:shd w:fill="F1F6F8"/>
          </w:tcPr>
          <w:p>
            <w:pPr>
              <w:spacing w:after="20"/>
            </w:pPr>
            <w:r/>
            <w:r>
              <w:rPr>
                <w:rFonts w:ascii="Aptos" w:hAnsi="Aptos"/>
                <w:b w:val="0"/>
                <w:sz w:val="14"/>
              </w:rPr>
              <w:t>Evidence and defect</w:t>
            </w:r>
          </w:p>
        </w:tc>
        <w:tc>
          <w:tcPr>
            <w:tcW w:type="dxa" w:w="7992"/>
            <w:vAlign w:val="center"/>
            <w:shd w:fill="F1F6F8"/>
          </w:tcPr>
          <w:p>
            <w:pPr>
              <w:spacing w:after="20"/>
            </w:pPr>
            <w:r/>
            <w:r>
              <w:rPr>
                <w:rFonts w:ascii="Aptos" w:hAnsi="Aptos"/>
                <w:b w:val="0"/>
                <w:sz w:val="14"/>
              </w:rPr>
              <w:t>Correlation ID; sanitized logs/screenshots; defect ID, severity, owner, and retest link</w:t>
            </w:r>
          </w:p>
        </w:tc>
      </w:tr>
      <w:tr>
        <w:tc>
          <w:tcPr>
            <w:tcW w:type="dxa" w:w="2232"/>
            <w:vAlign w:val="center"/>
            <w:shd w:fill="FFFFFF"/>
          </w:tcPr>
          <w:p>
            <w:pPr>
              <w:spacing w:after="20"/>
            </w:pPr>
            <w:r/>
            <w:r>
              <w:rPr>
                <w:rFonts w:ascii="Aptos" w:hAnsi="Aptos"/>
                <w:b w:val="0"/>
                <w:sz w:val="14"/>
              </w:rPr>
              <w:t>Cleanup</w:t>
            </w:r>
          </w:p>
        </w:tc>
        <w:tc>
          <w:tcPr>
            <w:tcW w:type="dxa" w:w="7992"/>
            <w:vAlign w:val="center"/>
            <w:shd w:fill="FFFFFF"/>
          </w:tcPr>
          <w:p>
            <w:pPr>
              <w:spacing w:after="20"/>
            </w:pPr>
            <w:r/>
            <w:r>
              <w:rPr>
                <w:rFonts w:ascii="Aptos" w:hAnsi="Aptos"/>
                <w:b w:val="0"/>
                <w:sz w:val="14"/>
              </w:rPr>
              <w:t>Remove only disposable test data through approved recovery; preserve required evidence</w:t>
            </w:r>
          </w:p>
        </w:tc>
      </w:tr>
    </w:tbl>
    <w:p>
      <w:pPr>
        <w:spacing w:after="20"/>
      </w:pPr>
    </w:p>
    <w:p>
      <w:pPr>
        <w:pStyle w:val="Heading1"/>
      </w:pPr>
      <w:r>
        <w:t>6. Entry, exit, and defect criteria</w:t>
      </w:r>
    </w:p>
    <w:p>
      <w:pPr>
        <w:pStyle w:val="Heading2"/>
      </w:pPr>
      <w:r>
        <w:t>Entry criteria</w:t>
      </w:r>
    </w:p>
    <w:p>
      <w:pPr>
        <w:pStyle w:val="ListBullet"/>
        <w:spacing w:after="40"/>
      </w:pPr>
      <w:r>
        <w:t>Approved interface contract, mapping, business-key behavior, status vocabulary, and error semantics are versioned.</w:t>
      </w:r>
    </w:p>
    <w:p>
      <w:pPr>
        <w:pStyle w:val="ListBullet"/>
        <w:spacing w:after="40"/>
      </w:pPr>
      <w:r>
        <w:t>Non-production endpoint and test master data are available; access is authorized and least-privileged.</w:t>
      </w:r>
    </w:p>
    <w:p>
      <w:pPr>
        <w:pStyle w:val="ListBullet"/>
        <w:spacing w:after="40"/>
      </w:pPr>
      <w:r>
        <w:t>Monitoring, retry configuration, test data cleanup, test limits, and recovery procedure are reviewed.</w:t>
      </w:r>
    </w:p>
    <w:p>
      <w:pPr>
        <w:pStyle w:val="ListBullet"/>
        <w:spacing w:after="40"/>
      </w:pPr>
      <w:r>
        <w:t>Critical requirements map to cases; test owner and defect triage contacts are assigned.</w:t>
      </w:r>
    </w:p>
    <w:p>
      <w:pPr>
        <w:pStyle w:val="Heading2"/>
      </w:pPr>
      <w:r>
        <w:t>Exit criteria</w:t>
      </w:r>
    </w:p>
    <w:p>
      <w:pPr>
        <w:pStyle w:val="ListBullet"/>
        <w:spacing w:after="40"/>
      </w:pPr>
      <w:r>
        <w:t>All planned P1 cases are run or have a formally documented blocker/approved disposition.</w:t>
      </w:r>
    </w:p>
    <w:p>
      <w:pPr>
        <w:pStyle w:val="ListBullet"/>
        <w:spacing w:after="40"/>
      </w:pPr>
      <w:r>
        <w:t>No open release-blocking defect remains; residual defects have owner, impact, workaround, and approval.</w:t>
      </w:r>
    </w:p>
    <w:p>
      <w:pPr>
        <w:pStyle w:val="ListBullet"/>
        <w:spacing w:after="40"/>
      </w:pPr>
      <w:r>
        <w:t>Critical positive, negative, duplicate, retry, security, and reconciliation outcomes have evidence.</w:t>
      </w:r>
    </w:p>
    <w:p>
      <w:pPr>
        <w:pStyle w:val="ListBullet"/>
        <w:spacing w:after="40"/>
      </w:pPr>
      <w:r>
        <w:t>Retests and impacted regression cases are complete; test summary, known limitations, and recommendation are reviewed by business, technical, security, and operations owners.</w:t>
      </w:r>
    </w:p>
    <w:p>
      <w:pPr>
        <w:pStyle w:val="Heading2"/>
      </w:pPr>
      <w:r>
        <w:t>Defect severity guidance</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1440"/>
            <w:vAlign w:val="center"/>
            <w:shd w:fill="15324B"/>
          </w:tcPr>
          <w:p>
            <w:pPr>
              <w:spacing w:after="20"/>
            </w:pPr>
            <w:r/>
            <w:r>
              <w:rPr>
                <w:rFonts w:ascii="Aptos" w:hAnsi="Aptos"/>
                <w:b/>
                <w:color w:val="FFFFFF"/>
                <w:sz w:val="15"/>
              </w:rPr>
              <w:t>SEVERITY</w:t>
            </w:r>
          </w:p>
        </w:tc>
        <w:tc>
          <w:tcPr>
            <w:tcW w:type="dxa" w:w="4752"/>
            <w:vAlign w:val="center"/>
            <w:shd w:fill="15324B"/>
          </w:tcPr>
          <w:p>
            <w:pPr>
              <w:spacing w:after="20"/>
            </w:pPr>
            <w:r/>
            <w:r>
              <w:rPr>
                <w:rFonts w:ascii="Aptos" w:hAnsi="Aptos"/>
                <w:b/>
                <w:color w:val="FFFFFF"/>
                <w:sz w:val="15"/>
              </w:rPr>
              <w:t>EXAMPLE</w:t>
            </w:r>
          </w:p>
        </w:tc>
        <w:tc>
          <w:tcPr>
            <w:tcW w:type="dxa" w:w="4032"/>
            <w:vAlign w:val="center"/>
            <w:shd w:fill="15324B"/>
          </w:tcPr>
          <w:p>
            <w:pPr>
              <w:spacing w:after="20"/>
            </w:pPr>
            <w:r/>
            <w:r>
              <w:rPr>
                <w:rFonts w:ascii="Aptos" w:hAnsi="Aptos"/>
                <w:b/>
                <w:color w:val="FFFFFF"/>
                <w:sz w:val="15"/>
              </w:rPr>
              <w:t>DEFAULT RESPONSE</w:t>
            </w:r>
          </w:p>
        </w:tc>
      </w:tr>
      <w:tr>
        <w:tc>
          <w:tcPr>
            <w:tcW w:type="dxa" w:w="1440"/>
            <w:vAlign w:val="center"/>
            <w:shd w:fill="F1F6F8"/>
          </w:tcPr>
          <w:p>
            <w:pPr>
              <w:spacing w:after="20"/>
            </w:pPr>
            <w:r/>
            <w:r>
              <w:rPr>
                <w:rFonts w:ascii="Aptos" w:hAnsi="Aptos"/>
                <w:b w:val="0"/>
                <w:sz w:val="14"/>
              </w:rPr>
              <w:t>Critical</w:t>
            </w:r>
          </w:p>
        </w:tc>
        <w:tc>
          <w:tcPr>
            <w:tcW w:type="dxa" w:w="4752"/>
            <w:vAlign w:val="center"/>
            <w:shd w:fill="F1F6F8"/>
          </w:tcPr>
          <w:p>
            <w:pPr>
              <w:spacing w:after="20"/>
            </w:pPr>
            <w:r/>
            <w:r>
              <w:rPr>
                <w:rFonts w:ascii="Aptos" w:hAnsi="Aptos"/>
                <w:b w:val="0"/>
                <w:sz w:val="14"/>
              </w:rPr>
              <w:t>Duplicate/lost order risk, unauthorized creation, unrecoverable data loss, or broad outage.</w:t>
            </w:r>
          </w:p>
        </w:tc>
        <w:tc>
          <w:tcPr>
            <w:tcW w:type="dxa" w:w="4032"/>
            <w:vAlign w:val="center"/>
            <w:shd w:fill="F1F6F8"/>
          </w:tcPr>
          <w:p>
            <w:pPr>
              <w:spacing w:after="20"/>
            </w:pPr>
            <w:r/>
            <w:r>
              <w:rPr>
                <w:rFonts w:ascii="Aptos" w:hAnsi="Aptos"/>
                <w:b w:val="0"/>
                <w:sz w:val="14"/>
              </w:rPr>
              <w:t>Stop testing/promotion; notify owner immediately; preserve evidence and assess impact.</w:t>
            </w:r>
          </w:p>
        </w:tc>
      </w:tr>
      <w:tr>
        <w:tc>
          <w:tcPr>
            <w:tcW w:type="dxa" w:w="1440"/>
            <w:vAlign w:val="center"/>
            <w:shd w:fill="FFFFFF"/>
          </w:tcPr>
          <w:p>
            <w:pPr>
              <w:spacing w:after="20"/>
            </w:pPr>
            <w:r/>
            <w:r>
              <w:rPr>
                <w:rFonts w:ascii="Aptos" w:hAnsi="Aptos"/>
                <w:b w:val="0"/>
                <w:sz w:val="14"/>
              </w:rPr>
              <w:t>High</w:t>
            </w:r>
          </w:p>
        </w:tc>
        <w:tc>
          <w:tcPr>
            <w:tcW w:type="dxa" w:w="4752"/>
            <w:vAlign w:val="center"/>
            <w:shd w:fill="FFFFFF"/>
          </w:tcPr>
          <w:p>
            <w:pPr>
              <w:spacing w:after="20"/>
            </w:pPr>
            <w:r/>
            <w:r>
              <w:rPr>
                <w:rFonts w:ascii="Aptos" w:hAnsi="Aptos"/>
                <w:b w:val="0"/>
                <w:sz w:val="14"/>
              </w:rPr>
              <w:t>Core order/status flow fails or key control/reconciliation is ineffective.</w:t>
            </w:r>
          </w:p>
        </w:tc>
        <w:tc>
          <w:tcPr>
            <w:tcW w:type="dxa" w:w="4032"/>
            <w:vAlign w:val="center"/>
            <w:shd w:fill="FFFFFF"/>
          </w:tcPr>
          <w:p>
            <w:pPr>
              <w:spacing w:after="20"/>
            </w:pPr>
            <w:r/>
            <w:r>
              <w:rPr>
                <w:rFonts w:ascii="Aptos" w:hAnsi="Aptos"/>
                <w:b w:val="0"/>
                <w:sz w:val="14"/>
              </w:rPr>
              <w:t>Triage same working day; fix and retest before release decision.</w:t>
            </w:r>
          </w:p>
        </w:tc>
      </w:tr>
      <w:tr>
        <w:tc>
          <w:tcPr>
            <w:tcW w:type="dxa" w:w="1440"/>
            <w:vAlign w:val="center"/>
            <w:shd w:fill="F1F6F8"/>
          </w:tcPr>
          <w:p>
            <w:pPr>
              <w:spacing w:after="20"/>
            </w:pPr>
            <w:r/>
            <w:r>
              <w:rPr>
                <w:rFonts w:ascii="Aptos" w:hAnsi="Aptos"/>
                <w:b w:val="0"/>
                <w:sz w:val="14"/>
              </w:rPr>
              <w:t>Medium</w:t>
            </w:r>
          </w:p>
        </w:tc>
        <w:tc>
          <w:tcPr>
            <w:tcW w:type="dxa" w:w="4752"/>
            <w:vAlign w:val="center"/>
            <w:shd w:fill="F1F6F8"/>
          </w:tcPr>
          <w:p>
            <w:pPr>
              <w:spacing w:after="20"/>
            </w:pPr>
            <w:r/>
            <w:r>
              <w:rPr>
                <w:rFonts w:ascii="Aptos" w:hAnsi="Aptos"/>
                <w:b w:val="0"/>
                <w:sz w:val="14"/>
              </w:rPr>
              <w:t>Non-core mapping, alert, or recoverability issue with workaround.</w:t>
            </w:r>
          </w:p>
        </w:tc>
        <w:tc>
          <w:tcPr>
            <w:tcW w:type="dxa" w:w="4032"/>
            <w:vAlign w:val="center"/>
            <w:shd w:fill="F1F6F8"/>
          </w:tcPr>
          <w:p>
            <w:pPr>
              <w:spacing w:after="20"/>
            </w:pPr>
            <w:r/>
            <w:r>
              <w:rPr>
                <w:rFonts w:ascii="Aptos" w:hAnsi="Aptos"/>
                <w:b w:val="0"/>
                <w:sz w:val="14"/>
              </w:rPr>
              <w:t>Assign owner and due date; assess impact and regression.</w:t>
            </w:r>
          </w:p>
        </w:tc>
      </w:tr>
      <w:tr>
        <w:tc>
          <w:tcPr>
            <w:tcW w:type="dxa" w:w="1440"/>
            <w:vAlign w:val="center"/>
            <w:shd w:fill="FFFFFF"/>
          </w:tcPr>
          <w:p>
            <w:pPr>
              <w:spacing w:after="20"/>
            </w:pPr>
            <w:r/>
            <w:r>
              <w:rPr>
                <w:rFonts w:ascii="Aptos" w:hAnsi="Aptos"/>
                <w:b w:val="0"/>
                <w:sz w:val="14"/>
              </w:rPr>
              <w:t>Low</w:t>
            </w:r>
          </w:p>
        </w:tc>
        <w:tc>
          <w:tcPr>
            <w:tcW w:type="dxa" w:w="4752"/>
            <w:vAlign w:val="center"/>
            <w:shd w:fill="FFFFFF"/>
          </w:tcPr>
          <w:p>
            <w:pPr>
              <w:spacing w:after="20"/>
            </w:pPr>
            <w:r/>
            <w:r>
              <w:rPr>
                <w:rFonts w:ascii="Aptos" w:hAnsi="Aptos"/>
                <w:b w:val="0"/>
                <w:sz w:val="14"/>
              </w:rPr>
              <w:t>Cosmetic or low-impact diagnostic/documentation issue.</w:t>
            </w:r>
          </w:p>
        </w:tc>
        <w:tc>
          <w:tcPr>
            <w:tcW w:type="dxa" w:w="4032"/>
            <w:vAlign w:val="center"/>
            <w:shd w:fill="FFFFFF"/>
          </w:tcPr>
          <w:p>
            <w:pPr>
              <w:spacing w:after="20"/>
            </w:pPr>
            <w:r/>
            <w:r>
              <w:rPr>
                <w:rFonts w:ascii="Aptos" w:hAnsi="Aptos"/>
                <w:b w:val="0"/>
                <w:sz w:val="14"/>
              </w:rPr>
              <w:t>Record and prioritize with product/support owner.</w:t>
            </w:r>
          </w:p>
        </w:tc>
      </w:tr>
    </w:tbl>
    <w:p>
      <w:pPr>
        <w:spacing w:after="20"/>
      </w:pPr>
    </w:p>
    <w:p>
      <w:pPr>
        <w:pStyle w:val="Heading1"/>
      </w:pPr>
      <w:r>
        <w:t>7. Risk and contingency plan</w:t>
      </w:r>
    </w:p>
    <w:tbl>
      <w:tblPr>
        <w:tblStyle w:val="TableGrid"/>
        <w:tblW w:type="auto" w:w="0"/>
        <w:jc w:val="center"/>
        <w:tblLayout w:type="fixed"/>
        <w:tblLook w:firstColumn="1" w:firstRow="1" w:lastColumn="0" w:lastRow="0" w:noHBand="0" w:noVBand="1" w:val="04A0"/>
      </w:tblPr>
      <w:tblGrid>
        <w:gridCol w:w="3427"/>
        <w:gridCol w:w="3427"/>
        <w:gridCol w:w="3427"/>
      </w:tblGrid>
      <w:tr>
        <w:trPr>
          <w:tblHeader w:val="true"/>
        </w:trPr>
        <w:tc>
          <w:tcPr>
            <w:tcW w:type="dxa" w:w="2520"/>
            <w:vAlign w:val="center"/>
            <w:shd w:fill="15324B"/>
          </w:tcPr>
          <w:p>
            <w:pPr>
              <w:spacing w:after="20"/>
            </w:pPr>
            <w:r/>
            <w:r>
              <w:rPr>
                <w:rFonts w:ascii="Aptos" w:hAnsi="Aptos"/>
                <w:b/>
                <w:color w:val="FFFFFF"/>
                <w:sz w:val="15"/>
              </w:rPr>
              <w:t>TEST RISK</w:t>
            </w:r>
          </w:p>
        </w:tc>
        <w:tc>
          <w:tcPr>
            <w:tcW w:type="dxa" w:w="3960"/>
            <w:vAlign w:val="center"/>
            <w:shd w:fill="15324B"/>
          </w:tcPr>
          <w:p>
            <w:pPr>
              <w:spacing w:after="20"/>
            </w:pPr>
            <w:r/>
            <w:r>
              <w:rPr>
                <w:rFonts w:ascii="Aptos" w:hAnsi="Aptos"/>
                <w:b/>
                <w:color w:val="FFFFFF"/>
                <w:sz w:val="15"/>
              </w:rPr>
              <w:t>MITIGATION</w:t>
            </w:r>
          </w:p>
        </w:tc>
        <w:tc>
          <w:tcPr>
            <w:tcW w:type="dxa" w:w="3744"/>
            <w:vAlign w:val="center"/>
            <w:shd w:fill="15324B"/>
          </w:tcPr>
          <w:p>
            <w:pPr>
              <w:spacing w:after="20"/>
            </w:pPr>
            <w:r/>
            <w:r>
              <w:rPr>
                <w:rFonts w:ascii="Aptos" w:hAnsi="Aptos"/>
                <w:b/>
                <w:color w:val="FFFFFF"/>
                <w:sz w:val="15"/>
              </w:rPr>
              <w:t>CONTINGENCY</w:t>
            </w:r>
          </w:p>
        </w:tc>
      </w:tr>
      <w:tr>
        <w:tc>
          <w:tcPr>
            <w:tcW w:type="dxa" w:w="2520"/>
            <w:vAlign w:val="center"/>
            <w:shd w:fill="F1F6F8"/>
          </w:tcPr>
          <w:p>
            <w:pPr>
              <w:spacing w:after="20"/>
            </w:pPr>
            <w:r/>
            <w:r>
              <w:rPr>
                <w:rFonts w:ascii="Aptos" w:hAnsi="Aptos"/>
                <w:b w:val="0"/>
                <w:sz w:val="14"/>
              </w:rPr>
              <w:t>Test could create duplicate or persistent records</w:t>
            </w:r>
          </w:p>
        </w:tc>
        <w:tc>
          <w:tcPr>
            <w:tcW w:type="dxa" w:w="3960"/>
            <w:vAlign w:val="center"/>
            <w:shd w:fill="F1F6F8"/>
          </w:tcPr>
          <w:p>
            <w:pPr>
              <w:spacing w:after="20"/>
            </w:pPr>
            <w:r/>
            <w:r>
              <w:rPr>
                <w:rFonts w:ascii="Aptos" w:hAnsi="Aptos"/>
                <w:b w:val="0"/>
                <w:sz w:val="14"/>
              </w:rPr>
              <w:t>Use synthetic references; confirm environment and cleanup; test one case at a time where behavior is uncertain.</w:t>
            </w:r>
          </w:p>
        </w:tc>
        <w:tc>
          <w:tcPr>
            <w:tcW w:type="dxa" w:w="3744"/>
            <w:vAlign w:val="center"/>
            <w:shd w:fill="F1F6F8"/>
          </w:tcPr>
          <w:p>
            <w:pPr>
              <w:spacing w:after="20"/>
            </w:pPr>
            <w:r/>
            <w:r>
              <w:rPr>
                <w:rFonts w:ascii="Aptos" w:hAnsi="Aptos"/>
                <w:b w:val="0"/>
                <w:sz w:val="14"/>
              </w:rPr>
              <w:t>Stop case, preserve correlation evidence, reconcile target state, and ask SAP test owner to remove/repair data through approved method.</w:t>
            </w:r>
          </w:p>
        </w:tc>
      </w:tr>
      <w:tr>
        <w:tc>
          <w:tcPr>
            <w:tcW w:type="dxa" w:w="2520"/>
            <w:vAlign w:val="center"/>
            <w:shd w:fill="FFFFFF"/>
          </w:tcPr>
          <w:p>
            <w:pPr>
              <w:spacing w:after="20"/>
            </w:pPr>
            <w:r/>
            <w:r>
              <w:rPr>
                <w:rFonts w:ascii="Aptos" w:hAnsi="Aptos"/>
                <w:b w:val="0"/>
                <w:sz w:val="14"/>
              </w:rPr>
              <w:t>Failure injection affects shared environment</w:t>
            </w:r>
          </w:p>
        </w:tc>
        <w:tc>
          <w:tcPr>
            <w:tcW w:type="dxa" w:w="3960"/>
            <w:vAlign w:val="center"/>
            <w:shd w:fill="FFFFFF"/>
          </w:tcPr>
          <w:p>
            <w:pPr>
              <w:spacing w:after="20"/>
            </w:pPr>
            <w:r/>
            <w:r>
              <w:rPr>
                <w:rFonts w:ascii="Aptos" w:hAnsi="Aptos"/>
                <w:b w:val="0"/>
                <w:sz w:val="14"/>
              </w:rPr>
              <w:t>Use an isolated test endpoint or scheduled window; get platform approval; define stop condition.</w:t>
            </w:r>
          </w:p>
        </w:tc>
        <w:tc>
          <w:tcPr>
            <w:tcW w:type="dxa" w:w="3744"/>
            <w:vAlign w:val="center"/>
            <w:shd w:fill="FFFFFF"/>
          </w:tcPr>
          <w:p>
            <w:pPr>
              <w:spacing w:after="20"/>
            </w:pPr>
            <w:r/>
            <w:r>
              <w:rPr>
                <w:rFonts w:ascii="Aptos" w:hAnsi="Aptos"/>
                <w:b w:val="0"/>
                <w:sz w:val="14"/>
              </w:rPr>
              <w:t>Restore endpoint/configuration, notify affected owners, and suspend dependent tests until safe.</w:t>
            </w:r>
          </w:p>
        </w:tc>
      </w:tr>
      <w:tr>
        <w:tc>
          <w:tcPr>
            <w:tcW w:type="dxa" w:w="2520"/>
            <w:vAlign w:val="center"/>
            <w:shd w:fill="F1F6F8"/>
          </w:tcPr>
          <w:p>
            <w:pPr>
              <w:spacing w:after="20"/>
            </w:pPr>
            <w:r/>
            <w:r>
              <w:rPr>
                <w:rFonts w:ascii="Aptos" w:hAnsi="Aptos"/>
                <w:b w:val="0"/>
                <w:sz w:val="14"/>
              </w:rPr>
              <w:t>Unclear expected behavior because contract is incomplete</w:t>
            </w:r>
          </w:p>
        </w:tc>
        <w:tc>
          <w:tcPr>
            <w:tcW w:type="dxa" w:w="3960"/>
            <w:vAlign w:val="center"/>
            <w:shd w:fill="F1F6F8"/>
          </w:tcPr>
          <w:p>
            <w:pPr>
              <w:spacing w:after="20"/>
            </w:pPr>
            <w:r/>
            <w:r>
              <w:rPr>
                <w:rFonts w:ascii="Aptos" w:hAnsi="Aptos"/>
                <w:b w:val="0"/>
                <w:sz w:val="14"/>
              </w:rPr>
              <w:t>Resolve mapping, response, retry, and status questions before execution.</w:t>
            </w:r>
          </w:p>
        </w:tc>
        <w:tc>
          <w:tcPr>
            <w:tcW w:type="dxa" w:w="3744"/>
            <w:vAlign w:val="center"/>
            <w:shd w:fill="F1F6F8"/>
          </w:tcPr>
          <w:p>
            <w:pPr>
              <w:spacing w:after="20"/>
            </w:pPr>
            <w:r/>
            <w:r>
              <w:rPr>
                <w:rFonts w:ascii="Aptos" w:hAnsi="Aptos"/>
                <w:b w:val="0"/>
                <w:sz w:val="14"/>
              </w:rPr>
              <w:t>Mark Blocked with decision owner; do not invent a pass condition.</w:t>
            </w:r>
          </w:p>
        </w:tc>
      </w:tr>
      <w:tr>
        <w:tc>
          <w:tcPr>
            <w:tcW w:type="dxa" w:w="2520"/>
            <w:vAlign w:val="center"/>
            <w:shd w:fill="FFFFFF"/>
          </w:tcPr>
          <w:p>
            <w:pPr>
              <w:spacing w:after="20"/>
            </w:pPr>
            <w:r/>
            <w:r>
              <w:rPr>
                <w:rFonts w:ascii="Aptos" w:hAnsi="Aptos"/>
                <w:b w:val="0"/>
                <w:sz w:val="14"/>
              </w:rPr>
              <w:t>Sensitive content appears in logs</w:t>
            </w:r>
          </w:p>
        </w:tc>
        <w:tc>
          <w:tcPr>
            <w:tcW w:type="dxa" w:w="3960"/>
            <w:vAlign w:val="center"/>
            <w:shd w:fill="FFFFFF"/>
          </w:tcPr>
          <w:p>
            <w:pPr>
              <w:spacing w:after="20"/>
            </w:pPr>
            <w:r/>
            <w:r>
              <w:rPr>
                <w:rFonts w:ascii="Aptos" w:hAnsi="Aptos"/>
                <w:b w:val="0"/>
                <w:sz w:val="14"/>
              </w:rPr>
              <w:t>Use synthetic sentinel values and least-privileged log access; inspect data minimization.</w:t>
            </w:r>
          </w:p>
        </w:tc>
        <w:tc>
          <w:tcPr>
            <w:tcW w:type="dxa" w:w="3744"/>
            <w:vAlign w:val="center"/>
            <w:shd w:fill="FFFFFF"/>
          </w:tcPr>
          <w:p>
            <w:pPr>
              <w:spacing w:after="20"/>
            </w:pPr>
            <w:r/>
            <w:r>
              <w:rPr>
                <w:rFonts w:ascii="Aptos" w:hAnsi="Aptos"/>
                <w:b w:val="0"/>
                <w:sz w:val="14"/>
              </w:rPr>
              <w:t>Restrict access, preserve minimal evidence, and follow incident process if real sensitive data is exposed.</w:t>
            </w:r>
          </w:p>
        </w:tc>
      </w:tr>
      <w:tr>
        <w:tc>
          <w:tcPr>
            <w:tcW w:type="dxa" w:w="2520"/>
            <w:vAlign w:val="center"/>
            <w:shd w:fill="F1F6F8"/>
          </w:tcPr>
          <w:p>
            <w:pPr>
              <w:spacing w:after="20"/>
            </w:pPr>
            <w:r/>
            <w:r>
              <w:rPr>
                <w:rFonts w:ascii="Aptos" w:hAnsi="Aptos"/>
                <w:b w:val="0"/>
                <w:sz w:val="14"/>
              </w:rPr>
              <w:t>Retry test may flood receiver</w:t>
            </w:r>
          </w:p>
        </w:tc>
        <w:tc>
          <w:tcPr>
            <w:tcW w:type="dxa" w:w="3960"/>
            <w:vAlign w:val="center"/>
            <w:shd w:fill="F1F6F8"/>
          </w:tcPr>
          <w:p>
            <w:pPr>
              <w:spacing w:after="20"/>
            </w:pPr>
            <w:r/>
            <w:r>
              <w:rPr>
                <w:rFonts w:ascii="Aptos" w:hAnsi="Aptos"/>
                <w:b w:val="0"/>
                <w:sz w:val="14"/>
              </w:rPr>
              <w:t>Bound retries and message volume; confirm throttle/kill switch; use controlled outage window.</w:t>
            </w:r>
          </w:p>
        </w:tc>
        <w:tc>
          <w:tcPr>
            <w:tcW w:type="dxa" w:w="3744"/>
            <w:vAlign w:val="center"/>
            <w:shd w:fill="F1F6F8"/>
          </w:tcPr>
          <w:p>
            <w:pPr>
              <w:spacing w:after="20"/>
            </w:pPr>
            <w:r/>
            <w:r>
              <w:rPr>
                <w:rFonts w:ascii="Aptos" w:hAnsi="Aptos"/>
                <w:b w:val="0"/>
                <w:sz w:val="14"/>
              </w:rPr>
              <w:t>Disable sender/test trigger using approved control; drain or quarantine messages under operations supervision.</w:t>
            </w:r>
          </w:p>
        </w:tc>
      </w:tr>
      <w:tr>
        <w:tc>
          <w:tcPr>
            <w:tcW w:type="dxa" w:w="2520"/>
            <w:vAlign w:val="center"/>
            <w:shd w:fill="FFFFFF"/>
          </w:tcPr>
          <w:p>
            <w:pPr>
              <w:spacing w:after="20"/>
            </w:pPr>
            <w:r/>
            <w:r>
              <w:rPr>
                <w:rFonts w:ascii="Aptos" w:hAnsi="Aptos"/>
                <w:b w:val="0"/>
                <w:sz w:val="14"/>
              </w:rPr>
              <w:t>Test evidence is incomplete or inconsistent</w:t>
            </w:r>
          </w:p>
        </w:tc>
        <w:tc>
          <w:tcPr>
            <w:tcW w:type="dxa" w:w="3960"/>
            <w:vAlign w:val="center"/>
            <w:shd w:fill="FFFFFF"/>
          </w:tcPr>
          <w:p>
            <w:pPr>
              <w:spacing w:after="20"/>
            </w:pPr>
            <w:r/>
            <w:r>
              <w:rPr>
                <w:rFonts w:ascii="Aptos" w:hAnsi="Aptos"/>
                <w:b w:val="0"/>
                <w:sz w:val="14"/>
              </w:rPr>
              <w:t>Capture correlation IDs, versions, timestamps, and sanitized evidence at each step.</w:t>
            </w:r>
          </w:p>
        </w:tc>
        <w:tc>
          <w:tcPr>
            <w:tcW w:type="dxa" w:w="3744"/>
            <w:vAlign w:val="center"/>
            <w:shd w:fill="FFFFFF"/>
          </w:tcPr>
          <w:p>
            <w:pPr>
              <w:spacing w:after="20"/>
            </w:pPr>
            <w:r/>
            <w:r>
              <w:rPr>
                <w:rFonts w:ascii="Aptos" w:hAnsi="Aptos"/>
                <w:b w:val="0"/>
                <w:sz w:val="14"/>
              </w:rPr>
              <w:t>Repeat only after environment reset and cause analysis; record prior attempt and why invalid.</w:t>
            </w:r>
          </w:p>
        </w:tc>
      </w:tr>
    </w:tbl>
    <w:p>
      <w:pPr>
        <w:spacing w:after="20"/>
      </w:pPr>
    </w:p>
    <w:p>
      <w:pPr>
        <w:pStyle w:val="Heading1"/>
      </w:pPr>
      <w:r>
        <w:t>8. Post-test analysis and reporting</w:t>
      </w:r>
    </w:p>
    <w:p>
      <w:r>
        <w:t>After execution, summarize scope, test environment, interface and flow versions, cases planned versus run, pass/fail/blocked/not-run counts, defects by severity, and any deviations. Explain the evidence behind each conclusion. Identify untested areas and restrictions, including any performance target or API behavior that remained unverified.</w:t>
      </w:r>
    </w:p>
    <w:p>
      <w:pPr>
        <w:pStyle w:val="ListBullet"/>
        <w:spacing w:after="40"/>
      </w:pPr>
      <w:r>
        <w:t>Trace failed cases to the requirement, design assumption, defect, owner, resolution, and retest result.</w:t>
      </w:r>
    </w:p>
    <w:p>
      <w:pPr>
        <w:pStyle w:val="ListBullet"/>
        <w:spacing w:after="40"/>
      </w:pPr>
      <w:r>
        <w:t>Separate environment/setup failures from product/interface defects and business-rule disagreements.</w:t>
      </w:r>
    </w:p>
    <w:p>
      <w:pPr>
        <w:pStyle w:val="ListBullet"/>
        <w:spacing w:after="40"/>
      </w:pPr>
      <w:r>
        <w:t>Review accepted, rejected, pending, retried, and replayed message totals against reconciliation evidence.</w:t>
      </w:r>
    </w:p>
    <w:p>
      <w:pPr>
        <w:pStyle w:val="ListBullet"/>
        <w:spacing w:after="40"/>
      </w:pPr>
      <w:r>
        <w:t>Record lessons for Week 4; if there is no operational implementation, label the evaluation framework and any figures simulated rather than observed.</w:t>
      </w:r>
    </w:p>
    <w:p>
      <w:pPr>
        <w:pStyle w:val="ListBullet"/>
        <w:spacing w:after="40"/>
      </w:pPr>
      <w:r>
        <w:t>Make a recommendation to proceed, proceed with conditions, or stop only after owners assess residual risk and acceptance evidence.</w:t>
      </w:r>
    </w:p>
    <w:p>
      <w:pPr>
        <w:pStyle w:val="Heading1"/>
      </w:pPr>
      <w:r>
        <w:t>Conclusion</w:t>
      </w:r>
    </w:p>
    <w:p>
      <w:r>
        <w:t>The proposed test set covers the principal order-submission and status-integration risks identified in the Week 2 blueprint, including validation, duplicate prevention, ambiguous acknowledgements, bounded recovery, security, monitoring, and reconciliation. The case register provides repeatable steps and explicit acceptance criteria while leaving product-specific behavior to the approved contract. Every case remains Not Run until execution is evidenced. A release decision requires approved environment access, realistic synthetic data, traceable evidence, defect disposition, and agreement from accountable business, technical, security, and operations owners.</w:t>
      </w:r>
    </w:p>
    <w:p>
      <w:pPr>
        <w:pStyle w:val="Heading1"/>
      </w:pPr>
      <w:r>
        <w:t>References</w:t>
      </w:r>
    </w:p>
    <w:p>
      <w:pPr>
        <w:spacing w:after="60"/>
      </w:pPr>
      <w:r>
        <w:t>YuvaIntern. “Junior SAP SD Integration Specialist” internship task description supplied for this project. Accessed 30 October 2026. Source for Week 3 objective, expected DOC deliverable, environment/post-test analysis requirements, and 30–35-hour expected effort.</w:t>
      </w:r>
    </w:p>
    <w:p>
      <w:pPr>
        <w:spacing w:after="60"/>
      </w:pPr>
      <w:r>
        <w:t>SAP Help Portal. “Operations for Sales Order (A2X, OData V2).” SAP S/4HANA Cloud Public Edition. Accessed 30 October 2026. Product-specific behavior must be checked against the actual target release: https://help.sap.com/docs/SAP_S4HANA_CLOUD/03c04db2a7434731b7fe21dca77440da/17f4a94ed364458ba96b399d43fd1779.html</w:t>
      </w:r>
    </w:p>
    <w:p>
      <w:pPr>
        <w:spacing w:after="60"/>
      </w:pPr>
      <w:r>
        <w:t>SAP Help Portal. “Decoupling via JMS Queue.” SAP Integration Suite. Accessed 30 October 2026. Retry and duplicate behavior must be validated in the chosen environment: https://help.sap.com/docs/integration-suite/sap-integration-suite/decoupling-via-jms-queue</w:t>
      </w:r>
    </w:p>
    <w:p>
      <w:pPr>
        <w:spacing w:after="60"/>
      </w:pPr>
      <w:r>
        <w:t>SAP Help Portal. “Quality of Service Exactly Once.” SAP Integration Suite. Accessed 30 October 2026. Exactly-once outcomes depend on the sender, middleware, receiver, and scenario: https://help.sap.com/docs/integration-suite/sap-integration-suite/quality-of-service-exactly-once</w:t>
      </w:r>
    </w:p>
    <w:sectPr w:rsidR="00FC693F" w:rsidRPr="0006063C" w:rsidSect="00034616">
      <w:headerReference w:type="default" r:id="rId9"/>
      <w:footerReference w:type="default" r:id="rId10"/>
      <w:pgSz w:w="12240" w:h="15840"/>
      <w:pgMar w:top="979" w:right="979" w:bottom="979"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D"/>
        <w:sz w:val="16"/>
      </w:rPr>
      <w:t>Educational case study  •  Proposed test design  •  No tests represented as executed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D"/>
        <w:sz w:val="16"/>
      </w:rPr>
      <w:t>JUNIOR SAP SD INTEGRATION SPECIALIST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b w:val="0"/>
      <w:color w:val="2D3742"/>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80"/>
      <w:outlineLvl w:val="0"/>
    </w:pPr>
    <w:rPr>
      <w:rFonts w:asciiTheme="majorHAnsi" w:eastAsiaTheme="majorEastAsia" w:hAnsiTheme="majorHAnsi" w:cstheme="majorBidi" w:ascii="Aptos Display" w:hAnsi="Aptos Display"/>
      <w:b/>
      <w:bCs/>
      <w:color w:val="15324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697A"/>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6697A"/>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ptos Display" w:hAnsi="Aptos Display"/>
      <w:b/>
      <w:color w:val="1532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and Documentation of Integration Test Scenarios</dc:title>
  <dc:subject>Week 3 SAP SD integration test plan</dc:subject>
  <dc:creator>Portfolio project author</dc:creator>
  <cp:keywords>SAP SD, integration testing, proposed test cases, synthetic data</cp:keywords>
  <dc:description>generated by python-docx</dc:description>
  <cp:lastModifiedBy/>
  <cp:revision>1</cp:revision>
  <dcterms:created xsi:type="dcterms:W3CDTF">2013-12-23T23:15:00Z</dcterms:created>
  <dcterms:modified xsi:type="dcterms:W3CDTF">2013-12-23T23:15:00Z</dcterms:modified>
  <cp:category/>
</cp:coreProperties>
</file>