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color w:val="16697A"/>
          <w:sz w:val="20"/>
        </w:rPr>
        <w:t>WEEK 4  /  EVALUATION</w:t>
      </w:r>
    </w:p>
    <w:p>
      <w:pPr>
        <w:pStyle w:val="Title"/>
      </w:pPr>
      <w:r>
        <w:t>Post-Implementation Evaluation and Continuous Improvement</w:t>
      </w:r>
    </w:p>
    <w:p>
      <w:r>
        <w:t>Evaluation framework, illustrative performance scenario, feedback analysis, and improvement roadmap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vAlign w:val="center"/>
            <w:shd w:fill="15324B"/>
          </w:tcPr>
          <w:p>
            <w:pPr>
              <w:spacing w:after="20"/>
            </w:pPr>
            <w:r/>
            <w:r>
              <w:rPr>
                <w:rFonts w:ascii="Aptos" w:hAnsi="Aptos"/>
                <w:b/>
                <w:color w:val="FFFFFF"/>
                <w:sz w:val="15"/>
              </w:rPr>
              <w:t>REPORT DETAILS</w:t>
            </w:r>
          </w:p>
        </w:tc>
        <w:tc>
          <w:tcPr>
            <w:tcW w:type="dxa" w:w="7200"/>
            <w:vAlign w:val="center"/>
            <w:shd w:fill="15324B"/>
          </w:tcPr>
          <w:p>
            <w:pPr>
              <w:spacing w:after="20"/>
            </w:pPr>
            <w:r/>
            <w:r>
              <w:rPr>
                <w:rFonts w:ascii="Aptos" w:hAnsi="Aptos"/>
                <w:b/>
                <w:color w:val="FFFFFF"/>
                <w:sz w:val="15"/>
              </w:rPr>
              <w:t>VALUE</w:t>
            </w:r>
          </w:p>
        </w:tc>
      </w:tr>
      <w:tr>
        <w:tc>
          <w:tcPr>
            <w:tcW w:type="dxa" w:w="2592"/>
            <w:vAlign w:val="center"/>
            <w:shd w:fill="F1F6F8"/>
          </w:tcPr>
          <w:p>
            <w:pPr>
              <w:spacing w:after="20"/>
            </w:pPr>
            <w:r/>
            <w:r>
              <w:rPr>
                <w:rFonts w:ascii="Aptos" w:hAnsi="Aptos"/>
                <w:b w:val="0"/>
                <w:sz w:val="14"/>
              </w:rPr>
              <w:t>Program</w:t>
            </w:r>
          </w:p>
        </w:tc>
        <w:tc>
          <w:tcPr>
            <w:tcW w:type="dxa" w:w="7200"/>
            <w:vAlign w:val="center"/>
            <w:shd w:fill="F1F6F8"/>
          </w:tcPr>
          <w:p>
            <w:pPr>
              <w:spacing w:after="20"/>
            </w:pPr>
            <w:r/>
            <w:r>
              <w:rPr>
                <w:rFonts w:ascii="Aptos" w:hAnsi="Aptos"/>
                <w:b w:val="0"/>
                <w:sz w:val="14"/>
              </w:rPr>
              <w:t>Junior SAP SD Integration Specialist virtual internship</w:t>
            </w:r>
          </w:p>
        </w:tc>
      </w:tr>
      <w:tr>
        <w:tc>
          <w:tcPr>
            <w:tcW w:type="dxa" w:w="2592"/>
            <w:vAlign w:val="center"/>
            <w:shd w:fill="FFFFFF"/>
          </w:tcPr>
          <w:p>
            <w:pPr>
              <w:spacing w:after="20"/>
            </w:pPr>
            <w:r/>
            <w:r>
              <w:rPr>
                <w:rFonts w:ascii="Aptos" w:hAnsi="Aptos"/>
                <w:b w:val="0"/>
                <w:sz w:val="14"/>
              </w:rPr>
              <w:t>Task period</w:t>
            </w:r>
          </w:p>
        </w:tc>
        <w:tc>
          <w:tcPr>
            <w:tcW w:type="dxa" w:w="7200"/>
            <w:vAlign w:val="center"/>
            <w:shd w:fill="FFFFFF"/>
          </w:tcPr>
          <w:p>
            <w:pPr>
              <w:spacing w:after="20"/>
            </w:pPr>
            <w:r/>
            <w:r>
              <w:rPr>
                <w:rFonts w:ascii="Aptos" w:hAnsi="Aptos"/>
                <w:b w:val="0"/>
                <w:sz w:val="14"/>
              </w:rPr>
              <w:t>20–27 November 2026 (Week 4 of 30 October–27 November 2026)</w:t>
            </w:r>
          </w:p>
        </w:tc>
      </w:tr>
      <w:tr>
        <w:tc>
          <w:tcPr>
            <w:tcW w:type="dxa" w:w="2592"/>
            <w:vAlign w:val="center"/>
            <w:shd w:fill="F1F6F8"/>
          </w:tcPr>
          <w:p>
            <w:pPr>
              <w:spacing w:after="20"/>
            </w:pPr>
            <w:r/>
            <w:r>
              <w:rPr>
                <w:rFonts w:ascii="Aptos" w:hAnsi="Aptos"/>
                <w:b w:val="0"/>
                <w:sz w:val="14"/>
              </w:rPr>
              <w:t>Prepared</w:t>
            </w:r>
          </w:p>
        </w:tc>
        <w:tc>
          <w:tcPr>
            <w:tcW w:type="dxa" w:w="7200"/>
            <w:vAlign w:val="center"/>
            <w:shd w:fill="F1F6F8"/>
          </w:tcPr>
          <w:p>
            <w:pPr>
              <w:spacing w:after="20"/>
            </w:pPr>
            <w:r/>
            <w:r>
              <w:rPr>
                <w:rFonts w:ascii="Aptos" w:hAnsi="Aptos"/>
                <w:b w:val="0"/>
                <w:sz w:val="14"/>
              </w:rPr>
              <w:t>30 October 2026</w:t>
            </w:r>
          </w:p>
        </w:tc>
      </w:tr>
      <w:tr>
        <w:tc>
          <w:tcPr>
            <w:tcW w:type="dxa" w:w="2592"/>
            <w:vAlign w:val="center"/>
            <w:shd w:fill="FFFFFF"/>
          </w:tcPr>
          <w:p>
            <w:pPr>
              <w:spacing w:after="20"/>
            </w:pPr>
            <w:r/>
            <w:r>
              <w:rPr>
                <w:rFonts w:ascii="Aptos" w:hAnsi="Aptos"/>
                <w:b w:val="0"/>
                <w:sz w:val="14"/>
              </w:rPr>
              <w:t>Version</w:t>
            </w:r>
          </w:p>
        </w:tc>
        <w:tc>
          <w:tcPr>
            <w:tcW w:type="dxa" w:w="7200"/>
            <w:vAlign w:val="center"/>
            <w:shd w:fill="FFFFFF"/>
          </w:tcPr>
          <w:p>
            <w:pPr>
              <w:spacing w:after="20"/>
            </w:pPr>
            <w:r/>
            <w:r>
              <w:rPr>
                <w:rFonts w:ascii="Aptos" w:hAnsi="Aptos"/>
                <w:b w:val="0"/>
                <w:sz w:val="14"/>
              </w:rPr>
              <w:t>1.0 — portfolio case study</w:t>
            </w:r>
          </w:p>
        </w:tc>
      </w:tr>
      <w:tr>
        <w:tc>
          <w:tcPr>
            <w:tcW w:type="dxa" w:w="2592"/>
            <w:vAlign w:val="center"/>
            <w:shd w:fill="F1F6F8"/>
          </w:tcPr>
          <w:p>
            <w:pPr>
              <w:spacing w:after="20"/>
            </w:pPr>
            <w:r/>
            <w:r>
              <w:rPr>
                <w:rFonts w:ascii="Aptos" w:hAnsi="Aptos"/>
                <w:b w:val="0"/>
                <w:sz w:val="14"/>
              </w:rPr>
              <w:t>Case context</w:t>
            </w:r>
          </w:p>
        </w:tc>
        <w:tc>
          <w:tcPr>
            <w:tcW w:type="dxa" w:w="7200"/>
            <w:vAlign w:val="center"/>
            <w:shd w:fill="F1F6F8"/>
          </w:tcPr>
          <w:p>
            <w:pPr>
              <w:spacing w:after="20"/>
            </w:pPr>
            <w:r/>
            <w:r>
              <w:rPr>
                <w:rFonts w:ascii="Aptos" w:hAnsi="Aptos"/>
                <w:b w:val="0"/>
                <w:sz w:val="14"/>
              </w:rPr>
              <w:t>Fictional distributor; proposed channel-to-SAP SD order integration</w:t>
            </w:r>
          </w:p>
        </w:tc>
      </w:tr>
      <w:tr>
        <w:tc>
          <w:tcPr>
            <w:tcW w:type="dxa" w:w="2592"/>
            <w:vAlign w:val="center"/>
            <w:shd w:fill="FFFFFF"/>
          </w:tcPr>
          <w:p>
            <w:pPr>
              <w:spacing w:after="20"/>
            </w:pPr>
            <w:r/>
            <w:r>
              <w:rPr>
                <w:rFonts w:ascii="Aptos" w:hAnsi="Aptos"/>
                <w:b w:val="0"/>
                <w:sz w:val="14"/>
              </w:rPr>
              <w:t>Estimated task effort</w:t>
            </w:r>
          </w:p>
        </w:tc>
        <w:tc>
          <w:tcPr>
            <w:tcW w:type="dxa" w:w="7200"/>
            <w:vAlign w:val="center"/>
            <w:shd w:fill="FFFFFF"/>
          </w:tcPr>
          <w:p>
            <w:pPr>
              <w:spacing w:after="20"/>
            </w:pPr>
            <w:r/>
            <w:r>
              <w:rPr>
                <w:rFonts w:ascii="Aptos" w:hAnsi="Aptos"/>
                <w:b w:val="0"/>
                <w:sz w:val="14"/>
              </w:rPr>
              <w:t>30–35 hours expected by task brief; completion hours not asserted</w:t>
            </w:r>
          </w:p>
        </w:tc>
      </w:tr>
    </w:tbl>
    <w:p>
      <w:pPr>
        <w:spacing w:after="20"/>
      </w:pPr>
    </w:p>
    <w:p>
      <w:pPr>
        <w:pStyle w:val="Heading2"/>
      </w:pPr>
      <w:r>
        <w:t>Evaluation status</w:t>
      </w:r>
    </w:p>
    <w:p>
      <w:r>
        <w:t>This is a simulated post-implementation review exercise. No implementation, production cutover, executed tests, telemetry collection, or stakeholder interviews are claimed. The illustrative results below demonstrate an evaluation method only; they are not SAP performance measurements or evidence that the proposed design was deployed.</w:t>
      </w:r>
    </w:p>
    <w:p>
      <w:r>
        <w:br w:type="page"/>
      </w:r>
    </w:p>
    <w:p>
      <w:pPr>
        <w:pStyle w:val="Heading1"/>
      </w:pPr>
      <w:r>
        <w:t>Executive summary</w:t>
      </w:r>
    </w:p>
    <w:p>
      <w:r>
        <w:t>This report applies a post-implementation evaluation framework to the fictional SAP SD order-integration case described in Weeks 1–3. It assesses service performance, reliability, data quality, user experience, supportability, and control effectiveness. Because there is no real implementation or operating evidence, the numeric scenario is explicitly simulated and stakeholder feedback is handled as hypothetical themes rather than interviews, survey scores, or quotations.</w:t>
      </w:r>
    </w:p>
    <w:p>
      <w:r>
        <w:t>In the illustrative 500-order scenario, 488 orders are accepted and 12 are rejected for business validation, while 18 accepted orders require a transient retry. Eight additional duplicate submissions are detected without creating extra orders. The modeled p95 acknowledgement time is 4.6 seconds against an illustrative provisional 5-second target. These numbers indicate how a review could reveal follow-up questions; they do not demonstrate that the system meets a service level.</w:t>
      </w:r>
    </w:p>
    <w:p>
      <w:r>
        <w:t>The proposed improvement priorities are to establish a true baseline and telemetry source; strengthen receiver-side duplicate safety and reconciliation; improve actionable exception ownership; verify security and logging controls; and use a measured pilot with explicit exit criteria before scaling. The recommendation is “do not infer production readiness from this simulation”; a real go/no-go decision requires actual authorized test and pilot evidence.</w:t>
      </w:r>
    </w:p>
    <w:p>
      <w:pPr>
        <w:pStyle w:val="Heading1"/>
      </w:pPr>
      <w:r>
        <w:t>1. Review purpose, scope, and evidence</w:t>
      </w:r>
    </w:p>
    <w:p>
      <w:r>
        <w:t>The Week 4 internship brief requests an executive summary, evaluation of the integration process, performance metrics, stakeholder feedback analysis, strengths and weaknesses, and actionable continuous-improvement recommendations. It permits theoretical or publicly available information to simulate metrics. This report follows that permission and labels every modeled value.</w:t>
      </w:r>
    </w:p>
    <w:p>
      <w:pPr>
        <w:pStyle w:val="Heading2"/>
      </w:pPr>
      <w:r>
        <w:t>Review scope</w:t>
      </w:r>
    </w:p>
    <w:p>
      <w:pPr>
        <w:pStyle w:val="ListBullet"/>
        <w:spacing w:after="40"/>
      </w:pPr>
      <w:r>
        <w:t>Proposed order and status exchange between an external sales channel, integration layer, and SAP SD process.</w:t>
      </w:r>
    </w:p>
    <w:p>
      <w:pPr>
        <w:pStyle w:val="ListBullet"/>
        <w:spacing w:after="40"/>
      </w:pPr>
      <w:r>
        <w:t>Evaluation criteria covering performance, reliability, order/data quality, support and issue resolution, user experience, and control evidence.</w:t>
      </w:r>
    </w:p>
    <w:p>
      <w:pPr>
        <w:pStyle w:val="ListBullet"/>
        <w:spacing w:after="40"/>
      </w:pPr>
      <w:r>
        <w:t>A synthetic measurement scenario and hypothetical feedback themes to illustrate analysis and actions.</w:t>
      </w:r>
    </w:p>
    <w:p>
      <w:pPr>
        <w:pStyle w:val="Heading2"/>
      </w:pPr>
      <w:r>
        <w:t>Evidence classifications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shd w:fill="15324B"/>
          </w:tcPr>
          <w:p>
            <w:pPr>
              <w:spacing w:after="20"/>
            </w:pPr>
            <w:r/>
            <w:r>
              <w:rPr>
                <w:rFonts w:ascii="Aptos" w:hAnsi="Aptos"/>
                <w:b/>
                <w:color w:val="FFFFFF"/>
                <w:sz w:val="15"/>
              </w:rPr>
              <w:t>LABEL</w:t>
            </w:r>
          </w:p>
        </w:tc>
        <w:tc>
          <w:tcPr>
            <w:tcW w:type="dxa" w:w="7848"/>
            <w:vAlign w:val="center"/>
            <w:shd w:fill="15324B"/>
          </w:tcPr>
          <w:p>
            <w:pPr>
              <w:spacing w:after="20"/>
            </w:pPr>
            <w:r/>
            <w:r>
              <w:rPr>
                <w:rFonts w:ascii="Aptos" w:hAnsi="Aptos"/>
                <w:b/>
                <w:color w:val="FFFFFF"/>
                <w:sz w:val="15"/>
              </w:rPr>
              <w:t>MEANING IN THIS REPORT</w:t>
            </w:r>
          </w:p>
        </w:tc>
      </w:tr>
      <w:tr>
        <w:tc>
          <w:tcPr>
            <w:tcW w:type="dxa" w:w="2376"/>
            <w:vAlign w:val="center"/>
            <w:shd w:fill="F1F6F8"/>
          </w:tcPr>
          <w:p>
            <w:pPr>
              <w:spacing w:after="20"/>
            </w:pPr>
            <w:r/>
            <w:r>
              <w:rPr>
                <w:rFonts w:ascii="Aptos" w:hAnsi="Aptos"/>
                <w:b w:val="0"/>
                <w:sz w:val="14"/>
              </w:rPr>
              <w:t>Source requirement</w:t>
            </w:r>
          </w:p>
        </w:tc>
        <w:tc>
          <w:tcPr>
            <w:tcW w:type="dxa" w:w="7848"/>
            <w:vAlign w:val="center"/>
            <w:shd w:fill="F1F6F8"/>
          </w:tcPr>
          <w:p>
            <w:pPr>
              <w:spacing w:after="20"/>
            </w:pPr>
            <w:r/>
            <w:r>
              <w:rPr>
                <w:rFonts w:ascii="Aptos" w:hAnsi="Aptos"/>
                <w:b w:val="0"/>
                <w:sz w:val="14"/>
              </w:rPr>
              <w:t>Supplied internship task brief or cited public SAP documentation.</w:t>
            </w:r>
          </w:p>
        </w:tc>
      </w:tr>
      <w:tr>
        <w:tc>
          <w:tcPr>
            <w:tcW w:type="dxa" w:w="2376"/>
            <w:vAlign w:val="center"/>
            <w:shd w:fill="FFFFFF"/>
          </w:tcPr>
          <w:p>
            <w:pPr>
              <w:spacing w:after="20"/>
            </w:pPr>
            <w:r/>
            <w:r>
              <w:rPr>
                <w:rFonts w:ascii="Aptos" w:hAnsi="Aptos"/>
                <w:b w:val="0"/>
                <w:sz w:val="14"/>
              </w:rPr>
              <w:t>Design proposal</w:t>
            </w:r>
          </w:p>
        </w:tc>
        <w:tc>
          <w:tcPr>
            <w:tcW w:type="dxa" w:w="7848"/>
            <w:vAlign w:val="center"/>
            <w:shd w:fill="FFFFFF"/>
          </w:tcPr>
          <w:p>
            <w:pPr>
              <w:spacing w:after="20"/>
            </w:pPr>
            <w:r/>
            <w:r>
              <w:rPr>
                <w:rFonts w:ascii="Aptos" w:hAnsi="Aptos"/>
                <w:b w:val="0"/>
                <w:sz w:val="14"/>
              </w:rPr>
              <w:t>Control or architecture described in the prior blueprint; not implemented.</w:t>
            </w:r>
          </w:p>
        </w:tc>
      </w:tr>
      <w:tr>
        <w:tc>
          <w:tcPr>
            <w:tcW w:type="dxa" w:w="2376"/>
            <w:vAlign w:val="center"/>
            <w:shd w:fill="F1F6F8"/>
          </w:tcPr>
          <w:p>
            <w:pPr>
              <w:spacing w:after="20"/>
            </w:pPr>
            <w:r/>
            <w:r>
              <w:rPr>
                <w:rFonts w:ascii="Aptos" w:hAnsi="Aptos"/>
                <w:b w:val="0"/>
                <w:sz w:val="14"/>
              </w:rPr>
              <w:t>Simulated metric</w:t>
            </w:r>
          </w:p>
        </w:tc>
        <w:tc>
          <w:tcPr>
            <w:tcW w:type="dxa" w:w="7848"/>
            <w:vAlign w:val="center"/>
            <w:shd w:fill="F1F6F8"/>
          </w:tcPr>
          <w:p>
            <w:pPr>
              <w:spacing w:after="20"/>
            </w:pPr>
            <w:r/>
            <w:r>
              <w:rPr>
                <w:rFonts w:ascii="Aptos" w:hAnsi="Aptos"/>
                <w:b w:val="0"/>
                <w:sz w:val="14"/>
              </w:rPr>
              <w:t>A constructed value with a stated denominator/formula and no operational observation behind it.</w:t>
            </w:r>
          </w:p>
        </w:tc>
      </w:tr>
      <w:tr>
        <w:tc>
          <w:tcPr>
            <w:tcW w:type="dxa" w:w="2376"/>
            <w:vAlign w:val="center"/>
            <w:shd w:fill="FFFFFF"/>
          </w:tcPr>
          <w:p>
            <w:pPr>
              <w:spacing w:after="20"/>
            </w:pPr>
            <w:r/>
            <w:r>
              <w:rPr>
                <w:rFonts w:ascii="Aptos" w:hAnsi="Aptos"/>
                <w:b w:val="0"/>
                <w:sz w:val="14"/>
              </w:rPr>
              <w:t>Hypothetical feedback theme</w:t>
            </w:r>
          </w:p>
        </w:tc>
        <w:tc>
          <w:tcPr>
            <w:tcW w:type="dxa" w:w="7848"/>
            <w:vAlign w:val="center"/>
            <w:shd w:fill="FFFFFF"/>
          </w:tcPr>
          <w:p>
            <w:pPr>
              <w:spacing w:after="20"/>
            </w:pPr>
            <w:r/>
            <w:r>
              <w:rPr>
                <w:rFonts w:ascii="Aptos" w:hAnsi="Aptos"/>
                <w:b w:val="0"/>
                <w:sz w:val="14"/>
              </w:rPr>
              <w:t>A possible concern to investigate; not collected from a real stakeholder.</w:t>
            </w:r>
          </w:p>
        </w:tc>
      </w:tr>
      <w:tr>
        <w:tc>
          <w:tcPr>
            <w:tcW w:type="dxa" w:w="2376"/>
            <w:vAlign w:val="center"/>
            <w:shd w:fill="F1F6F8"/>
          </w:tcPr>
          <w:p>
            <w:pPr>
              <w:spacing w:after="20"/>
            </w:pPr>
            <w:r/>
            <w:r>
              <w:rPr>
                <w:rFonts w:ascii="Aptos" w:hAnsi="Aptos"/>
                <w:b w:val="0"/>
                <w:sz w:val="14"/>
              </w:rPr>
              <w:t>Observed result</w:t>
            </w:r>
          </w:p>
        </w:tc>
        <w:tc>
          <w:tcPr>
            <w:tcW w:type="dxa" w:w="7848"/>
            <w:vAlign w:val="center"/>
            <w:shd w:fill="F1F6F8"/>
          </w:tcPr>
          <w:p>
            <w:pPr>
              <w:spacing w:after="20"/>
            </w:pPr>
            <w:r/>
            <w:r>
              <w:rPr>
                <w:rFonts w:ascii="Aptos" w:hAnsi="Aptos"/>
                <w:b w:val="0"/>
                <w:sz w:val="14"/>
              </w:rPr>
              <w:t>None reported in this report.</w:t>
            </w:r>
          </w:p>
        </w:tc>
      </w:tr>
    </w:tbl>
    <w:p>
      <w:pPr>
        <w:spacing w:after="20"/>
      </w:pPr>
    </w:p>
    <w:p>
      <w:pPr>
        <w:pStyle w:val="Heading1"/>
      </w:pPr>
      <w:r>
        <w:t>2. Evaluation framework</w:t>
      </w:r>
    </w:p>
    <w:p>
      <w:r>
        <w:t>For a real review, collect data from an agreed pilot window, define exclusions, compare with a validated pre-integration baseline, and have business, application, integration, security, and support owners review the interpretation. The provisional thresholds below are for demonstrating the method; they require approval and should not be treated as formal service commitments.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vAlign w:val="center"/>
            <w:shd w:fill="15324B"/>
          </w:tcPr>
          <w:p>
            <w:pPr>
              <w:spacing w:after="20"/>
            </w:pPr>
            <w:r/>
            <w:r>
              <w:rPr>
                <w:rFonts w:ascii="Aptos" w:hAnsi="Aptos"/>
                <w:b/>
                <w:color w:val="FFFFFF"/>
                <w:sz w:val="15"/>
              </w:rPr>
              <w:t>DIMENSION</w:t>
            </w:r>
          </w:p>
        </w:tc>
        <w:tc>
          <w:tcPr>
            <w:tcW w:type="dxa" w:w="3096"/>
            <w:vAlign w:val="center"/>
            <w:shd w:fill="15324B"/>
          </w:tcPr>
          <w:p>
            <w:pPr>
              <w:spacing w:after="20"/>
            </w:pPr>
            <w:r/>
            <w:r>
              <w:rPr>
                <w:rFonts w:ascii="Aptos" w:hAnsi="Aptos"/>
                <w:b/>
                <w:color w:val="FFFFFF"/>
                <w:sz w:val="15"/>
              </w:rPr>
              <w:t>CANDIDATE MEASURE / FORMULA</w:t>
            </w:r>
          </w:p>
        </w:tc>
        <w:tc>
          <w:tcPr>
            <w:tcW w:type="dxa" w:w="2376"/>
            <w:vAlign w:val="center"/>
            <w:shd w:fill="15324B"/>
          </w:tcPr>
          <w:p>
            <w:pPr>
              <w:spacing w:after="20"/>
            </w:pPr>
            <w:r/>
            <w:r>
              <w:rPr>
                <w:rFonts w:ascii="Aptos" w:hAnsi="Aptos"/>
                <w:b/>
                <w:color w:val="FFFFFF"/>
                <w:sz w:val="15"/>
              </w:rPr>
              <w:t>EVIDENCE SOURCE</w:t>
            </w:r>
          </w:p>
        </w:tc>
        <w:tc>
          <w:tcPr>
            <w:tcW w:type="dxa" w:w="3168"/>
            <w:vAlign w:val="center"/>
            <w:shd w:fill="15324B"/>
          </w:tcPr>
          <w:p>
            <w:pPr>
              <w:spacing w:after="20"/>
            </w:pPr>
            <w:r/>
            <w:r>
              <w:rPr>
                <w:rFonts w:ascii="Aptos" w:hAnsi="Aptos"/>
                <w:b/>
                <w:color w:val="FFFFFF"/>
                <w:sz w:val="15"/>
              </w:rPr>
              <w:t>PROVISIONAL REVIEW QUESTION</w:t>
            </w:r>
          </w:p>
        </w:tc>
      </w:tr>
      <w:tr>
        <w:tc>
          <w:tcPr>
            <w:tcW w:type="dxa" w:w="1584"/>
            <w:vAlign w:val="center"/>
            <w:shd w:fill="F1F6F8"/>
          </w:tcPr>
          <w:p>
            <w:pPr>
              <w:spacing w:after="20"/>
            </w:pPr>
            <w:r/>
            <w:r>
              <w:rPr>
                <w:rFonts w:ascii="Aptos" w:hAnsi="Aptos"/>
                <w:b w:val="0"/>
                <w:sz w:val="14"/>
              </w:rPr>
              <w:t>Performance</w:t>
            </w:r>
          </w:p>
        </w:tc>
        <w:tc>
          <w:tcPr>
            <w:tcW w:type="dxa" w:w="3096"/>
            <w:vAlign w:val="center"/>
            <w:shd w:fill="F1F6F8"/>
          </w:tcPr>
          <w:p>
            <w:pPr>
              <w:spacing w:after="20"/>
            </w:pPr>
            <w:r/>
            <w:r>
              <w:rPr>
                <w:rFonts w:ascii="Aptos" w:hAnsi="Aptos"/>
                <w:b w:val="0"/>
                <w:sz w:val="14"/>
              </w:rPr>
              <w:t>Acknowledgement latency p50/p95 = elapsed time from request receipt to defined acknowledgement.</w:t>
            </w:r>
          </w:p>
        </w:tc>
        <w:tc>
          <w:tcPr>
            <w:tcW w:type="dxa" w:w="2376"/>
            <w:vAlign w:val="center"/>
            <w:shd w:fill="F1F6F8"/>
          </w:tcPr>
          <w:p>
            <w:pPr>
              <w:spacing w:after="20"/>
            </w:pPr>
            <w:r/>
            <w:r>
              <w:rPr>
                <w:rFonts w:ascii="Aptos" w:hAnsi="Aptos"/>
                <w:b w:val="0"/>
                <w:sz w:val="14"/>
              </w:rPr>
              <w:t>Timestamped channel and integration logs; clock alignment.</w:t>
            </w:r>
          </w:p>
        </w:tc>
        <w:tc>
          <w:tcPr>
            <w:tcW w:type="dxa" w:w="3168"/>
            <w:vAlign w:val="center"/>
            <w:shd w:fill="F1F6F8"/>
          </w:tcPr>
          <w:p>
            <w:pPr>
              <w:spacing w:after="20"/>
            </w:pPr>
            <w:r/>
            <w:r>
              <w:rPr>
                <w:rFonts w:ascii="Aptos" w:hAnsi="Aptos"/>
                <w:b w:val="0"/>
                <w:sz w:val="14"/>
              </w:rPr>
              <w:t>Does p95 meet the approved business response target during representative volume?</w:t>
            </w:r>
          </w:p>
        </w:tc>
      </w:tr>
      <w:tr>
        <w:tc>
          <w:tcPr>
            <w:tcW w:type="dxa" w:w="1584"/>
            <w:vAlign w:val="center"/>
            <w:shd w:fill="FFFFFF"/>
          </w:tcPr>
          <w:p>
            <w:pPr>
              <w:spacing w:after="20"/>
            </w:pPr>
            <w:r/>
            <w:r>
              <w:rPr>
                <w:rFonts w:ascii="Aptos" w:hAnsi="Aptos"/>
                <w:b w:val="0"/>
                <w:sz w:val="14"/>
              </w:rPr>
              <w:t>Reliability</w:t>
            </w:r>
          </w:p>
        </w:tc>
        <w:tc>
          <w:tcPr>
            <w:tcW w:type="dxa" w:w="3096"/>
            <w:vAlign w:val="center"/>
            <w:shd w:fill="FFFFFF"/>
          </w:tcPr>
          <w:p>
            <w:pPr>
              <w:spacing w:after="20"/>
            </w:pPr>
            <w:r/>
            <w:r>
              <w:rPr>
                <w:rFonts w:ascii="Aptos" w:hAnsi="Aptos"/>
                <w:b w:val="0"/>
                <w:sz w:val="14"/>
              </w:rPr>
              <w:t>Successful accepted orders / eligible submissions; retry recovery / transient failures.</w:t>
            </w:r>
          </w:p>
        </w:tc>
        <w:tc>
          <w:tcPr>
            <w:tcW w:type="dxa" w:w="2376"/>
            <w:vAlign w:val="center"/>
            <w:shd w:fill="FFFFFF"/>
          </w:tcPr>
          <w:p>
            <w:pPr>
              <w:spacing w:after="20"/>
            </w:pPr>
            <w:r/>
            <w:r>
              <w:rPr>
                <w:rFonts w:ascii="Aptos" w:hAnsi="Aptos"/>
                <w:b w:val="0"/>
                <w:sz w:val="14"/>
              </w:rPr>
              <w:t>Correlated message and SAP document outcomes.</w:t>
            </w:r>
          </w:p>
        </w:tc>
        <w:tc>
          <w:tcPr>
            <w:tcW w:type="dxa" w:w="3168"/>
            <w:vAlign w:val="center"/>
            <w:shd w:fill="FFFFFF"/>
          </w:tcPr>
          <w:p>
            <w:pPr>
              <w:spacing w:after="20"/>
            </w:pPr>
            <w:r/>
            <w:r>
              <w:rPr>
                <w:rFonts w:ascii="Aptos" w:hAnsi="Aptos"/>
                <w:b w:val="0"/>
                <w:sz w:val="14"/>
              </w:rPr>
              <w:t>Are temporary failures recovered within the business window without duplicate effects?</w:t>
            </w:r>
          </w:p>
        </w:tc>
      </w:tr>
      <w:tr>
        <w:tc>
          <w:tcPr>
            <w:tcW w:type="dxa" w:w="1584"/>
            <w:vAlign w:val="center"/>
            <w:shd w:fill="F1F6F8"/>
          </w:tcPr>
          <w:p>
            <w:pPr>
              <w:spacing w:after="20"/>
            </w:pPr>
            <w:r/>
            <w:r>
              <w:rPr>
                <w:rFonts w:ascii="Aptos" w:hAnsi="Aptos"/>
                <w:b w:val="0"/>
                <w:sz w:val="14"/>
              </w:rPr>
              <w:t>Data quality</w:t>
            </w:r>
          </w:p>
        </w:tc>
        <w:tc>
          <w:tcPr>
            <w:tcW w:type="dxa" w:w="3096"/>
            <w:vAlign w:val="center"/>
            <w:shd w:fill="F1F6F8"/>
          </w:tcPr>
          <w:p>
            <w:pPr>
              <w:spacing w:after="20"/>
            </w:pPr>
            <w:r/>
            <w:r>
              <w:rPr>
                <w:rFonts w:ascii="Aptos" w:hAnsi="Aptos"/>
                <w:b w:val="0"/>
                <w:sz w:val="14"/>
              </w:rPr>
              <w:t>First-pass valid rate = accepted without data correction / eligible submissions.</w:t>
            </w:r>
          </w:p>
        </w:tc>
        <w:tc>
          <w:tcPr>
            <w:tcW w:type="dxa" w:w="2376"/>
            <w:vAlign w:val="center"/>
            <w:shd w:fill="F1F6F8"/>
          </w:tcPr>
          <w:p>
            <w:pPr>
              <w:spacing w:after="20"/>
            </w:pPr>
            <w:r/>
            <w:r>
              <w:rPr>
                <w:rFonts w:ascii="Aptos" w:hAnsi="Aptos"/>
                <w:b w:val="0"/>
                <w:sz w:val="14"/>
              </w:rPr>
              <w:t>Validation result categories and business correction records.</w:t>
            </w:r>
          </w:p>
        </w:tc>
        <w:tc>
          <w:tcPr>
            <w:tcW w:type="dxa" w:w="3168"/>
            <w:vAlign w:val="center"/>
            <w:shd w:fill="F1F6F8"/>
          </w:tcPr>
          <w:p>
            <w:pPr>
              <w:spacing w:after="20"/>
            </w:pPr>
            <w:r/>
            <w:r>
              <w:rPr>
                <w:rFonts w:ascii="Aptos" w:hAnsi="Aptos"/>
                <w:b w:val="0"/>
                <w:sz w:val="14"/>
              </w:rPr>
              <w:t>Which master-data or mapping defects drive rejection/rework?</w:t>
            </w:r>
          </w:p>
        </w:tc>
      </w:tr>
      <w:tr>
        <w:tc>
          <w:tcPr>
            <w:tcW w:type="dxa" w:w="1584"/>
            <w:vAlign w:val="center"/>
            <w:shd w:fill="FFFFFF"/>
          </w:tcPr>
          <w:p>
            <w:pPr>
              <w:spacing w:after="20"/>
            </w:pPr>
            <w:r/>
            <w:r>
              <w:rPr>
                <w:rFonts w:ascii="Aptos" w:hAnsi="Aptos"/>
                <w:b w:val="0"/>
                <w:sz w:val="14"/>
              </w:rPr>
              <w:t>Duplicate control</w:t>
            </w:r>
          </w:p>
        </w:tc>
        <w:tc>
          <w:tcPr>
            <w:tcW w:type="dxa" w:w="3096"/>
            <w:vAlign w:val="center"/>
            <w:shd w:fill="FFFFFF"/>
          </w:tcPr>
          <w:p>
            <w:pPr>
              <w:spacing w:after="20"/>
            </w:pPr>
            <w:r/>
            <w:r>
              <w:rPr>
                <w:rFonts w:ascii="Aptos" w:hAnsi="Aptos"/>
                <w:b w:val="0"/>
                <w:sz w:val="14"/>
              </w:rPr>
              <w:t>Duplicate attempts detected; unintended duplicate business documents.</w:t>
            </w:r>
          </w:p>
        </w:tc>
        <w:tc>
          <w:tcPr>
            <w:tcW w:type="dxa" w:w="2376"/>
            <w:vAlign w:val="center"/>
            <w:shd w:fill="FFFFFF"/>
          </w:tcPr>
          <w:p>
            <w:pPr>
              <w:spacing w:after="20"/>
            </w:pPr>
            <w:r/>
            <w:r>
              <w:rPr>
                <w:rFonts w:ascii="Aptos" w:hAnsi="Aptos"/>
                <w:b w:val="0"/>
                <w:sz w:val="14"/>
              </w:rPr>
              <w:t>Stable external reference and target-side lookup/reconciliation.</w:t>
            </w:r>
          </w:p>
        </w:tc>
        <w:tc>
          <w:tcPr>
            <w:tcW w:type="dxa" w:w="3168"/>
            <w:vAlign w:val="center"/>
            <w:shd w:fill="FFFFFF"/>
          </w:tcPr>
          <w:p>
            <w:pPr>
              <w:spacing w:after="20"/>
            </w:pPr>
            <w:r/>
            <w:r>
              <w:rPr>
                <w:rFonts w:ascii="Aptos" w:hAnsi="Aptos"/>
                <w:b w:val="0"/>
                <w:sz w:val="14"/>
              </w:rPr>
              <w:t>Can the receiver safely handle repeat delivery and ambiguous response?</w:t>
            </w:r>
          </w:p>
        </w:tc>
      </w:tr>
      <w:tr>
        <w:tc>
          <w:tcPr>
            <w:tcW w:type="dxa" w:w="1584"/>
            <w:vAlign w:val="center"/>
            <w:shd w:fill="F1F6F8"/>
          </w:tcPr>
          <w:p>
            <w:pPr>
              <w:spacing w:after="20"/>
            </w:pPr>
            <w:r/>
            <w:r>
              <w:rPr>
                <w:rFonts w:ascii="Aptos" w:hAnsi="Aptos"/>
                <w:b w:val="0"/>
                <w:sz w:val="14"/>
              </w:rPr>
              <w:t>Supportability</w:t>
            </w:r>
          </w:p>
        </w:tc>
        <w:tc>
          <w:tcPr>
            <w:tcW w:type="dxa" w:w="3096"/>
            <w:vAlign w:val="center"/>
            <w:shd w:fill="F1F6F8"/>
          </w:tcPr>
          <w:p>
            <w:pPr>
              <w:spacing w:after="20"/>
            </w:pPr>
            <w:r/>
            <w:r>
              <w:rPr>
                <w:rFonts w:ascii="Aptos" w:hAnsi="Aptos"/>
                <w:b w:val="0"/>
                <w:sz w:val="14"/>
              </w:rPr>
              <w:t>Median time to acknowledge/resolve exceptions; unowned exception count.</w:t>
            </w:r>
          </w:p>
        </w:tc>
        <w:tc>
          <w:tcPr>
            <w:tcW w:type="dxa" w:w="2376"/>
            <w:vAlign w:val="center"/>
            <w:shd w:fill="F1F6F8"/>
          </w:tcPr>
          <w:p>
            <w:pPr>
              <w:spacing w:after="20"/>
            </w:pPr>
            <w:r/>
            <w:r>
              <w:rPr>
                <w:rFonts w:ascii="Aptos" w:hAnsi="Aptos"/>
                <w:b w:val="0"/>
                <w:sz w:val="14"/>
              </w:rPr>
              <w:t>Incident/work queue timestamps and operator audit history.</w:t>
            </w:r>
          </w:p>
        </w:tc>
        <w:tc>
          <w:tcPr>
            <w:tcW w:type="dxa" w:w="3168"/>
            <w:vAlign w:val="center"/>
            <w:shd w:fill="F1F6F8"/>
          </w:tcPr>
          <w:p>
            <w:pPr>
              <w:spacing w:after="20"/>
            </w:pPr>
            <w:r/>
            <w:r>
              <w:rPr>
                <w:rFonts w:ascii="Aptos" w:hAnsi="Aptos"/>
                <w:b w:val="0"/>
                <w:sz w:val="14"/>
              </w:rPr>
              <w:t>Are alerts actionable and owners able to resolve within agreed support hours?</w:t>
            </w:r>
          </w:p>
        </w:tc>
      </w:tr>
      <w:tr>
        <w:tc>
          <w:tcPr>
            <w:tcW w:type="dxa" w:w="1584"/>
            <w:vAlign w:val="center"/>
            <w:shd w:fill="FFFFFF"/>
          </w:tcPr>
          <w:p>
            <w:pPr>
              <w:spacing w:after="20"/>
            </w:pPr>
            <w:r/>
            <w:r>
              <w:rPr>
                <w:rFonts w:ascii="Aptos" w:hAnsi="Aptos"/>
                <w:b w:val="0"/>
                <w:sz w:val="14"/>
              </w:rPr>
              <w:t>User experience</w:t>
            </w:r>
          </w:p>
        </w:tc>
        <w:tc>
          <w:tcPr>
            <w:tcW w:type="dxa" w:w="3096"/>
            <w:vAlign w:val="center"/>
            <w:shd w:fill="FFFFFF"/>
          </w:tcPr>
          <w:p>
            <w:pPr>
              <w:spacing w:after="20"/>
            </w:pPr>
            <w:r/>
            <w:r>
              <w:rPr>
                <w:rFonts w:ascii="Aptos" w:hAnsi="Aptos"/>
                <w:b w:val="0"/>
                <w:sz w:val="14"/>
              </w:rPr>
              <w:t>Order-status visibility delay; support contact rate; actual permissioned user feedback.</w:t>
            </w:r>
          </w:p>
        </w:tc>
        <w:tc>
          <w:tcPr>
            <w:tcW w:type="dxa" w:w="2376"/>
            <w:vAlign w:val="center"/>
            <w:shd w:fill="FFFFFF"/>
          </w:tcPr>
          <w:p>
            <w:pPr>
              <w:spacing w:after="20"/>
            </w:pPr>
            <w:r/>
            <w:r>
              <w:rPr>
                <w:rFonts w:ascii="Aptos" w:hAnsi="Aptos"/>
                <w:b w:val="0"/>
                <w:sz w:val="14"/>
              </w:rPr>
              <w:t>Channel timestamps and consented feedback method.</w:t>
            </w:r>
          </w:p>
        </w:tc>
        <w:tc>
          <w:tcPr>
            <w:tcW w:type="dxa" w:w="3168"/>
            <w:vAlign w:val="center"/>
            <w:shd w:fill="FFFFFF"/>
          </w:tcPr>
          <w:p>
            <w:pPr>
              <w:spacing w:after="20"/>
            </w:pPr>
            <w:r/>
            <w:r>
              <w:rPr>
                <w:rFonts w:ascii="Aptos" w:hAnsi="Aptos"/>
                <w:b w:val="0"/>
                <w:sz w:val="14"/>
              </w:rPr>
              <w:t>Can users distinguish received, accepted, rejected, and pending states?</w:t>
            </w:r>
          </w:p>
        </w:tc>
      </w:tr>
      <w:tr>
        <w:tc>
          <w:tcPr>
            <w:tcW w:type="dxa" w:w="1584"/>
            <w:vAlign w:val="center"/>
            <w:shd w:fill="F1F6F8"/>
          </w:tcPr>
          <w:p>
            <w:pPr>
              <w:spacing w:after="20"/>
            </w:pPr>
            <w:r/>
            <w:r>
              <w:rPr>
                <w:rFonts w:ascii="Aptos" w:hAnsi="Aptos"/>
                <w:b w:val="0"/>
                <w:sz w:val="14"/>
              </w:rPr>
              <w:t>Security and governance</w:t>
            </w:r>
          </w:p>
        </w:tc>
        <w:tc>
          <w:tcPr>
            <w:tcW w:type="dxa" w:w="3096"/>
            <w:vAlign w:val="center"/>
            <w:shd w:fill="F1F6F8"/>
          </w:tcPr>
          <w:p>
            <w:pPr>
              <w:spacing w:after="20"/>
            </w:pPr>
            <w:r/>
            <w:r>
              <w:rPr>
                <w:rFonts w:ascii="Aptos" w:hAnsi="Aptos"/>
                <w:b w:val="0"/>
                <w:sz w:val="14"/>
              </w:rPr>
              <w:t>Access review completion; payload/log minimization; auditability of replay.</w:t>
            </w:r>
          </w:p>
        </w:tc>
        <w:tc>
          <w:tcPr>
            <w:tcW w:type="dxa" w:w="2376"/>
            <w:vAlign w:val="center"/>
            <w:shd w:fill="F1F6F8"/>
          </w:tcPr>
          <w:p>
            <w:pPr>
              <w:spacing w:after="20"/>
            </w:pPr>
            <w:r/>
            <w:r>
              <w:rPr>
                <w:rFonts w:ascii="Aptos" w:hAnsi="Aptos"/>
                <w:b w:val="0"/>
                <w:sz w:val="14"/>
              </w:rPr>
              <w:t>Access controls, audit records, retention settings, security review.</w:t>
            </w:r>
          </w:p>
        </w:tc>
        <w:tc>
          <w:tcPr>
            <w:tcW w:type="dxa" w:w="3168"/>
            <w:vAlign w:val="center"/>
            <w:shd w:fill="F1F6F8"/>
          </w:tcPr>
          <w:p>
            <w:pPr>
              <w:spacing w:after="20"/>
            </w:pPr>
            <w:r/>
            <w:r>
              <w:rPr>
                <w:rFonts w:ascii="Aptos" w:hAnsi="Aptos"/>
                <w:b w:val="0"/>
                <w:sz w:val="14"/>
              </w:rPr>
              <w:t>Are sensitive data and operator actions controlled and reviewable?</w:t>
            </w:r>
          </w:p>
        </w:tc>
      </w:tr>
    </w:tbl>
    <w:p>
      <w:pPr>
        <w:spacing w:after="20"/>
      </w:pPr>
    </w:p>
    <w:p>
      <w:pPr>
        <w:pStyle w:val="Heading1"/>
      </w:pPr>
      <w:r>
        <w:t>3. Simulated performance scenario</w:t>
      </w:r>
    </w:p>
    <w:p>
      <w:r>
        <w:t>Scenario definition (illustrative): 500 unique, eligible synthetic orders are submitted during a hypothetical five-business-day pilot. The model assumes 470 are accepted on the first attempt, 18 additional orders are accepted after transient retry, and 12 are rejected by business validation. Separately, eight duplicate submission attempts occur and are detected against the same business references. No actual system data was supplied or collected.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vAlign w:val="center"/>
            <w:shd w:fill="15324B"/>
          </w:tcPr>
          <w:p>
            <w:pPr>
              <w:spacing w:after="20"/>
            </w:pPr>
            <w:r/>
            <w:r>
              <w:rPr>
                <w:rFonts w:ascii="Aptos" w:hAnsi="Aptos"/>
                <w:b/>
                <w:color w:val="FFFFFF"/>
                <w:sz w:val="15"/>
              </w:rPr>
              <w:t>METRIC</w:t>
            </w:r>
          </w:p>
        </w:tc>
        <w:tc>
          <w:tcPr>
            <w:tcW w:type="dxa" w:w="1944"/>
            <w:vAlign w:val="center"/>
            <w:shd w:fill="15324B"/>
          </w:tcPr>
          <w:p>
            <w:pPr>
              <w:spacing w:after="20"/>
            </w:pPr>
            <w:r/>
            <w:r>
              <w:rPr>
                <w:rFonts w:ascii="Aptos" w:hAnsi="Aptos"/>
                <w:b/>
                <w:color w:val="FFFFFF"/>
                <w:sz w:val="15"/>
              </w:rPr>
              <w:t>ILLUSTRATIVE VALUE</w:t>
            </w:r>
          </w:p>
        </w:tc>
        <w:tc>
          <w:tcPr>
            <w:tcW w:type="dxa" w:w="5832"/>
            <w:vAlign w:val="center"/>
            <w:shd w:fill="15324B"/>
          </w:tcPr>
          <w:p>
            <w:pPr>
              <w:spacing w:after="20"/>
            </w:pPr>
            <w:r/>
            <w:r>
              <w:rPr>
                <w:rFonts w:ascii="Aptos" w:hAnsi="Aptos"/>
                <w:b/>
                <w:color w:val="FFFFFF"/>
                <w:sz w:val="15"/>
              </w:rPr>
              <w:t>CALCULATION / INTERPRETATION</w:t>
            </w:r>
          </w:p>
        </w:tc>
      </w:tr>
      <w:tr>
        <w:tc>
          <w:tcPr>
            <w:tcW w:type="dxa" w:w="2448"/>
            <w:vAlign w:val="center"/>
            <w:shd w:fill="F1F6F8"/>
          </w:tcPr>
          <w:p>
            <w:pPr>
              <w:spacing w:after="20"/>
            </w:pPr>
            <w:r/>
            <w:r>
              <w:rPr>
                <w:rFonts w:ascii="Aptos" w:hAnsi="Aptos"/>
                <w:b w:val="0"/>
                <w:sz w:val="14"/>
              </w:rPr>
              <w:t>Unique eligible orders</w:t>
            </w:r>
          </w:p>
        </w:tc>
        <w:tc>
          <w:tcPr>
            <w:tcW w:type="dxa" w:w="1944"/>
            <w:vAlign w:val="center"/>
            <w:shd w:fill="F1F6F8"/>
          </w:tcPr>
          <w:p>
            <w:pPr>
              <w:spacing w:after="20"/>
            </w:pPr>
            <w:r/>
            <w:r>
              <w:rPr>
                <w:rFonts w:ascii="Aptos" w:hAnsi="Aptos"/>
                <w:b w:val="0"/>
                <w:sz w:val="14"/>
              </w:rPr>
              <w:t>500</w:t>
            </w:r>
          </w:p>
        </w:tc>
        <w:tc>
          <w:tcPr>
            <w:tcW w:type="dxa" w:w="5832"/>
            <w:vAlign w:val="center"/>
            <w:shd w:fill="F1F6F8"/>
          </w:tcPr>
          <w:p>
            <w:pPr>
              <w:spacing w:after="20"/>
            </w:pPr>
            <w:r/>
            <w:r>
              <w:rPr>
                <w:rFonts w:ascii="Aptos" w:hAnsi="Aptos"/>
                <w:b w:val="0"/>
                <w:sz w:val="14"/>
              </w:rPr>
              <w:t>Scenario denominator; synthetic only.</w:t>
            </w:r>
          </w:p>
        </w:tc>
      </w:tr>
      <w:tr>
        <w:tc>
          <w:tcPr>
            <w:tcW w:type="dxa" w:w="2448"/>
            <w:vAlign w:val="center"/>
            <w:shd w:fill="FFFFFF"/>
          </w:tcPr>
          <w:p>
            <w:pPr>
              <w:spacing w:after="20"/>
            </w:pPr>
            <w:r/>
            <w:r>
              <w:rPr>
                <w:rFonts w:ascii="Aptos" w:hAnsi="Aptos"/>
                <w:b w:val="0"/>
                <w:sz w:val="14"/>
              </w:rPr>
              <w:t>Accepted on first attempt</w:t>
            </w:r>
          </w:p>
        </w:tc>
        <w:tc>
          <w:tcPr>
            <w:tcW w:type="dxa" w:w="1944"/>
            <w:vAlign w:val="center"/>
            <w:shd w:fill="FFFFFF"/>
          </w:tcPr>
          <w:p>
            <w:pPr>
              <w:spacing w:after="20"/>
            </w:pPr>
            <w:r/>
            <w:r>
              <w:rPr>
                <w:rFonts w:ascii="Aptos" w:hAnsi="Aptos"/>
                <w:b w:val="0"/>
                <w:sz w:val="14"/>
              </w:rPr>
              <w:t>470 / 500 = 94.0%</w:t>
            </w:r>
          </w:p>
        </w:tc>
        <w:tc>
          <w:tcPr>
            <w:tcW w:type="dxa" w:w="5832"/>
            <w:vAlign w:val="center"/>
            <w:shd w:fill="FFFFFF"/>
          </w:tcPr>
          <w:p>
            <w:pPr>
              <w:spacing w:after="20"/>
            </w:pPr>
            <w:r/>
            <w:r>
              <w:rPr>
                <w:rFonts w:ascii="Aptos" w:hAnsi="Aptos"/>
                <w:b w:val="0"/>
                <w:sz w:val="14"/>
              </w:rPr>
              <w:t>470 first-pass accepts divided by unique eligible orders.</w:t>
            </w:r>
          </w:p>
        </w:tc>
      </w:tr>
      <w:tr>
        <w:tc>
          <w:tcPr>
            <w:tcW w:type="dxa" w:w="2448"/>
            <w:vAlign w:val="center"/>
            <w:shd w:fill="F1F6F8"/>
          </w:tcPr>
          <w:p>
            <w:pPr>
              <w:spacing w:after="20"/>
            </w:pPr>
            <w:r/>
            <w:r>
              <w:rPr>
                <w:rFonts w:ascii="Aptos" w:hAnsi="Aptos"/>
                <w:b w:val="0"/>
                <w:sz w:val="14"/>
              </w:rPr>
              <w:t>Accepted after transient retry</w:t>
            </w:r>
          </w:p>
        </w:tc>
        <w:tc>
          <w:tcPr>
            <w:tcW w:type="dxa" w:w="1944"/>
            <w:vAlign w:val="center"/>
            <w:shd w:fill="F1F6F8"/>
          </w:tcPr>
          <w:p>
            <w:pPr>
              <w:spacing w:after="20"/>
            </w:pPr>
            <w:r/>
            <w:r>
              <w:rPr>
                <w:rFonts w:ascii="Aptos" w:hAnsi="Aptos"/>
                <w:b w:val="0"/>
                <w:sz w:val="14"/>
              </w:rPr>
              <w:t>18</w:t>
            </w:r>
          </w:p>
        </w:tc>
        <w:tc>
          <w:tcPr>
            <w:tcW w:type="dxa" w:w="5832"/>
            <w:vAlign w:val="center"/>
            <w:shd w:fill="F1F6F8"/>
          </w:tcPr>
          <w:p>
            <w:pPr>
              <w:spacing w:after="20"/>
            </w:pPr>
            <w:r/>
            <w:r>
              <w:rPr>
                <w:rFonts w:ascii="Aptos" w:hAnsi="Aptos"/>
                <w:b w:val="0"/>
                <w:sz w:val="14"/>
              </w:rPr>
              <w:t>Additional successful orders after recovery; included in total accepted.</w:t>
            </w:r>
          </w:p>
        </w:tc>
      </w:tr>
      <w:tr>
        <w:tc>
          <w:tcPr>
            <w:tcW w:type="dxa" w:w="2448"/>
            <w:vAlign w:val="center"/>
            <w:shd w:fill="FFFFFF"/>
          </w:tcPr>
          <w:p>
            <w:pPr>
              <w:spacing w:after="20"/>
            </w:pPr>
            <w:r/>
            <w:r>
              <w:rPr>
                <w:rFonts w:ascii="Aptos" w:hAnsi="Aptos"/>
                <w:b w:val="0"/>
                <w:sz w:val="14"/>
              </w:rPr>
              <w:t>Total accepted</w:t>
            </w:r>
          </w:p>
        </w:tc>
        <w:tc>
          <w:tcPr>
            <w:tcW w:type="dxa" w:w="1944"/>
            <w:vAlign w:val="center"/>
            <w:shd w:fill="FFFFFF"/>
          </w:tcPr>
          <w:p>
            <w:pPr>
              <w:spacing w:after="20"/>
            </w:pPr>
            <w:r/>
            <w:r>
              <w:rPr>
                <w:rFonts w:ascii="Aptos" w:hAnsi="Aptos"/>
                <w:b w:val="0"/>
                <w:sz w:val="14"/>
              </w:rPr>
              <w:t>488 / 500 = 97.6%</w:t>
            </w:r>
          </w:p>
        </w:tc>
        <w:tc>
          <w:tcPr>
            <w:tcW w:type="dxa" w:w="5832"/>
            <w:vAlign w:val="center"/>
            <w:shd w:fill="FFFFFF"/>
          </w:tcPr>
          <w:p>
            <w:pPr>
              <w:spacing w:after="20"/>
            </w:pPr>
            <w:r/>
            <w:r>
              <w:rPr>
                <w:rFonts w:ascii="Aptos" w:hAnsi="Aptos"/>
                <w:b w:val="0"/>
                <w:sz w:val="14"/>
              </w:rPr>
              <w:t>(470 + 18) / 500.</w:t>
            </w:r>
          </w:p>
        </w:tc>
      </w:tr>
      <w:tr>
        <w:tc>
          <w:tcPr>
            <w:tcW w:type="dxa" w:w="2448"/>
            <w:vAlign w:val="center"/>
            <w:shd w:fill="F1F6F8"/>
          </w:tcPr>
          <w:p>
            <w:pPr>
              <w:spacing w:after="20"/>
            </w:pPr>
            <w:r/>
            <w:r>
              <w:rPr>
                <w:rFonts w:ascii="Aptos" w:hAnsi="Aptos"/>
                <w:b w:val="0"/>
                <w:sz w:val="14"/>
              </w:rPr>
              <w:t>Business validation rejects</w:t>
            </w:r>
          </w:p>
        </w:tc>
        <w:tc>
          <w:tcPr>
            <w:tcW w:type="dxa" w:w="1944"/>
            <w:vAlign w:val="center"/>
            <w:shd w:fill="F1F6F8"/>
          </w:tcPr>
          <w:p>
            <w:pPr>
              <w:spacing w:after="20"/>
            </w:pPr>
            <w:r/>
            <w:r>
              <w:rPr>
                <w:rFonts w:ascii="Aptos" w:hAnsi="Aptos"/>
                <w:b w:val="0"/>
                <w:sz w:val="14"/>
              </w:rPr>
              <w:t>12 / 500 = 2.4%</w:t>
            </w:r>
          </w:p>
        </w:tc>
        <w:tc>
          <w:tcPr>
            <w:tcW w:type="dxa" w:w="5832"/>
            <w:vAlign w:val="center"/>
            <w:shd w:fill="F1F6F8"/>
          </w:tcPr>
          <w:p>
            <w:pPr>
              <w:spacing w:after="20"/>
            </w:pPr>
            <w:r/>
            <w:r>
              <w:rPr>
                <w:rFonts w:ascii="Aptos" w:hAnsi="Aptos"/>
                <w:b w:val="0"/>
                <w:sz w:val="14"/>
              </w:rPr>
              <w:t>Validation rejects / unique eligible orders; reason-level categories must be collected.</w:t>
            </w:r>
          </w:p>
        </w:tc>
      </w:tr>
      <w:tr>
        <w:tc>
          <w:tcPr>
            <w:tcW w:type="dxa" w:w="2448"/>
            <w:vAlign w:val="center"/>
            <w:shd w:fill="FFFFFF"/>
          </w:tcPr>
          <w:p>
            <w:pPr>
              <w:spacing w:after="20"/>
            </w:pPr>
            <w:r/>
            <w:r>
              <w:rPr>
                <w:rFonts w:ascii="Aptos" w:hAnsi="Aptos"/>
                <w:b w:val="0"/>
                <w:sz w:val="14"/>
              </w:rPr>
              <w:t>Retry recovery rate</w:t>
            </w:r>
          </w:p>
        </w:tc>
        <w:tc>
          <w:tcPr>
            <w:tcW w:type="dxa" w:w="1944"/>
            <w:vAlign w:val="center"/>
            <w:shd w:fill="FFFFFF"/>
          </w:tcPr>
          <w:p>
            <w:pPr>
              <w:spacing w:after="20"/>
            </w:pPr>
            <w:r/>
            <w:r>
              <w:rPr>
                <w:rFonts w:ascii="Aptos" w:hAnsi="Aptos"/>
                <w:b w:val="0"/>
                <w:sz w:val="14"/>
              </w:rPr>
              <w:t>18 / 24 = 75.0%</w:t>
            </w:r>
          </w:p>
        </w:tc>
        <w:tc>
          <w:tcPr>
            <w:tcW w:type="dxa" w:w="5832"/>
            <w:vAlign w:val="center"/>
            <w:shd w:fill="FFFFFF"/>
          </w:tcPr>
          <w:p>
            <w:pPr>
              <w:spacing w:after="20"/>
            </w:pPr>
            <w:r/>
            <w:r>
              <w:rPr>
                <w:rFonts w:ascii="Aptos" w:hAnsi="Aptos"/>
                <w:b w:val="0"/>
                <w:sz w:val="14"/>
              </w:rPr>
              <w:t>Assumes 24 transiently affected orders, of which 18 recovered; six remain unresolved/escalated.</w:t>
            </w:r>
          </w:p>
        </w:tc>
      </w:tr>
      <w:tr>
        <w:tc>
          <w:tcPr>
            <w:tcW w:type="dxa" w:w="2448"/>
            <w:vAlign w:val="center"/>
            <w:shd w:fill="F1F6F8"/>
          </w:tcPr>
          <w:p>
            <w:pPr>
              <w:spacing w:after="20"/>
            </w:pPr>
            <w:r/>
            <w:r>
              <w:rPr>
                <w:rFonts w:ascii="Aptos" w:hAnsi="Aptos"/>
                <w:b w:val="0"/>
                <w:sz w:val="14"/>
              </w:rPr>
              <w:t>Duplicate attempts safely detected</w:t>
            </w:r>
          </w:p>
        </w:tc>
        <w:tc>
          <w:tcPr>
            <w:tcW w:type="dxa" w:w="1944"/>
            <w:vAlign w:val="center"/>
            <w:shd w:fill="F1F6F8"/>
          </w:tcPr>
          <w:p>
            <w:pPr>
              <w:spacing w:after="20"/>
            </w:pPr>
            <w:r/>
            <w:r>
              <w:rPr>
                <w:rFonts w:ascii="Aptos" w:hAnsi="Aptos"/>
                <w:b w:val="0"/>
                <w:sz w:val="14"/>
              </w:rPr>
              <w:t>8 / 8</w:t>
            </w:r>
          </w:p>
        </w:tc>
        <w:tc>
          <w:tcPr>
            <w:tcW w:type="dxa" w:w="5832"/>
            <w:vAlign w:val="center"/>
            <w:shd w:fill="F1F6F8"/>
          </w:tcPr>
          <w:p>
            <w:pPr>
              <w:spacing w:after="20"/>
            </w:pPr>
            <w:r/>
            <w:r>
              <w:rPr>
                <w:rFonts w:ascii="Aptos" w:hAnsi="Aptos"/>
                <w:b w:val="0"/>
                <w:sz w:val="14"/>
              </w:rPr>
              <w:t>All eight repeated submissions in the scenario map to existing business references; no extra order created by assumption.</w:t>
            </w:r>
          </w:p>
        </w:tc>
      </w:tr>
      <w:tr>
        <w:tc>
          <w:tcPr>
            <w:tcW w:type="dxa" w:w="2448"/>
            <w:vAlign w:val="center"/>
            <w:shd w:fill="FFFFFF"/>
          </w:tcPr>
          <w:p>
            <w:pPr>
              <w:spacing w:after="20"/>
            </w:pPr>
            <w:r/>
            <w:r>
              <w:rPr>
                <w:rFonts w:ascii="Aptos" w:hAnsi="Aptos"/>
                <w:b w:val="0"/>
                <w:sz w:val="14"/>
              </w:rPr>
              <w:t>Unintended duplicate orders</w:t>
            </w:r>
          </w:p>
        </w:tc>
        <w:tc>
          <w:tcPr>
            <w:tcW w:type="dxa" w:w="1944"/>
            <w:vAlign w:val="center"/>
            <w:shd w:fill="FFFFFF"/>
          </w:tcPr>
          <w:p>
            <w:pPr>
              <w:spacing w:after="20"/>
            </w:pPr>
            <w:r/>
            <w:r>
              <w:rPr>
                <w:rFonts w:ascii="Aptos" w:hAnsi="Aptos"/>
                <w:b w:val="0"/>
                <w:sz w:val="14"/>
              </w:rPr>
              <w:t>0</w:t>
            </w:r>
          </w:p>
        </w:tc>
        <w:tc>
          <w:tcPr>
            <w:tcW w:type="dxa" w:w="5832"/>
            <w:vAlign w:val="center"/>
            <w:shd w:fill="FFFFFF"/>
          </w:tcPr>
          <w:p>
            <w:pPr>
              <w:spacing w:after="20"/>
            </w:pPr>
            <w:r/>
            <w:r>
              <w:rPr>
                <w:rFonts w:ascii="Aptos" w:hAnsi="Aptos"/>
                <w:b w:val="0"/>
                <w:sz w:val="14"/>
              </w:rPr>
              <w:t>Assumed outcome for the model; must be proven by target-side reconciliation in real testing.</w:t>
            </w:r>
          </w:p>
        </w:tc>
      </w:tr>
      <w:tr>
        <w:tc>
          <w:tcPr>
            <w:tcW w:type="dxa" w:w="2448"/>
            <w:vAlign w:val="center"/>
            <w:shd w:fill="F1F6F8"/>
          </w:tcPr>
          <w:p>
            <w:pPr>
              <w:spacing w:after="20"/>
            </w:pPr>
            <w:r/>
            <w:r>
              <w:rPr>
                <w:rFonts w:ascii="Aptos" w:hAnsi="Aptos"/>
                <w:b w:val="0"/>
                <w:sz w:val="14"/>
              </w:rPr>
              <w:t>Acknowledgement latency p50 / p95</w:t>
            </w:r>
          </w:p>
        </w:tc>
        <w:tc>
          <w:tcPr>
            <w:tcW w:type="dxa" w:w="1944"/>
            <w:vAlign w:val="center"/>
            <w:shd w:fill="F1F6F8"/>
          </w:tcPr>
          <w:p>
            <w:pPr>
              <w:spacing w:after="20"/>
            </w:pPr>
            <w:r/>
            <w:r>
              <w:rPr>
                <w:rFonts w:ascii="Aptos" w:hAnsi="Aptos"/>
                <w:b w:val="0"/>
                <w:sz w:val="14"/>
              </w:rPr>
              <w:t>1.8 sec / 4.6 sec</w:t>
            </w:r>
          </w:p>
        </w:tc>
        <w:tc>
          <w:tcPr>
            <w:tcW w:type="dxa" w:w="5832"/>
            <w:vAlign w:val="center"/>
            <w:shd w:fill="F1F6F8"/>
          </w:tcPr>
          <w:p>
            <w:pPr>
              <w:spacing w:after="20"/>
            </w:pPr>
            <w:r/>
            <w:r>
              <w:rPr>
                <w:rFonts w:ascii="Aptos" w:hAnsi="Aptos"/>
                <w:b w:val="0"/>
                <w:sz w:val="14"/>
              </w:rPr>
              <w:t>Hypothetical successful-path values; illustrative p95 threshold = 5 sec, not an approved SLA.</w:t>
            </w:r>
          </w:p>
        </w:tc>
      </w:tr>
      <w:tr>
        <w:tc>
          <w:tcPr>
            <w:tcW w:type="dxa" w:w="2448"/>
            <w:vAlign w:val="center"/>
            <w:shd w:fill="FFFFFF"/>
          </w:tcPr>
          <w:p>
            <w:pPr>
              <w:spacing w:after="20"/>
            </w:pPr>
            <w:r/>
            <w:r>
              <w:rPr>
                <w:rFonts w:ascii="Aptos" w:hAnsi="Aptos"/>
                <w:b w:val="0"/>
                <w:sz w:val="14"/>
              </w:rPr>
              <w:t>Open unresolved at pilot end</w:t>
            </w:r>
          </w:p>
        </w:tc>
        <w:tc>
          <w:tcPr>
            <w:tcW w:type="dxa" w:w="1944"/>
            <w:vAlign w:val="center"/>
            <w:shd w:fill="FFFFFF"/>
          </w:tcPr>
          <w:p>
            <w:pPr>
              <w:spacing w:after="20"/>
            </w:pPr>
            <w:r/>
            <w:r>
              <w:rPr>
                <w:rFonts w:ascii="Aptos" w:hAnsi="Aptos"/>
                <w:b w:val="0"/>
                <w:sz w:val="14"/>
              </w:rPr>
              <w:t>6 transient / 12 rejected</w:t>
            </w:r>
          </w:p>
        </w:tc>
        <w:tc>
          <w:tcPr>
            <w:tcW w:type="dxa" w:w="5832"/>
            <w:vAlign w:val="center"/>
            <w:shd w:fill="FFFFFF"/>
          </w:tcPr>
          <w:p>
            <w:pPr>
              <w:spacing w:after="20"/>
            </w:pPr>
            <w:r/>
            <w:r>
              <w:rPr>
                <w:rFonts w:ascii="Aptos" w:hAnsi="Aptos"/>
                <w:b w:val="0"/>
                <w:sz w:val="14"/>
              </w:rPr>
              <w:t>Six transient cases remain operationally unresolved; twelve business rejects need data correction or valid disposition.</w:t>
            </w:r>
          </w:p>
        </w:tc>
      </w:tr>
    </w:tbl>
    <w:p>
      <w:pPr>
        <w:spacing w:after="20"/>
      </w:pPr>
    </w:p>
    <w:p>
      <w:pPr>
        <w:pStyle w:val="Heading2"/>
      </w:pPr>
      <w:r>
        <w:t>Interpretation and limits</w:t>
      </w:r>
    </w:p>
    <w:p>
      <w:pPr>
        <w:pStyle w:val="ListBullet"/>
        <w:spacing w:after="40"/>
      </w:pPr>
      <w:r>
        <w:t>The modeled 97.6% accepted rate combines first-pass and recovered orders; it does not equal a measured system success rate.</w:t>
      </w:r>
    </w:p>
    <w:p>
      <w:pPr>
        <w:pStyle w:val="ListBullet"/>
        <w:spacing w:after="40"/>
      </w:pPr>
      <w:r>
        <w:t>The retry denominator (24) is explicitly assumed as 18 recovered plus 6 unresolved; if actual source data used a different definition, recalculate.</w:t>
      </w:r>
    </w:p>
    <w:p>
      <w:pPr>
        <w:pStyle w:val="ListBullet"/>
        <w:spacing w:after="40"/>
      </w:pPr>
      <w:r>
        <w:t>A 4.6-second p95 would be close to the illustrative threshold and should prompt review of request/response semantics and peak-period behavior, not a claim of SLA compliance.</w:t>
      </w:r>
    </w:p>
    <w:p>
      <w:pPr>
        <w:pStyle w:val="ListBullet"/>
        <w:spacing w:after="40"/>
      </w:pPr>
      <w:r>
        <w:t>The “zero unintended duplicates” result is an assumption to be tested, not evidence; ambiguous acknowledgements and replay paths need target-side reconciliation.</w:t>
      </w:r>
    </w:p>
    <w:p>
      <w:pPr>
        <w:pStyle w:val="ListBullet"/>
        <w:spacing w:after="40"/>
      </w:pPr>
      <w:r>
        <w:t>The unresolved cases show why reporting only completion percentages can hide operational workload. Report rejection reason, age, owner, and resolution outcome.</w:t>
      </w:r>
    </w:p>
    <w:p>
      <w:pPr>
        <w:pStyle w:val="ListBullet"/>
        <w:spacing w:after="40"/>
      </w:pPr>
      <w:r>
        <w:t>The scenario does not model seasonal peaks, partial orders, multiple channels, outages, security incidents, or actual SAP workload.</w:t>
      </w:r>
    </w:p>
    <w:p>
      <w:pPr>
        <w:pStyle w:val="Heading1"/>
      </w:pPr>
      <w:r>
        <w:t>4. Reliability and process evaluation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vAlign w:val="center"/>
            <w:shd w:fill="15324B"/>
          </w:tcPr>
          <w:p>
            <w:pPr>
              <w:spacing w:after="20"/>
            </w:pPr>
            <w:r/>
            <w:r>
              <w:rPr>
                <w:rFonts w:ascii="Aptos" w:hAnsi="Aptos"/>
                <w:b/>
                <w:color w:val="FFFFFF"/>
                <w:sz w:val="15"/>
              </w:rPr>
              <w:t>AREA</w:t>
            </w:r>
          </w:p>
        </w:tc>
        <w:tc>
          <w:tcPr>
            <w:tcW w:type="dxa" w:w="3960"/>
            <w:vAlign w:val="center"/>
            <w:shd w:fill="15324B"/>
          </w:tcPr>
          <w:p>
            <w:pPr>
              <w:spacing w:after="20"/>
            </w:pPr>
            <w:r/>
            <w:r>
              <w:rPr>
                <w:rFonts w:ascii="Aptos" w:hAnsi="Aptos"/>
                <w:b/>
                <w:color w:val="FFFFFF"/>
                <w:sz w:val="15"/>
              </w:rPr>
              <w:t>SIMULATED FINDING</w:t>
            </w:r>
          </w:p>
        </w:tc>
        <w:tc>
          <w:tcPr>
            <w:tcW w:type="dxa" w:w="4392"/>
            <w:vAlign w:val="center"/>
            <w:shd w:fill="15324B"/>
          </w:tcPr>
          <w:p>
            <w:pPr>
              <w:spacing w:after="20"/>
            </w:pPr>
            <w:r/>
            <w:r>
              <w:rPr>
                <w:rFonts w:ascii="Aptos" w:hAnsi="Aptos"/>
                <w:b/>
                <w:color w:val="FFFFFF"/>
                <w:sz w:val="15"/>
              </w:rPr>
              <w:t>REVIEW / FOLLOW-UP</w:t>
            </w:r>
          </w:p>
        </w:tc>
      </w:tr>
      <w:tr>
        <w:tc>
          <w:tcPr>
            <w:tcW w:type="dxa" w:w="1872"/>
            <w:vAlign w:val="center"/>
            <w:shd w:fill="F1F6F8"/>
          </w:tcPr>
          <w:p>
            <w:pPr>
              <w:spacing w:after="20"/>
            </w:pPr>
            <w:r/>
            <w:r>
              <w:rPr>
                <w:rFonts w:ascii="Aptos" w:hAnsi="Aptos"/>
                <w:b w:val="0"/>
                <w:sz w:val="14"/>
              </w:rPr>
              <w:t>Order acceptance</w:t>
            </w:r>
          </w:p>
        </w:tc>
        <w:tc>
          <w:tcPr>
            <w:tcW w:type="dxa" w:w="3960"/>
            <w:vAlign w:val="center"/>
            <w:shd w:fill="F1F6F8"/>
          </w:tcPr>
          <w:p>
            <w:pPr>
              <w:spacing w:after="20"/>
            </w:pPr>
            <w:r/>
            <w:r>
              <w:rPr>
                <w:rFonts w:ascii="Aptos" w:hAnsi="Aptos"/>
                <w:b w:val="0"/>
                <w:sz w:val="14"/>
              </w:rPr>
              <w:t>488 of 500 hypothetical eligible orders accepted in the model; twelve validation rejections.</w:t>
            </w:r>
          </w:p>
        </w:tc>
        <w:tc>
          <w:tcPr>
            <w:tcW w:type="dxa" w:w="4392"/>
            <w:vAlign w:val="center"/>
            <w:shd w:fill="F1F6F8"/>
          </w:tcPr>
          <w:p>
            <w:pPr>
              <w:spacing w:after="20"/>
            </w:pPr>
            <w:r/>
            <w:r>
              <w:rPr>
                <w:rFonts w:ascii="Aptos" w:hAnsi="Aptos"/>
                <w:b w:val="0"/>
                <w:sz w:val="14"/>
              </w:rPr>
              <w:t>Break down by customer/product reference, missing data, pricing, and other confirmed reason; assign data owners.</w:t>
            </w:r>
          </w:p>
        </w:tc>
      </w:tr>
      <w:tr>
        <w:tc>
          <w:tcPr>
            <w:tcW w:type="dxa" w:w="1872"/>
            <w:vAlign w:val="center"/>
            <w:shd w:fill="FFFFFF"/>
          </w:tcPr>
          <w:p>
            <w:pPr>
              <w:spacing w:after="20"/>
            </w:pPr>
            <w:r/>
            <w:r>
              <w:rPr>
                <w:rFonts w:ascii="Aptos" w:hAnsi="Aptos"/>
                <w:b w:val="0"/>
                <w:sz w:val="14"/>
              </w:rPr>
              <w:t>Transient recovery</w:t>
            </w:r>
          </w:p>
        </w:tc>
        <w:tc>
          <w:tcPr>
            <w:tcW w:type="dxa" w:w="3960"/>
            <w:vAlign w:val="center"/>
            <w:shd w:fill="FFFFFF"/>
          </w:tcPr>
          <w:p>
            <w:pPr>
              <w:spacing w:after="20"/>
            </w:pPr>
            <w:r/>
            <w:r>
              <w:rPr>
                <w:rFonts w:ascii="Aptos" w:hAnsi="Aptos"/>
                <w:b w:val="0"/>
                <w:sz w:val="14"/>
              </w:rPr>
              <w:t>18 of 24 assumed transient cases recover; six remain unresolved at end of window.</w:t>
            </w:r>
          </w:p>
        </w:tc>
        <w:tc>
          <w:tcPr>
            <w:tcW w:type="dxa" w:w="4392"/>
            <w:vAlign w:val="center"/>
            <w:shd w:fill="FFFFFF"/>
          </w:tcPr>
          <w:p>
            <w:pPr>
              <w:spacing w:after="20"/>
            </w:pPr>
            <w:r/>
            <w:r>
              <w:rPr>
                <w:rFonts w:ascii="Aptos" w:hAnsi="Aptos"/>
                <w:b w:val="0"/>
                <w:sz w:val="14"/>
              </w:rPr>
              <w:t>Check retry bounds, oldest queue age, alert route, recovery playbook, and business continuity fallback.</w:t>
            </w:r>
          </w:p>
        </w:tc>
      </w:tr>
      <w:tr>
        <w:tc>
          <w:tcPr>
            <w:tcW w:type="dxa" w:w="1872"/>
            <w:vAlign w:val="center"/>
            <w:shd w:fill="F1F6F8"/>
          </w:tcPr>
          <w:p>
            <w:pPr>
              <w:spacing w:after="20"/>
            </w:pPr>
            <w:r/>
            <w:r>
              <w:rPr>
                <w:rFonts w:ascii="Aptos" w:hAnsi="Aptos"/>
                <w:b w:val="0"/>
                <w:sz w:val="14"/>
              </w:rPr>
              <w:t>Duplicate handling</w:t>
            </w:r>
          </w:p>
        </w:tc>
        <w:tc>
          <w:tcPr>
            <w:tcW w:type="dxa" w:w="3960"/>
            <w:vAlign w:val="center"/>
            <w:shd w:fill="F1F6F8"/>
          </w:tcPr>
          <w:p>
            <w:pPr>
              <w:spacing w:after="20"/>
            </w:pPr>
            <w:r/>
            <w:r>
              <w:rPr>
                <w:rFonts w:ascii="Aptos" w:hAnsi="Aptos"/>
                <w:b w:val="0"/>
                <w:sz w:val="14"/>
              </w:rPr>
              <w:t>Eight repeat submissions are assumed safely detected; zero new documents assumed.</w:t>
            </w:r>
          </w:p>
        </w:tc>
        <w:tc>
          <w:tcPr>
            <w:tcW w:type="dxa" w:w="4392"/>
            <w:vAlign w:val="center"/>
            <w:shd w:fill="F1F6F8"/>
          </w:tcPr>
          <w:p>
            <w:pPr>
              <w:spacing w:after="20"/>
            </w:pPr>
            <w:r/>
            <w:r>
              <w:rPr>
                <w:rFonts w:ascii="Aptos" w:hAnsi="Aptos"/>
                <w:b w:val="0"/>
                <w:sz w:val="14"/>
              </w:rPr>
              <w:t>Verify receiver-side business key and reconcile target records after lost-acknowledgement and replay cases.</w:t>
            </w:r>
          </w:p>
        </w:tc>
      </w:tr>
      <w:tr>
        <w:tc>
          <w:tcPr>
            <w:tcW w:type="dxa" w:w="1872"/>
            <w:vAlign w:val="center"/>
            <w:shd w:fill="FFFFFF"/>
          </w:tcPr>
          <w:p>
            <w:pPr>
              <w:spacing w:after="20"/>
            </w:pPr>
            <w:r/>
            <w:r>
              <w:rPr>
                <w:rFonts w:ascii="Aptos" w:hAnsi="Aptos"/>
                <w:b w:val="0"/>
                <w:sz w:val="14"/>
              </w:rPr>
              <w:t>Status visibility</w:t>
            </w:r>
          </w:p>
        </w:tc>
        <w:tc>
          <w:tcPr>
            <w:tcW w:type="dxa" w:w="3960"/>
            <w:vAlign w:val="center"/>
            <w:shd w:fill="FFFFFF"/>
          </w:tcPr>
          <w:p>
            <w:pPr>
              <w:spacing w:after="20"/>
            </w:pPr>
            <w:r/>
            <w:r>
              <w:rPr>
                <w:rFonts w:ascii="Aptos" w:hAnsi="Aptos"/>
                <w:b w:val="0"/>
                <w:sz w:val="14"/>
              </w:rPr>
              <w:t>No quantitative status-delay result is modeled because the status source and event contract remain unresolved.</w:t>
            </w:r>
          </w:p>
        </w:tc>
        <w:tc>
          <w:tcPr>
            <w:tcW w:type="dxa" w:w="4392"/>
            <w:vAlign w:val="center"/>
            <w:shd w:fill="FFFFFF"/>
          </w:tcPr>
          <w:p>
            <w:pPr>
              <w:spacing w:after="20"/>
            </w:pPr>
            <w:r/>
            <w:r>
              <w:rPr>
                <w:rFonts w:ascii="Aptos" w:hAnsi="Aptos"/>
                <w:b w:val="0"/>
                <w:sz w:val="14"/>
              </w:rPr>
              <w:t>Define source event, allowed transitions, timestamp, target acknowledgement, ordering, and missing-event reconciliation.</w:t>
            </w:r>
          </w:p>
        </w:tc>
      </w:tr>
      <w:tr>
        <w:tc>
          <w:tcPr>
            <w:tcW w:type="dxa" w:w="1872"/>
            <w:vAlign w:val="center"/>
            <w:shd w:fill="F1F6F8"/>
          </w:tcPr>
          <w:p>
            <w:pPr>
              <w:spacing w:after="20"/>
            </w:pPr>
            <w:r/>
            <w:r>
              <w:rPr>
                <w:rFonts w:ascii="Aptos" w:hAnsi="Aptos"/>
                <w:b w:val="0"/>
                <w:sz w:val="14"/>
              </w:rPr>
              <w:t>Issue resolution</w:t>
            </w:r>
          </w:p>
        </w:tc>
        <w:tc>
          <w:tcPr>
            <w:tcW w:type="dxa" w:w="3960"/>
            <w:vAlign w:val="center"/>
            <w:shd w:fill="F1F6F8"/>
          </w:tcPr>
          <w:p>
            <w:pPr>
              <w:spacing w:after="20"/>
            </w:pPr>
            <w:r/>
            <w:r>
              <w:rPr>
                <w:rFonts w:ascii="Aptos" w:hAnsi="Aptos"/>
                <w:b w:val="0"/>
                <w:sz w:val="14"/>
              </w:rPr>
              <w:t>No actual incident data is available.</w:t>
            </w:r>
          </w:p>
        </w:tc>
        <w:tc>
          <w:tcPr>
            <w:tcW w:type="dxa" w:w="4392"/>
            <w:vAlign w:val="center"/>
            <w:shd w:fill="F1F6F8"/>
          </w:tcPr>
          <w:p>
            <w:pPr>
              <w:spacing w:after="20"/>
            </w:pPr>
            <w:r/>
            <w:r>
              <w:rPr>
                <w:rFonts w:ascii="Aptos" w:hAnsi="Aptos"/>
                <w:b w:val="0"/>
                <w:sz w:val="14"/>
              </w:rPr>
              <w:t>In a real pilot, measure time to acknowledge and time to resolve by severity and support hours; do not synthesize an observed average.</w:t>
            </w:r>
          </w:p>
        </w:tc>
      </w:tr>
    </w:tbl>
    <w:p>
      <w:pPr>
        <w:spacing w:after="20"/>
      </w:pPr>
    </w:p>
    <w:p>
      <w:pPr>
        <w:pStyle w:val="Heading1"/>
      </w:pPr>
      <w:r>
        <w:t>5. Hypothetical stakeholder feedback analysis</w:t>
      </w:r>
    </w:p>
    <w:p>
      <w:r>
        <w:t>No stakeholder interviews or surveys were conducted. The matrix below lists plausible themes to test in a future permissioned review. It deliberately contains no invented quotations, satisfaction ratings, or claims that users raised these concerns.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vAlign w:val="center"/>
            <w:shd w:fill="15324B"/>
          </w:tcPr>
          <w:p>
            <w:pPr>
              <w:spacing w:after="20"/>
            </w:pPr>
            <w:r/>
            <w:r>
              <w:rPr>
                <w:rFonts w:ascii="Aptos" w:hAnsi="Aptos"/>
                <w:b/>
                <w:color w:val="FFFFFF"/>
                <w:sz w:val="15"/>
              </w:rPr>
              <w:t>HYPOTHETICAL THEME TO VALIDATE</w:t>
            </w:r>
          </w:p>
        </w:tc>
        <w:tc>
          <w:tcPr>
            <w:tcW w:type="dxa" w:w="3672"/>
            <w:vAlign w:val="center"/>
            <w:shd w:fill="15324B"/>
          </w:tcPr>
          <w:p>
            <w:pPr>
              <w:spacing w:after="20"/>
            </w:pPr>
            <w:r/>
            <w:r>
              <w:rPr>
                <w:rFonts w:ascii="Aptos" w:hAnsi="Aptos"/>
                <w:b/>
                <w:color w:val="FFFFFF"/>
                <w:sz w:val="15"/>
              </w:rPr>
              <w:t>WHY IT MATTERS</w:t>
            </w:r>
          </w:p>
        </w:tc>
        <w:tc>
          <w:tcPr>
            <w:tcW w:type="dxa" w:w="3816"/>
            <w:vAlign w:val="center"/>
            <w:shd w:fill="15324B"/>
          </w:tcPr>
          <w:p>
            <w:pPr>
              <w:spacing w:after="20"/>
            </w:pPr>
            <w:r/>
            <w:r>
              <w:rPr>
                <w:rFonts w:ascii="Aptos" w:hAnsi="Aptos"/>
                <w:b/>
                <w:color w:val="FFFFFF"/>
                <w:sz w:val="15"/>
              </w:rPr>
              <w:t>FOLLOW-UP QUESTION / ACTION</w:t>
            </w:r>
          </w:p>
        </w:tc>
      </w:tr>
      <w:tr>
        <w:tc>
          <w:tcPr>
            <w:tcW w:type="dxa" w:w="2736"/>
            <w:vAlign w:val="center"/>
            <w:shd w:fill="F1F6F8"/>
          </w:tcPr>
          <w:p>
            <w:pPr>
              <w:spacing w:after="20"/>
            </w:pPr>
            <w:r/>
            <w:r>
              <w:rPr>
                <w:rFonts w:ascii="Aptos" w:hAnsi="Aptos"/>
                <w:b w:val="0"/>
                <w:sz w:val="14"/>
              </w:rPr>
              <w:t>“Pending” is unclear to channel users</w:t>
            </w:r>
          </w:p>
        </w:tc>
        <w:tc>
          <w:tcPr>
            <w:tcW w:type="dxa" w:w="3672"/>
            <w:vAlign w:val="center"/>
            <w:shd w:fill="F1F6F8"/>
          </w:tcPr>
          <w:p>
            <w:pPr>
              <w:spacing w:after="20"/>
            </w:pPr>
            <w:r/>
            <w:r>
              <w:rPr>
                <w:rFonts w:ascii="Aptos" w:hAnsi="Aptos"/>
                <w:b w:val="0"/>
                <w:sz w:val="14"/>
              </w:rPr>
              <w:t>A technical receipt may be mistaken for confirmed order creation.</w:t>
            </w:r>
          </w:p>
        </w:tc>
        <w:tc>
          <w:tcPr>
            <w:tcW w:type="dxa" w:w="3816"/>
            <w:vAlign w:val="center"/>
            <w:shd w:fill="F1F6F8"/>
          </w:tcPr>
          <w:p>
            <w:pPr>
              <w:spacing w:after="20"/>
            </w:pPr>
            <w:r/>
            <w:r>
              <w:rPr>
                <w:rFonts w:ascii="Aptos" w:hAnsi="Aptos"/>
                <w:b w:val="0"/>
                <w:sz w:val="14"/>
              </w:rPr>
              <w:t>Test status labels with actual users; distinguish received, accepted, rejected, and pending.</w:t>
            </w:r>
          </w:p>
        </w:tc>
      </w:tr>
      <w:tr>
        <w:tc>
          <w:tcPr>
            <w:tcW w:type="dxa" w:w="2736"/>
            <w:vAlign w:val="center"/>
            <w:shd w:fill="FFFFFF"/>
          </w:tcPr>
          <w:p>
            <w:pPr>
              <w:spacing w:after="20"/>
            </w:pPr>
            <w:r/>
            <w:r>
              <w:rPr>
                <w:rFonts w:ascii="Aptos" w:hAnsi="Aptos"/>
                <w:b w:val="0"/>
                <w:sz w:val="14"/>
              </w:rPr>
              <w:t>Business rejects lack a clear correction owner</w:t>
            </w:r>
          </w:p>
        </w:tc>
        <w:tc>
          <w:tcPr>
            <w:tcW w:type="dxa" w:w="3672"/>
            <w:vAlign w:val="center"/>
            <w:shd w:fill="FFFFFF"/>
          </w:tcPr>
          <w:p>
            <w:pPr>
              <w:spacing w:after="20"/>
            </w:pPr>
            <w:r/>
            <w:r>
              <w:rPr>
                <w:rFonts w:ascii="Aptos" w:hAnsi="Aptos"/>
                <w:b w:val="0"/>
                <w:sz w:val="14"/>
              </w:rPr>
              <w:t>Orders may remain unresolved even when integration is technically healthy.</w:t>
            </w:r>
          </w:p>
        </w:tc>
        <w:tc>
          <w:tcPr>
            <w:tcW w:type="dxa" w:w="3816"/>
            <w:vAlign w:val="center"/>
            <w:shd w:fill="FFFFFF"/>
          </w:tcPr>
          <w:p>
            <w:pPr>
              <w:spacing w:after="20"/>
            </w:pPr>
            <w:r/>
            <w:r>
              <w:rPr>
                <w:rFonts w:ascii="Aptos" w:hAnsi="Aptos"/>
                <w:b w:val="0"/>
                <w:sz w:val="14"/>
              </w:rPr>
              <w:t>Map each reject category to a role, response window, and correction path.</w:t>
            </w:r>
          </w:p>
        </w:tc>
      </w:tr>
      <w:tr>
        <w:tc>
          <w:tcPr>
            <w:tcW w:type="dxa" w:w="2736"/>
            <w:vAlign w:val="center"/>
            <w:shd w:fill="F1F6F8"/>
          </w:tcPr>
          <w:p>
            <w:pPr>
              <w:spacing w:after="20"/>
            </w:pPr>
            <w:r/>
            <w:r>
              <w:rPr>
                <w:rFonts w:ascii="Aptos" w:hAnsi="Aptos"/>
                <w:b w:val="0"/>
                <w:sz w:val="14"/>
              </w:rPr>
              <w:t>Support needs a single correlation key</w:t>
            </w:r>
          </w:p>
        </w:tc>
        <w:tc>
          <w:tcPr>
            <w:tcW w:type="dxa" w:w="3672"/>
            <w:vAlign w:val="center"/>
            <w:shd w:fill="F1F6F8"/>
          </w:tcPr>
          <w:p>
            <w:pPr>
              <w:spacing w:after="20"/>
            </w:pPr>
            <w:r/>
            <w:r>
              <w:rPr>
                <w:rFonts w:ascii="Aptos" w:hAnsi="Aptos"/>
                <w:b w:val="0"/>
                <w:sz w:val="14"/>
              </w:rPr>
              <w:t>Diagnosis is slow when channel and integration references differ.</w:t>
            </w:r>
          </w:p>
        </w:tc>
        <w:tc>
          <w:tcPr>
            <w:tcW w:type="dxa" w:w="3816"/>
            <w:vAlign w:val="center"/>
            <w:shd w:fill="F1F6F8"/>
          </w:tcPr>
          <w:p>
            <w:pPr>
              <w:spacing w:after="20"/>
            </w:pPr>
            <w:r/>
            <w:r>
              <w:rPr>
                <w:rFonts w:ascii="Aptos" w:hAnsi="Aptos"/>
                <w:b w:val="0"/>
                <w:sz w:val="14"/>
              </w:rPr>
              <w:t>Include channel order reference and correlation ID in controlled support views.</w:t>
            </w:r>
          </w:p>
        </w:tc>
      </w:tr>
      <w:tr>
        <w:tc>
          <w:tcPr>
            <w:tcW w:type="dxa" w:w="2736"/>
            <w:vAlign w:val="center"/>
            <w:shd w:fill="FFFFFF"/>
          </w:tcPr>
          <w:p>
            <w:pPr>
              <w:spacing w:after="20"/>
            </w:pPr>
            <w:r/>
            <w:r>
              <w:rPr>
                <w:rFonts w:ascii="Aptos" w:hAnsi="Aptos"/>
                <w:b w:val="0"/>
                <w:sz w:val="14"/>
              </w:rPr>
              <w:t>Operators are cautious about replay</w:t>
            </w:r>
          </w:p>
        </w:tc>
        <w:tc>
          <w:tcPr>
            <w:tcW w:type="dxa" w:w="3672"/>
            <w:vAlign w:val="center"/>
            <w:shd w:fill="FFFFFF"/>
          </w:tcPr>
          <w:p>
            <w:pPr>
              <w:spacing w:after="20"/>
            </w:pPr>
            <w:r/>
            <w:r>
              <w:rPr>
                <w:rFonts w:ascii="Aptos" w:hAnsi="Aptos"/>
                <w:b w:val="0"/>
                <w:sz w:val="14"/>
              </w:rPr>
              <w:t>A replay after timeout could create a duplicate sales document.</w:t>
            </w:r>
          </w:p>
        </w:tc>
        <w:tc>
          <w:tcPr>
            <w:tcW w:type="dxa" w:w="3816"/>
            <w:vAlign w:val="center"/>
            <w:shd w:fill="FFFFFF"/>
          </w:tcPr>
          <w:p>
            <w:pPr>
              <w:spacing w:after="20"/>
            </w:pPr>
            <w:r/>
            <w:r>
              <w:rPr>
                <w:rFonts w:ascii="Aptos" w:hAnsi="Aptos"/>
                <w:b w:val="0"/>
                <w:sz w:val="14"/>
              </w:rPr>
              <w:t>Provide a runbook that requires lookup/reconciliation before replay and records operator actions.</w:t>
            </w:r>
          </w:p>
        </w:tc>
      </w:tr>
      <w:tr>
        <w:tc>
          <w:tcPr>
            <w:tcW w:type="dxa" w:w="2736"/>
            <w:vAlign w:val="center"/>
            <w:shd w:fill="F1F6F8"/>
          </w:tcPr>
          <w:p>
            <w:pPr>
              <w:spacing w:after="20"/>
            </w:pPr>
            <w:r/>
            <w:r>
              <w:rPr>
                <w:rFonts w:ascii="Aptos" w:hAnsi="Aptos"/>
                <w:b w:val="0"/>
                <w:sz w:val="14"/>
              </w:rPr>
              <w:t>Business wants earlier visibility of data issues</w:t>
            </w:r>
          </w:p>
        </w:tc>
        <w:tc>
          <w:tcPr>
            <w:tcW w:type="dxa" w:w="3672"/>
            <w:vAlign w:val="center"/>
            <w:shd w:fill="F1F6F8"/>
          </w:tcPr>
          <w:p>
            <w:pPr>
              <w:spacing w:after="20"/>
            </w:pPr>
            <w:r/>
            <w:r>
              <w:rPr>
                <w:rFonts w:ascii="Aptos" w:hAnsi="Aptos"/>
                <w:b w:val="0"/>
                <w:sz w:val="14"/>
              </w:rPr>
              <w:t>Master-data errors may be discovered only after checkout.</w:t>
            </w:r>
          </w:p>
        </w:tc>
        <w:tc>
          <w:tcPr>
            <w:tcW w:type="dxa" w:w="3816"/>
            <w:vAlign w:val="center"/>
            <w:shd w:fill="F1F6F8"/>
          </w:tcPr>
          <w:p>
            <w:pPr>
              <w:spacing w:after="20"/>
            </w:pPr>
            <w:r/>
            <w:r>
              <w:rPr>
                <w:rFonts w:ascii="Aptos" w:hAnsi="Aptos"/>
                <w:b w:val="0"/>
                <w:sz w:val="14"/>
              </w:rPr>
              <w:t>Consider pre-validation or clearer channel-side reference-data feedback after ownership and feasibility review.</w:t>
            </w:r>
          </w:p>
        </w:tc>
      </w:tr>
    </w:tbl>
    <w:p>
      <w:pPr>
        <w:spacing w:after="20"/>
      </w:pPr>
    </w:p>
    <w:p>
      <w:r>
        <w:t>Recommended real feedback method: invite a small, representative set of order-entry, customer-service, finance, and support users after an authorized pilot; use a consistent short questionnaire and task walkthrough; record role and sample size; obtain consent; summarize themes without identifying individuals; and distinguish reported preference from measured behavior.</w:t>
      </w:r>
    </w:p>
    <w:p>
      <w:pPr>
        <w:pStyle w:val="Heading1"/>
      </w:pPr>
      <w:r>
        <w:t>6. Strengths, gaps, and lessons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shd w:fill="15324B"/>
          </w:tcPr>
          <w:p>
            <w:pPr>
              <w:spacing w:after="20"/>
            </w:pPr>
            <w:r/>
            <w:r>
              <w:rPr>
                <w:rFonts w:ascii="Aptos" w:hAnsi="Aptos"/>
                <w:b/>
                <w:color w:val="FFFFFF"/>
                <w:sz w:val="15"/>
              </w:rPr>
              <w:t>AREA</w:t>
            </w:r>
          </w:p>
        </w:tc>
        <w:tc>
          <w:tcPr>
            <w:tcW w:type="dxa" w:w="4896"/>
            <w:vAlign w:val="center"/>
            <w:shd w:fill="15324B"/>
          </w:tcPr>
          <w:p>
            <w:pPr>
              <w:spacing w:after="20"/>
            </w:pPr>
            <w:r/>
            <w:r>
              <w:rPr>
                <w:rFonts w:ascii="Aptos" w:hAnsi="Aptos"/>
                <w:b/>
                <w:color w:val="FFFFFF"/>
                <w:sz w:val="15"/>
              </w:rPr>
              <w:t>ASSESSMENT FOR THE PROPOSED DESIGN</w:t>
            </w:r>
          </w:p>
        </w:tc>
        <w:tc>
          <w:tcPr>
            <w:tcW w:type="dxa" w:w="3528"/>
            <w:vAlign w:val="center"/>
            <w:shd w:fill="15324B"/>
          </w:tcPr>
          <w:p>
            <w:pPr>
              <w:spacing w:after="20"/>
            </w:pPr>
            <w:r/>
            <w:r>
              <w:rPr>
                <w:rFonts w:ascii="Aptos" w:hAnsi="Aptos"/>
                <w:b/>
                <w:color w:val="FFFFFF"/>
                <w:sz w:val="15"/>
              </w:rPr>
              <w:t>LESSON</w:t>
            </w:r>
          </w:p>
        </w:tc>
      </w:tr>
      <w:tr>
        <w:tc>
          <w:tcPr>
            <w:tcW w:type="dxa" w:w="1800"/>
            <w:vAlign w:val="center"/>
            <w:shd w:fill="F1F6F8"/>
          </w:tcPr>
          <w:p>
            <w:pPr>
              <w:spacing w:after="20"/>
            </w:pPr>
            <w:r/>
            <w:r>
              <w:rPr>
                <w:rFonts w:ascii="Aptos" w:hAnsi="Aptos"/>
                <w:b w:val="0"/>
                <w:sz w:val="14"/>
              </w:rPr>
              <w:t>Traceability</w:t>
            </w:r>
          </w:p>
        </w:tc>
        <w:tc>
          <w:tcPr>
            <w:tcW w:type="dxa" w:w="4896"/>
            <w:vAlign w:val="center"/>
            <w:shd w:fill="F1F6F8"/>
          </w:tcPr>
          <w:p>
            <w:pPr>
              <w:spacing w:after="20"/>
            </w:pPr>
            <w:r/>
            <w:r>
              <w:rPr>
                <w:rFonts w:ascii="Aptos" w:hAnsi="Aptos"/>
                <w:b w:val="0"/>
                <w:sz w:val="14"/>
              </w:rPr>
              <w:t>Strength: Week 3 cases map core business and control requirements to explicit acceptance criteria.</w:t>
            </w:r>
          </w:p>
        </w:tc>
        <w:tc>
          <w:tcPr>
            <w:tcW w:type="dxa" w:w="3528"/>
            <w:vAlign w:val="center"/>
            <w:shd w:fill="F1F6F8"/>
          </w:tcPr>
          <w:p>
            <w:pPr>
              <w:spacing w:after="20"/>
            </w:pPr>
            <w:r/>
            <w:r>
              <w:rPr>
                <w:rFonts w:ascii="Aptos" w:hAnsi="Aptos"/>
                <w:b w:val="0"/>
                <w:sz w:val="14"/>
              </w:rPr>
              <w:t>Keep requirement, interface version, test evidence, and improvement action linked.</w:t>
            </w:r>
          </w:p>
        </w:tc>
      </w:tr>
      <w:tr>
        <w:tc>
          <w:tcPr>
            <w:tcW w:type="dxa" w:w="1800"/>
            <w:vAlign w:val="center"/>
            <w:shd w:fill="FFFFFF"/>
          </w:tcPr>
          <w:p>
            <w:pPr>
              <w:spacing w:after="20"/>
            </w:pPr>
            <w:r/>
            <w:r>
              <w:rPr>
                <w:rFonts w:ascii="Aptos" w:hAnsi="Aptos"/>
                <w:b w:val="0"/>
                <w:sz w:val="14"/>
              </w:rPr>
              <w:t>Failure handling</w:t>
            </w:r>
          </w:p>
        </w:tc>
        <w:tc>
          <w:tcPr>
            <w:tcW w:type="dxa" w:w="4896"/>
            <w:vAlign w:val="center"/>
            <w:shd w:fill="FFFFFF"/>
          </w:tcPr>
          <w:p>
            <w:pPr>
              <w:spacing w:after="20"/>
            </w:pPr>
            <w:r/>
            <w:r>
              <w:rPr>
                <w:rFonts w:ascii="Aptos" w:hAnsi="Aptos"/>
                <w:b w:val="0"/>
                <w:sz w:val="14"/>
              </w:rPr>
              <w:t>Strength: design includes bounded retry, exception ownership, and reconciliation. Gap: concrete retry bounds and operational tools remain undecided.</w:t>
            </w:r>
          </w:p>
        </w:tc>
        <w:tc>
          <w:tcPr>
            <w:tcW w:type="dxa" w:w="3528"/>
            <w:vAlign w:val="center"/>
            <w:shd w:fill="FFFFFF"/>
          </w:tcPr>
          <w:p>
            <w:pPr>
              <w:spacing w:after="20"/>
            </w:pPr>
            <w:r/>
            <w:r>
              <w:rPr>
                <w:rFonts w:ascii="Aptos" w:hAnsi="Aptos"/>
                <w:b w:val="0"/>
                <w:sz w:val="14"/>
              </w:rPr>
              <w:t>Approve policy using endpoint behavior, volume, business criticality, and support capability.</w:t>
            </w:r>
          </w:p>
        </w:tc>
      </w:tr>
      <w:tr>
        <w:tc>
          <w:tcPr>
            <w:tcW w:type="dxa" w:w="1800"/>
            <w:vAlign w:val="center"/>
            <w:shd w:fill="F1F6F8"/>
          </w:tcPr>
          <w:p>
            <w:pPr>
              <w:spacing w:after="20"/>
            </w:pPr>
            <w:r/>
            <w:r>
              <w:rPr>
                <w:rFonts w:ascii="Aptos" w:hAnsi="Aptos"/>
                <w:b w:val="0"/>
                <w:sz w:val="14"/>
              </w:rPr>
              <w:t>Duplicate safety</w:t>
            </w:r>
          </w:p>
        </w:tc>
        <w:tc>
          <w:tcPr>
            <w:tcW w:type="dxa" w:w="4896"/>
            <w:vAlign w:val="center"/>
            <w:shd w:fill="F1F6F8"/>
          </w:tcPr>
          <w:p>
            <w:pPr>
              <w:spacing w:after="20"/>
            </w:pPr>
            <w:r/>
            <w:r>
              <w:rPr>
                <w:rFonts w:ascii="Aptos" w:hAnsi="Aptos"/>
                <w:b w:val="0"/>
                <w:sz w:val="14"/>
              </w:rPr>
              <w:t>Strength: stable business reference and idempotency are explicit. Gap: receiver transaction behavior is unverified.</w:t>
            </w:r>
          </w:p>
        </w:tc>
        <w:tc>
          <w:tcPr>
            <w:tcW w:type="dxa" w:w="3528"/>
            <w:vAlign w:val="center"/>
            <w:shd w:fill="F1F6F8"/>
          </w:tcPr>
          <w:p>
            <w:pPr>
              <w:spacing w:after="20"/>
            </w:pPr>
            <w:r/>
            <w:r>
              <w:rPr>
                <w:rFonts w:ascii="Aptos" w:hAnsi="Aptos"/>
                <w:b w:val="0"/>
                <w:sz w:val="14"/>
              </w:rPr>
              <w:t>Treat safe replay as a business control and prove target-side outcome.</w:t>
            </w:r>
          </w:p>
        </w:tc>
      </w:tr>
      <w:tr>
        <w:tc>
          <w:tcPr>
            <w:tcW w:type="dxa" w:w="1800"/>
            <w:vAlign w:val="center"/>
            <w:shd w:fill="FFFFFF"/>
          </w:tcPr>
          <w:p>
            <w:pPr>
              <w:spacing w:after="20"/>
            </w:pPr>
            <w:r/>
            <w:r>
              <w:rPr>
                <w:rFonts w:ascii="Aptos" w:hAnsi="Aptos"/>
                <w:b w:val="0"/>
                <w:sz w:val="14"/>
              </w:rPr>
              <w:t>Measurement</w:t>
            </w:r>
          </w:p>
        </w:tc>
        <w:tc>
          <w:tcPr>
            <w:tcW w:type="dxa" w:w="4896"/>
            <w:vAlign w:val="center"/>
            <w:shd w:fill="FFFFFF"/>
          </w:tcPr>
          <w:p>
            <w:pPr>
              <w:spacing w:after="20"/>
            </w:pPr>
            <w:r/>
            <w:r>
              <w:rPr>
                <w:rFonts w:ascii="Aptos" w:hAnsi="Aptos"/>
                <w:b w:val="0"/>
                <w:sz w:val="14"/>
              </w:rPr>
              <w:t>Gap: no actual baseline, pilot telemetry, or approved target exists.</w:t>
            </w:r>
          </w:p>
        </w:tc>
        <w:tc>
          <w:tcPr>
            <w:tcW w:type="dxa" w:w="3528"/>
            <w:vAlign w:val="center"/>
            <w:shd w:fill="FFFFFF"/>
          </w:tcPr>
          <w:p>
            <w:pPr>
              <w:spacing w:after="20"/>
            </w:pPr>
            <w:r/>
            <w:r>
              <w:rPr>
                <w:rFonts w:ascii="Aptos" w:hAnsi="Aptos"/>
                <w:b w:val="0"/>
                <w:sz w:val="14"/>
              </w:rPr>
              <w:t>Define metric owner, denominator, clock, exclusions, collection source, and review window before pilot.</w:t>
            </w:r>
          </w:p>
        </w:tc>
      </w:tr>
      <w:tr>
        <w:tc>
          <w:tcPr>
            <w:tcW w:type="dxa" w:w="1800"/>
            <w:vAlign w:val="center"/>
            <w:shd w:fill="F1F6F8"/>
          </w:tcPr>
          <w:p>
            <w:pPr>
              <w:spacing w:after="20"/>
            </w:pPr>
            <w:r/>
            <w:r>
              <w:rPr>
                <w:rFonts w:ascii="Aptos" w:hAnsi="Aptos"/>
                <w:b w:val="0"/>
                <w:sz w:val="14"/>
              </w:rPr>
              <w:t>Stakeholder evidence</w:t>
            </w:r>
          </w:p>
        </w:tc>
        <w:tc>
          <w:tcPr>
            <w:tcW w:type="dxa" w:w="4896"/>
            <w:vAlign w:val="center"/>
            <w:shd w:fill="F1F6F8"/>
          </w:tcPr>
          <w:p>
            <w:pPr>
              <w:spacing w:after="20"/>
            </w:pPr>
            <w:r/>
            <w:r>
              <w:rPr>
                <w:rFonts w:ascii="Aptos" w:hAnsi="Aptos"/>
                <w:b w:val="0"/>
                <w:sz w:val="14"/>
              </w:rPr>
              <w:t>Gap: no real users were interviewed.</w:t>
            </w:r>
          </w:p>
        </w:tc>
        <w:tc>
          <w:tcPr>
            <w:tcW w:type="dxa" w:w="3528"/>
            <w:vAlign w:val="center"/>
            <w:shd w:fill="F1F6F8"/>
          </w:tcPr>
          <w:p>
            <w:pPr>
              <w:spacing w:after="20"/>
            </w:pPr>
            <w:r/>
            <w:r>
              <w:rPr>
                <w:rFonts w:ascii="Aptos" w:hAnsi="Aptos"/>
                <w:b w:val="0"/>
                <w:sz w:val="14"/>
              </w:rPr>
              <w:t>Gather permissioned feedback and pair it with behavioral measures; do not substitute imagined quotes.</w:t>
            </w:r>
          </w:p>
        </w:tc>
      </w:tr>
      <w:tr>
        <w:tc>
          <w:tcPr>
            <w:tcW w:type="dxa" w:w="1800"/>
            <w:vAlign w:val="center"/>
            <w:shd w:fill="FFFFFF"/>
          </w:tcPr>
          <w:p>
            <w:pPr>
              <w:spacing w:after="20"/>
            </w:pPr>
            <w:r/>
            <w:r>
              <w:rPr>
                <w:rFonts w:ascii="Aptos" w:hAnsi="Aptos"/>
                <w:b w:val="0"/>
                <w:sz w:val="14"/>
              </w:rPr>
              <w:t>Security and privacy</w:t>
            </w:r>
          </w:p>
        </w:tc>
        <w:tc>
          <w:tcPr>
            <w:tcW w:type="dxa" w:w="4896"/>
            <w:vAlign w:val="center"/>
            <w:shd w:fill="FFFFFF"/>
          </w:tcPr>
          <w:p>
            <w:pPr>
              <w:spacing w:after="20"/>
            </w:pPr>
            <w:r/>
            <w:r>
              <w:rPr>
                <w:rFonts w:ascii="Aptos" w:hAnsi="Aptos"/>
                <w:b w:val="0"/>
                <w:sz w:val="14"/>
              </w:rPr>
              <w:t>Strength: proposed least privilege, protected transport, and log minimization. Gap: no tenant configuration or security assessment exists.</w:t>
            </w:r>
          </w:p>
        </w:tc>
        <w:tc>
          <w:tcPr>
            <w:tcW w:type="dxa" w:w="3528"/>
            <w:vAlign w:val="center"/>
            <w:shd w:fill="FFFFFF"/>
          </w:tcPr>
          <w:p>
            <w:pPr>
              <w:spacing w:after="20"/>
            </w:pPr>
            <w:r/>
            <w:r>
              <w:rPr>
                <w:rFonts w:ascii="Aptos" w:hAnsi="Aptos"/>
                <w:b w:val="0"/>
                <w:sz w:val="14"/>
              </w:rPr>
              <w:t>Obtain environment-specific review and verify controls with authorized evidence before release.</w:t>
            </w:r>
          </w:p>
        </w:tc>
      </w:tr>
    </w:tbl>
    <w:p>
      <w:pPr>
        <w:spacing w:after="20"/>
      </w:pPr>
    </w:p>
    <w:p>
      <w:pPr>
        <w:pStyle w:val="Heading1"/>
      </w:pPr>
      <w:r>
        <w:t>7. Continuous improvement roadmap</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656"/>
            <w:vAlign w:val="center"/>
            <w:shd w:fill="15324B"/>
          </w:tcPr>
          <w:p>
            <w:pPr>
              <w:spacing w:after="20"/>
            </w:pPr>
            <w:r/>
            <w:r>
              <w:rPr>
                <w:rFonts w:ascii="Aptos" w:hAnsi="Aptos"/>
                <w:b/>
                <w:color w:val="FFFFFF"/>
                <w:sz w:val="15"/>
              </w:rPr>
              <w:t>PRIORITY / HORIZON</w:t>
            </w:r>
          </w:p>
        </w:tc>
        <w:tc>
          <w:tcPr>
            <w:tcW w:type="dxa" w:w="3240"/>
            <w:vAlign w:val="center"/>
            <w:shd w:fill="15324B"/>
          </w:tcPr>
          <w:p>
            <w:pPr>
              <w:spacing w:after="20"/>
            </w:pPr>
            <w:r/>
            <w:r>
              <w:rPr>
                <w:rFonts w:ascii="Aptos" w:hAnsi="Aptos"/>
                <w:b/>
                <w:color w:val="FFFFFF"/>
                <w:sz w:val="15"/>
              </w:rPr>
              <w:t>ACTION</w:t>
            </w:r>
          </w:p>
        </w:tc>
        <w:tc>
          <w:tcPr>
            <w:tcW w:type="dxa" w:w="1800"/>
            <w:vAlign w:val="center"/>
            <w:shd w:fill="15324B"/>
          </w:tcPr>
          <w:p>
            <w:pPr>
              <w:spacing w:after="20"/>
            </w:pPr>
            <w:r/>
            <w:r>
              <w:rPr>
                <w:rFonts w:ascii="Aptos" w:hAnsi="Aptos"/>
                <w:b/>
                <w:color w:val="FFFFFF"/>
                <w:sz w:val="15"/>
              </w:rPr>
              <w:t>OWNER ROLE</w:t>
            </w:r>
          </w:p>
        </w:tc>
        <w:tc>
          <w:tcPr>
            <w:tcW w:type="dxa" w:w="2232"/>
            <w:vAlign w:val="center"/>
            <w:shd w:fill="15324B"/>
          </w:tcPr>
          <w:p>
            <w:pPr>
              <w:spacing w:after="20"/>
            </w:pPr>
            <w:r/>
            <w:r>
              <w:rPr>
                <w:rFonts w:ascii="Aptos" w:hAnsi="Aptos"/>
                <w:b/>
                <w:color w:val="FFFFFF"/>
                <w:sz w:val="15"/>
              </w:rPr>
              <w:t>SUCCESS MEASURE</w:t>
            </w:r>
          </w:p>
        </w:tc>
        <w:tc>
          <w:tcPr>
            <w:tcW w:type="dxa" w:w="1656"/>
            <w:vAlign w:val="center"/>
            <w:shd w:fill="15324B"/>
          </w:tcPr>
          <w:p>
            <w:pPr>
              <w:spacing w:after="20"/>
            </w:pPr>
            <w:r/>
            <w:r>
              <w:rPr>
                <w:rFonts w:ascii="Aptos" w:hAnsi="Aptos"/>
                <w:b/>
                <w:color w:val="FFFFFF"/>
                <w:sz w:val="15"/>
              </w:rPr>
              <w:t>DEPENDENCY</w:t>
            </w:r>
          </w:p>
        </w:tc>
      </w:tr>
      <w:tr>
        <w:tc>
          <w:tcPr>
            <w:tcW w:type="dxa" w:w="1656"/>
            <w:vAlign w:val="center"/>
            <w:shd w:fill="F1F6F8"/>
          </w:tcPr>
          <w:p>
            <w:pPr>
              <w:spacing w:after="20"/>
            </w:pPr>
            <w:r/>
            <w:r>
              <w:rPr>
                <w:rFonts w:ascii="Aptos" w:hAnsi="Aptos"/>
                <w:b w:val="0"/>
                <w:sz w:val="14"/>
              </w:rPr>
              <w:t>P1 — Before pilot</w:t>
            </w:r>
          </w:p>
        </w:tc>
        <w:tc>
          <w:tcPr>
            <w:tcW w:type="dxa" w:w="3240"/>
            <w:vAlign w:val="center"/>
            <w:shd w:fill="F1F6F8"/>
          </w:tcPr>
          <w:p>
            <w:pPr>
              <w:spacing w:after="20"/>
            </w:pPr>
            <w:r/>
            <w:r>
              <w:rPr>
                <w:rFonts w:ascii="Aptos" w:hAnsi="Aptos"/>
                <w:b w:val="0"/>
                <w:sz w:val="14"/>
              </w:rPr>
              <w:t>Create an approved baseline and metric dictionary for eligible orders, acceptance, latency, rejects, retries, duplicates, and exception age.</w:t>
            </w:r>
          </w:p>
        </w:tc>
        <w:tc>
          <w:tcPr>
            <w:tcW w:type="dxa" w:w="1800"/>
            <w:vAlign w:val="center"/>
            <w:shd w:fill="F1F6F8"/>
          </w:tcPr>
          <w:p>
            <w:pPr>
              <w:spacing w:after="20"/>
            </w:pPr>
            <w:r/>
            <w:r>
              <w:rPr>
                <w:rFonts w:ascii="Aptos" w:hAnsi="Aptos"/>
                <w:b w:val="0"/>
                <w:sz w:val="14"/>
              </w:rPr>
              <w:t>Business analyst + process owner</w:t>
            </w:r>
          </w:p>
        </w:tc>
        <w:tc>
          <w:tcPr>
            <w:tcW w:type="dxa" w:w="2232"/>
            <w:vAlign w:val="center"/>
            <w:shd w:fill="F1F6F8"/>
          </w:tcPr>
          <w:p>
            <w:pPr>
              <w:spacing w:after="20"/>
            </w:pPr>
            <w:r/>
            <w:r>
              <w:rPr>
                <w:rFonts w:ascii="Aptos" w:hAnsi="Aptos"/>
                <w:b w:val="0"/>
                <w:sz w:val="14"/>
              </w:rPr>
              <w:t>Each metric has formula, source, owner, period, and approved target.</w:t>
            </w:r>
          </w:p>
        </w:tc>
        <w:tc>
          <w:tcPr>
            <w:tcW w:type="dxa" w:w="1656"/>
            <w:vAlign w:val="center"/>
            <w:shd w:fill="F1F6F8"/>
          </w:tcPr>
          <w:p>
            <w:pPr>
              <w:spacing w:after="20"/>
            </w:pPr>
            <w:r/>
            <w:r>
              <w:rPr>
                <w:rFonts w:ascii="Aptos" w:hAnsi="Aptos"/>
                <w:b w:val="0"/>
                <w:sz w:val="14"/>
              </w:rPr>
              <w:t>Access to actual process baseline and source timestamps.</w:t>
            </w:r>
          </w:p>
        </w:tc>
      </w:tr>
      <w:tr>
        <w:tc>
          <w:tcPr>
            <w:tcW w:type="dxa" w:w="1656"/>
            <w:vAlign w:val="center"/>
            <w:shd w:fill="FFFFFF"/>
          </w:tcPr>
          <w:p>
            <w:pPr>
              <w:spacing w:after="20"/>
            </w:pPr>
            <w:r/>
            <w:r>
              <w:rPr>
                <w:rFonts w:ascii="Aptos" w:hAnsi="Aptos"/>
                <w:b w:val="0"/>
                <w:sz w:val="14"/>
              </w:rPr>
              <w:t>P1 — Before pilot</w:t>
            </w:r>
          </w:p>
        </w:tc>
        <w:tc>
          <w:tcPr>
            <w:tcW w:type="dxa" w:w="3240"/>
            <w:vAlign w:val="center"/>
            <w:shd w:fill="FFFFFF"/>
          </w:tcPr>
          <w:p>
            <w:pPr>
              <w:spacing w:after="20"/>
            </w:pPr>
            <w:r/>
            <w:r>
              <w:rPr>
                <w:rFonts w:ascii="Aptos" w:hAnsi="Aptos"/>
                <w:b w:val="0"/>
                <w:sz w:val="14"/>
              </w:rPr>
              <w:t>Validate business-key/idempotency behavior against duplicate submission and ambiguous-timeout cases.</w:t>
            </w:r>
          </w:p>
        </w:tc>
        <w:tc>
          <w:tcPr>
            <w:tcW w:type="dxa" w:w="1800"/>
            <w:vAlign w:val="center"/>
            <w:shd w:fill="FFFFFF"/>
          </w:tcPr>
          <w:p>
            <w:pPr>
              <w:spacing w:after="20"/>
            </w:pPr>
            <w:r/>
            <w:r>
              <w:rPr>
                <w:rFonts w:ascii="Aptos" w:hAnsi="Aptos"/>
                <w:b w:val="0"/>
                <w:sz w:val="14"/>
              </w:rPr>
              <w:t>SAP owner + integration architect</w:t>
            </w:r>
          </w:p>
        </w:tc>
        <w:tc>
          <w:tcPr>
            <w:tcW w:type="dxa" w:w="2232"/>
            <w:vAlign w:val="center"/>
            <w:shd w:fill="FFFFFF"/>
          </w:tcPr>
          <w:p>
            <w:pPr>
              <w:spacing w:after="20"/>
            </w:pPr>
            <w:r/>
            <w:r>
              <w:rPr>
                <w:rFonts w:ascii="Aptos" w:hAnsi="Aptos"/>
                <w:b w:val="0"/>
                <w:sz w:val="14"/>
              </w:rPr>
              <w:t>No unintended duplicate in approved high-risk cases; recovery evidence and residual risk accepted.</w:t>
            </w:r>
          </w:p>
        </w:tc>
        <w:tc>
          <w:tcPr>
            <w:tcW w:type="dxa" w:w="1656"/>
            <w:vAlign w:val="center"/>
            <w:shd w:fill="FFFFFF"/>
          </w:tcPr>
          <w:p>
            <w:pPr>
              <w:spacing w:after="20"/>
            </w:pPr>
            <w:r/>
            <w:r>
              <w:rPr>
                <w:rFonts w:ascii="Aptos" w:hAnsi="Aptos"/>
                <w:b w:val="0"/>
                <w:sz w:val="14"/>
              </w:rPr>
              <w:t>Supported API semantics and authorized non-production environment.</w:t>
            </w:r>
          </w:p>
        </w:tc>
      </w:tr>
      <w:tr>
        <w:tc>
          <w:tcPr>
            <w:tcW w:type="dxa" w:w="1656"/>
            <w:vAlign w:val="center"/>
            <w:shd w:fill="F1F6F8"/>
          </w:tcPr>
          <w:p>
            <w:pPr>
              <w:spacing w:after="20"/>
            </w:pPr>
            <w:r/>
            <w:r>
              <w:rPr>
                <w:rFonts w:ascii="Aptos" w:hAnsi="Aptos"/>
                <w:b w:val="0"/>
                <w:sz w:val="14"/>
              </w:rPr>
              <w:t>P1 — Before pilot</w:t>
            </w:r>
          </w:p>
        </w:tc>
        <w:tc>
          <w:tcPr>
            <w:tcW w:type="dxa" w:w="3240"/>
            <w:vAlign w:val="center"/>
            <w:shd w:fill="F1F6F8"/>
          </w:tcPr>
          <w:p>
            <w:pPr>
              <w:spacing w:after="20"/>
            </w:pPr>
            <w:r/>
            <w:r>
              <w:rPr>
                <w:rFonts w:ascii="Aptos" w:hAnsi="Aptos"/>
                <w:b w:val="0"/>
                <w:sz w:val="14"/>
              </w:rPr>
              <w:t>Define a governed exception and replay runbook with reason categories, owner, escalation, and reconciliation prerequisite.</w:t>
            </w:r>
          </w:p>
        </w:tc>
        <w:tc>
          <w:tcPr>
            <w:tcW w:type="dxa" w:w="1800"/>
            <w:vAlign w:val="center"/>
            <w:shd w:fill="F1F6F8"/>
          </w:tcPr>
          <w:p>
            <w:pPr>
              <w:spacing w:after="20"/>
            </w:pPr>
            <w:r/>
            <w:r>
              <w:rPr>
                <w:rFonts w:ascii="Aptos" w:hAnsi="Aptos"/>
                <w:b w:val="0"/>
                <w:sz w:val="14"/>
              </w:rPr>
              <w:t>Operations lead + business owner</w:t>
            </w:r>
          </w:p>
        </w:tc>
        <w:tc>
          <w:tcPr>
            <w:tcW w:type="dxa" w:w="2232"/>
            <w:vAlign w:val="center"/>
            <w:shd w:fill="F1F6F8"/>
          </w:tcPr>
          <w:p>
            <w:pPr>
              <w:spacing w:after="20"/>
            </w:pPr>
            <w:r/>
            <w:r>
              <w:rPr>
                <w:rFonts w:ascii="Aptos" w:hAnsi="Aptos"/>
                <w:b w:val="0"/>
                <w:sz w:val="14"/>
              </w:rPr>
              <w:t>No unowned P1 exception; replay actions are auditable and duplicate-safe.</w:t>
            </w:r>
          </w:p>
        </w:tc>
        <w:tc>
          <w:tcPr>
            <w:tcW w:type="dxa" w:w="1656"/>
            <w:vAlign w:val="center"/>
            <w:shd w:fill="F1F6F8"/>
          </w:tcPr>
          <w:p>
            <w:pPr>
              <w:spacing w:after="20"/>
            </w:pPr>
            <w:r/>
            <w:r>
              <w:rPr>
                <w:rFonts w:ascii="Aptos" w:hAnsi="Aptos"/>
                <w:b w:val="0"/>
                <w:sz w:val="14"/>
              </w:rPr>
              <w:t>Support model, monitoring permissions, test evidence.</w:t>
            </w:r>
          </w:p>
        </w:tc>
      </w:tr>
      <w:tr>
        <w:tc>
          <w:tcPr>
            <w:tcW w:type="dxa" w:w="1656"/>
            <w:vAlign w:val="center"/>
            <w:shd w:fill="FFFFFF"/>
          </w:tcPr>
          <w:p>
            <w:pPr>
              <w:spacing w:after="20"/>
            </w:pPr>
            <w:r/>
            <w:r>
              <w:rPr>
                <w:rFonts w:ascii="Aptos" w:hAnsi="Aptos"/>
                <w:b w:val="0"/>
                <w:sz w:val="14"/>
              </w:rPr>
              <w:t>P1 — Before pilot</w:t>
            </w:r>
          </w:p>
        </w:tc>
        <w:tc>
          <w:tcPr>
            <w:tcW w:type="dxa" w:w="3240"/>
            <w:vAlign w:val="center"/>
            <w:shd w:fill="FFFFFF"/>
          </w:tcPr>
          <w:p>
            <w:pPr>
              <w:spacing w:after="20"/>
            </w:pPr>
            <w:r/>
            <w:r>
              <w:rPr>
                <w:rFonts w:ascii="Aptos" w:hAnsi="Aptos"/>
                <w:b w:val="0"/>
                <w:sz w:val="14"/>
              </w:rPr>
              <w:t>Review data minimization, trace access, retention, credential lifecycle, and audit coverage.</w:t>
            </w:r>
          </w:p>
        </w:tc>
        <w:tc>
          <w:tcPr>
            <w:tcW w:type="dxa" w:w="1800"/>
            <w:vAlign w:val="center"/>
            <w:shd w:fill="FFFFFF"/>
          </w:tcPr>
          <w:p>
            <w:pPr>
              <w:spacing w:after="20"/>
            </w:pPr>
            <w:r/>
            <w:r>
              <w:rPr>
                <w:rFonts w:ascii="Aptos" w:hAnsi="Aptos"/>
                <w:b w:val="0"/>
                <w:sz w:val="14"/>
              </w:rPr>
              <w:t>Security / privacy owner</w:t>
            </w:r>
          </w:p>
        </w:tc>
        <w:tc>
          <w:tcPr>
            <w:tcW w:type="dxa" w:w="2232"/>
            <w:vAlign w:val="center"/>
            <w:shd w:fill="FFFFFF"/>
          </w:tcPr>
          <w:p>
            <w:pPr>
              <w:spacing w:after="20"/>
            </w:pPr>
            <w:r/>
            <w:r>
              <w:rPr>
                <w:rFonts w:ascii="Aptos" w:hAnsi="Aptos"/>
                <w:b w:val="0"/>
                <w:sz w:val="14"/>
              </w:rPr>
              <w:t>Controls approved and evidenced; no sensitive payload in routine diagnostics.</w:t>
            </w:r>
          </w:p>
        </w:tc>
        <w:tc>
          <w:tcPr>
            <w:tcW w:type="dxa" w:w="1656"/>
            <w:vAlign w:val="center"/>
            <w:shd w:fill="FFFFFF"/>
          </w:tcPr>
          <w:p>
            <w:pPr>
              <w:spacing w:after="20"/>
            </w:pPr>
            <w:r/>
            <w:r>
              <w:rPr>
                <w:rFonts w:ascii="Aptos" w:hAnsi="Aptos"/>
                <w:b w:val="0"/>
                <w:sz w:val="14"/>
              </w:rPr>
              <w:t>Actual runtime and organization policy.</w:t>
            </w:r>
          </w:p>
        </w:tc>
      </w:tr>
      <w:tr>
        <w:tc>
          <w:tcPr>
            <w:tcW w:type="dxa" w:w="1656"/>
            <w:vAlign w:val="center"/>
            <w:shd w:fill="F1F6F8"/>
          </w:tcPr>
          <w:p>
            <w:pPr>
              <w:spacing w:after="20"/>
            </w:pPr>
            <w:r/>
            <w:r>
              <w:rPr>
                <w:rFonts w:ascii="Aptos" w:hAnsi="Aptos"/>
                <w:b w:val="0"/>
                <w:sz w:val="14"/>
              </w:rPr>
              <w:t>P2 — First 30 days after pilot</w:t>
            </w:r>
          </w:p>
        </w:tc>
        <w:tc>
          <w:tcPr>
            <w:tcW w:type="dxa" w:w="3240"/>
            <w:vAlign w:val="center"/>
            <w:shd w:fill="F1F6F8"/>
          </w:tcPr>
          <w:p>
            <w:pPr>
              <w:spacing w:after="20"/>
            </w:pPr>
            <w:r/>
            <w:r>
              <w:rPr>
                <w:rFonts w:ascii="Aptos" w:hAnsi="Aptos"/>
                <w:b w:val="0"/>
                <w:sz w:val="14"/>
              </w:rPr>
              <w:t>Review weekly trend and top reject/retry reasons; eliminate recurring master-data and mapping causes.</w:t>
            </w:r>
          </w:p>
        </w:tc>
        <w:tc>
          <w:tcPr>
            <w:tcW w:type="dxa" w:w="1800"/>
            <w:vAlign w:val="center"/>
            <w:shd w:fill="F1F6F8"/>
          </w:tcPr>
          <w:p>
            <w:pPr>
              <w:spacing w:after="20"/>
            </w:pPr>
            <w:r/>
            <w:r>
              <w:rPr>
                <w:rFonts w:ascii="Aptos" w:hAnsi="Aptos"/>
                <w:b w:val="0"/>
                <w:sz w:val="14"/>
              </w:rPr>
              <w:t>Data owner + integration support</w:t>
            </w:r>
          </w:p>
        </w:tc>
        <w:tc>
          <w:tcPr>
            <w:tcW w:type="dxa" w:w="2232"/>
            <w:vAlign w:val="center"/>
            <w:shd w:fill="F1F6F8"/>
          </w:tcPr>
          <w:p>
            <w:pPr>
              <w:spacing w:after="20"/>
            </w:pPr>
            <w:r/>
            <w:r>
              <w:rPr>
                <w:rFonts w:ascii="Aptos" w:hAnsi="Aptos"/>
                <w:b w:val="0"/>
                <w:sz w:val="14"/>
              </w:rPr>
              <w:t>Reduction against the approved pilot baseline in repeatable top causes.</w:t>
            </w:r>
          </w:p>
        </w:tc>
        <w:tc>
          <w:tcPr>
            <w:tcW w:type="dxa" w:w="1656"/>
            <w:vAlign w:val="center"/>
            <w:shd w:fill="F1F6F8"/>
          </w:tcPr>
          <w:p>
            <w:pPr>
              <w:spacing w:after="20"/>
            </w:pPr>
            <w:r/>
            <w:r>
              <w:rPr>
                <w:rFonts w:ascii="Aptos" w:hAnsi="Aptos"/>
                <w:b w:val="0"/>
                <w:sz w:val="14"/>
              </w:rPr>
              <w:t>Reason-code quality and issue ownership.</w:t>
            </w:r>
          </w:p>
        </w:tc>
      </w:tr>
      <w:tr>
        <w:tc>
          <w:tcPr>
            <w:tcW w:type="dxa" w:w="1656"/>
            <w:vAlign w:val="center"/>
            <w:shd w:fill="FFFFFF"/>
          </w:tcPr>
          <w:p>
            <w:pPr>
              <w:spacing w:after="20"/>
            </w:pPr>
            <w:r/>
            <w:r>
              <w:rPr>
                <w:rFonts w:ascii="Aptos" w:hAnsi="Aptos"/>
                <w:b w:val="0"/>
                <w:sz w:val="14"/>
              </w:rPr>
              <w:t>P2 — First 30 days after pilot</w:t>
            </w:r>
          </w:p>
        </w:tc>
        <w:tc>
          <w:tcPr>
            <w:tcW w:type="dxa" w:w="3240"/>
            <w:vAlign w:val="center"/>
            <w:shd w:fill="FFFFFF"/>
          </w:tcPr>
          <w:p>
            <w:pPr>
              <w:spacing w:after="20"/>
            </w:pPr>
            <w:r/>
            <w:r>
              <w:rPr>
                <w:rFonts w:ascii="Aptos" w:hAnsi="Aptos"/>
                <w:b w:val="0"/>
                <w:sz w:val="14"/>
              </w:rPr>
              <w:t>Run a representative performance and recovery exercise at approved peak envelope.</w:t>
            </w:r>
          </w:p>
        </w:tc>
        <w:tc>
          <w:tcPr>
            <w:tcW w:type="dxa" w:w="1800"/>
            <w:vAlign w:val="center"/>
            <w:shd w:fill="FFFFFF"/>
          </w:tcPr>
          <w:p>
            <w:pPr>
              <w:spacing w:after="20"/>
            </w:pPr>
            <w:r/>
            <w:r>
              <w:rPr>
                <w:rFonts w:ascii="Aptos" w:hAnsi="Aptos"/>
                <w:b w:val="0"/>
                <w:sz w:val="14"/>
              </w:rPr>
              <w:t>Platform owner + QA lead</w:t>
            </w:r>
          </w:p>
        </w:tc>
        <w:tc>
          <w:tcPr>
            <w:tcW w:type="dxa" w:w="2232"/>
            <w:vAlign w:val="center"/>
            <w:shd w:fill="FFFFFF"/>
          </w:tcPr>
          <w:p>
            <w:pPr>
              <w:spacing w:after="20"/>
            </w:pPr>
            <w:r/>
            <w:r>
              <w:rPr>
                <w:rFonts w:ascii="Aptos" w:hAnsi="Aptos"/>
                <w:b w:val="0"/>
                <w:sz w:val="14"/>
              </w:rPr>
              <w:t>Latency, error rate, queue age, and recovery meet approved targets.</w:t>
            </w:r>
          </w:p>
        </w:tc>
        <w:tc>
          <w:tcPr>
            <w:tcW w:type="dxa" w:w="1656"/>
            <w:vAlign w:val="center"/>
            <w:shd w:fill="FFFFFF"/>
          </w:tcPr>
          <w:p>
            <w:pPr>
              <w:spacing w:after="20"/>
            </w:pPr>
            <w:r/>
            <w:r>
              <w:rPr>
                <w:rFonts w:ascii="Aptos" w:hAnsi="Aptos"/>
                <w:b w:val="0"/>
                <w:sz w:val="14"/>
              </w:rPr>
              <w:t>Capacity approval; safe isolated test period.</w:t>
            </w:r>
          </w:p>
        </w:tc>
      </w:tr>
      <w:tr>
        <w:tc>
          <w:tcPr>
            <w:tcW w:type="dxa" w:w="1656"/>
            <w:vAlign w:val="center"/>
            <w:shd w:fill="F1F6F8"/>
          </w:tcPr>
          <w:p>
            <w:pPr>
              <w:spacing w:after="20"/>
            </w:pPr>
            <w:r/>
            <w:r>
              <w:rPr>
                <w:rFonts w:ascii="Aptos" w:hAnsi="Aptos"/>
                <w:b w:val="0"/>
                <w:sz w:val="14"/>
              </w:rPr>
              <w:t>P3 — Quarterly</w:t>
            </w:r>
          </w:p>
        </w:tc>
        <w:tc>
          <w:tcPr>
            <w:tcW w:type="dxa" w:w="3240"/>
            <w:vAlign w:val="center"/>
            <w:shd w:fill="F1F6F8"/>
          </w:tcPr>
          <w:p>
            <w:pPr>
              <w:spacing w:after="20"/>
            </w:pPr>
            <w:r/>
            <w:r>
              <w:rPr>
                <w:rFonts w:ascii="Aptos" w:hAnsi="Aptos"/>
                <w:b w:val="0"/>
                <w:sz w:val="14"/>
              </w:rPr>
              <w:t>Review status vocabulary, user feedback, access, retention, and architecture assumptions; retire unused fields and alerts.</w:t>
            </w:r>
          </w:p>
        </w:tc>
        <w:tc>
          <w:tcPr>
            <w:tcW w:type="dxa" w:w="1800"/>
            <w:vAlign w:val="center"/>
            <w:shd w:fill="F1F6F8"/>
          </w:tcPr>
          <w:p>
            <w:pPr>
              <w:spacing w:after="20"/>
            </w:pPr>
            <w:r/>
            <w:r>
              <w:rPr>
                <w:rFonts w:ascii="Aptos" w:hAnsi="Aptos"/>
                <w:b w:val="0"/>
                <w:sz w:val="14"/>
              </w:rPr>
              <w:t>Product owner + governance group</w:t>
            </w:r>
          </w:p>
        </w:tc>
        <w:tc>
          <w:tcPr>
            <w:tcW w:type="dxa" w:w="2232"/>
            <w:vAlign w:val="center"/>
            <w:shd w:fill="F1F6F8"/>
          </w:tcPr>
          <w:p>
            <w:pPr>
              <w:spacing w:after="20"/>
            </w:pPr>
            <w:r/>
            <w:r>
              <w:rPr>
                <w:rFonts w:ascii="Aptos" w:hAnsi="Aptos"/>
                <w:b w:val="0"/>
                <w:sz w:val="14"/>
              </w:rPr>
              <w:t>Review actions closed by due date; stale access and noisy alerts reduced.</w:t>
            </w:r>
          </w:p>
        </w:tc>
        <w:tc>
          <w:tcPr>
            <w:tcW w:type="dxa" w:w="1656"/>
            <w:vAlign w:val="center"/>
            <w:shd w:fill="F1F6F8"/>
          </w:tcPr>
          <w:p>
            <w:pPr>
              <w:spacing w:after="20"/>
            </w:pPr>
            <w:r/>
            <w:r>
              <w:rPr>
                <w:rFonts w:ascii="Aptos" w:hAnsi="Aptos"/>
                <w:b w:val="0"/>
                <w:sz w:val="14"/>
              </w:rPr>
              <w:t>Quarterly governance cadence and actual usage evidence.</w:t>
            </w:r>
          </w:p>
        </w:tc>
      </w:tr>
    </w:tbl>
    <w:p>
      <w:pPr>
        <w:spacing w:after="20"/>
      </w:pPr>
    </w:p>
    <w:p>
      <w:pPr>
        <w:pStyle w:val="Heading1"/>
      </w:pPr>
      <w:r>
        <w:t>8. Monitoring and governance recommendations</w:t>
      </w:r>
    </w:p>
    <w:p>
      <w:r>
        <w:t>Use monitoring that connects technical message state to the business order reference, with role-appropriate access, controlled detail level, and agreed retention. SAP documentation describes Message Processing Logs as records of messages processed on a tenant and their processing steps. If SAP Cloud Integration is selected, confirm what log data is available in the deployed environment, the role required to read it, and how content access is audited. SAP also documents central monitoring options such as SAP Cloud ALM; suitability and licensing must be confirmed by the actual organization.</w:t>
      </w:r>
    </w:p>
    <w:p>
      <w:pPr>
        <w:pStyle w:val="ListBullet"/>
        <w:spacing w:after="40"/>
      </w:pPr>
      <w:r>
        <w:t>Review accepted/rejected/pending/retried/escalated counts and oldest unresolved age at a defined cadence.</w:t>
      </w:r>
    </w:p>
    <w:p>
      <w:pPr>
        <w:pStyle w:val="ListBullet"/>
        <w:spacing w:after="40"/>
      </w:pPr>
      <w:r>
        <w:t>Use thresholds based on agreed business impact and real baseline; alert on sustained or worsening conditions, not one arbitrary simulated threshold.</w:t>
      </w:r>
    </w:p>
    <w:p>
      <w:pPr>
        <w:pStyle w:val="ListBullet"/>
        <w:spacing w:after="40"/>
      </w:pPr>
      <w:r>
        <w:t>Separate payload trace access from routine support; use trace only when justified and time-bound.</w:t>
      </w:r>
    </w:p>
    <w:p>
      <w:pPr>
        <w:pStyle w:val="ListBullet"/>
        <w:spacing w:after="40"/>
      </w:pPr>
      <w:r>
        <w:t>Review retries, replay, queue operations, and configuration changes through an auditable control path.</w:t>
      </w:r>
    </w:p>
    <w:p>
      <w:pPr>
        <w:pStyle w:val="ListBullet"/>
        <w:spacing w:after="40"/>
      </w:pPr>
      <w:r>
        <w:t>Maintain a change log for API, mapping, status vocabulary, security, retry, and monitoring configuration versions.</w:t>
      </w:r>
    </w:p>
    <w:p>
      <w:pPr>
        <w:pStyle w:val="Heading1"/>
      </w:pPr>
      <w:r>
        <w:t>Conclusion and decision</w:t>
      </w:r>
    </w:p>
    <w:p>
      <w:r>
        <w:t>The simulated scenario illustrates how a post-implementation review can expose both service outcomes and residual workload: a high modeled acceptance rate can coexist with unresolved retries, business rejections, and open questions about status visibility and user confidence. It does not establish that a live SAP integration exists or that any performance target was achieved. The appropriate next real-world decision is to collect approved baseline and pilot evidence, verify duplicate and recovery controls in a non-production environment, obtain security and operational sign-off, and use the resulting evidence to decide whether to expand, remediate, or stop.</w:t>
      </w:r>
    </w:p>
    <w:p>
      <w:pPr>
        <w:pStyle w:val="Heading1"/>
      </w:pPr>
      <w:r>
        <w:t>References</w:t>
      </w:r>
    </w:p>
    <w:p>
      <w:pPr>
        <w:spacing w:after="60"/>
      </w:pPr>
      <w:r>
        <w:t>1. YuvaIntern. “Junior SAP SD Integration Specialist” internship task description supplied for this project. Accessed 30 October 2026. Source for Week 4 expected contents and permission to simulate metrics using theoretical or public information.</w:t>
      </w:r>
    </w:p>
    <w:p>
      <w:pPr>
        <w:spacing w:after="60"/>
      </w:pPr>
      <w:r>
        <w:t>2. SAP Help Portal. “Message Processing Logs.” SAP Cloud Integration. Accessed 30 October 2026. Describes tenant message logs and processing-step details. https://help.sap.com/docs/cloud-integration/sap-cloud-integration/message-processing-logs</w:t>
      </w:r>
    </w:p>
    <w:p>
      <w:pPr>
        <w:spacing w:after="60"/>
      </w:pPr>
      <w:r>
        <w:t>3. SAP Help Portal. “Central Monitoring and Alerting Solutions.” SAP Integration Suite. Accessed 30 October 2026. Describes local monitoring and Cloud ALM / Focused Run options. https://help.sap.com/docs/integration-suite/sap-integration-suite/central-monitoring-and-alerting-solutions</w:t>
      </w:r>
    </w:p>
    <w:p>
      <w:pPr>
        <w:spacing w:after="60"/>
      </w:pPr>
      <w:r>
        <w:t>4. SAP Help Portal. “Auditing and Logging Information for Cloud Integration.” SAP Integration Suite. Accessed 30 October 2026. Documents audit events for actions including message monitoring and payload reads. https://help.sap.com/docs/integration-suite/isuite-integrations-and-apis/auditing-and-logging-information-for-cloud-integration</w:t>
      </w:r>
    </w:p>
    <w:p>
      <w:pPr>
        <w:spacing w:after="60"/>
      </w:pPr>
      <w:r>
        <w:t>5. SAP Help Portal. “Quality of Service Exactly Once.” SAP Integration Suite. Accessed 30 October 2026. Explains guaranteed delivery and idempotent receiver requirements. https://help.sap.com/docs/integration-suite/sap-integration-suite/quality-of-service-exactly-once</w:t>
      </w:r>
    </w:p>
    <w:sectPr w:rsidR="00FC693F" w:rsidRPr="0006063C" w:rsidSect="00034616">
      <w:headerReference w:type="default" r:id="rId9"/>
      <w:footerReference w:type="default" r:id="rId10"/>
      <w:pgSz w:w="12240" w:h="15840"/>
      <w:pgMar w:top="1008"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7D"/>
        <w:sz w:val="16"/>
      </w:rPr>
      <w:t>Educational case study  •  Simulated evaluation  •  No live implementation represented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E7D"/>
        <w:sz w:val="16"/>
      </w:rPr>
      <w:t>JUNIOR SAP SD INTEGRATION SPECIALIST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b w:val="0"/>
      <w:color w:val="2D37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Display" w:hAnsi="Aptos Display"/>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697A"/>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6697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1532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Post-Implementation Evaluation and Continuous Improvement</dc:title>
  <dc:subject>Week 4 simulated SAP SD integration review</dc:subject>
  <dc:creator>Portfolio project author</dc:creator>
  <cp:keywords>SAP SD, post-implementation evaluation, simulated metrics, continuous improvement</cp:keywords>
  <dc:description>generated by python-docx</dc:description>
  <cp:lastModifiedBy/>
  <cp:revision>1</cp:revision>
  <dcterms:created xsi:type="dcterms:W3CDTF">2013-12-23T23:15:00Z</dcterms:created>
  <dcterms:modified xsi:type="dcterms:W3CDTF">2013-12-23T23:15:00Z</dcterms:modified>
  <cp:category/>
</cp:coreProperties>
</file>