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Left Factored Grammar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-----------------------------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1. 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>1.1 program1 → declarations program1_1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ab/>
        <w:tab/>
        <w:t xml:space="preserve">| </w:t>
      </w:r>
      <w:r>
        <w:rPr>
          <w:b w:val="false"/>
          <w:bCs w:val="false"/>
          <w:sz w:val="22"/>
          <w:szCs w:val="22"/>
        </w:rPr>
        <w:t xml:space="preserve">subprogram_declarations compound_statement </w:t>
      </w:r>
      <w:r>
        <w:rPr>
          <w:b/>
          <w:bCs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/>
          <w:bCs/>
          <w:sz w:val="22"/>
          <w:szCs w:val="22"/>
        </w:rPr>
        <w:tab/>
        <w:tab/>
        <w:t xml:space="preserve">| </w:t>
      </w:r>
      <w:r>
        <w:rPr>
          <w:b w:val="false"/>
          <w:bCs w:val="false"/>
          <w:sz w:val="22"/>
          <w:szCs w:val="22"/>
        </w:rPr>
        <w:t xml:space="preserve">compound_statement </w:t>
      </w:r>
      <w:r>
        <w:rPr>
          <w:b/>
          <w:bCs/>
          <w:sz w:val="22"/>
          <w:szCs w:val="22"/>
        </w:rPr>
        <w:t>.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1.1.1 program1_1 →  subprogram_declarations compound_statement </w:t>
      </w:r>
      <w:r>
        <w:rPr>
          <w:b/>
          <w:bCs/>
          <w:sz w:val="22"/>
          <w:szCs w:val="22"/>
        </w:rPr>
        <w:t xml:space="preserve">. | </w:t>
      </w:r>
      <w:r>
        <w:rPr>
          <w:b w:val="false"/>
          <w:bCs w:val="false"/>
          <w:sz w:val="22"/>
          <w:szCs w:val="22"/>
        </w:rPr>
        <w:t xml:space="preserve">compound_statement </w:t>
      </w:r>
      <w:r>
        <w:rPr>
          <w:b/>
          <w:bCs/>
          <w:sz w:val="22"/>
          <w:szCs w:val="22"/>
        </w:rPr>
        <w:t>.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b w:val="false"/>
          <w:bCs w:val="false"/>
          <w:sz w:val="22"/>
          <w:szCs w:val="22"/>
        </w:rPr>
        <w:t xml:space="preserve">2. 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2.1 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  <w:r>
        <w:rPr>
          <w:b/>
          <w:bCs/>
          <w:sz w:val="22"/>
          <w:szCs w:val="22"/>
        </w:rPr>
        <w:t xml:space="preserve"> | 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3. 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3.1 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4. type → standard_type |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5. standard_type → </w:t>
      </w:r>
      <w:r>
        <w:rPr>
          <w:b/>
          <w:bCs/>
          <w:sz w:val="22"/>
          <w:szCs w:val="22"/>
        </w:rPr>
        <w:t>integer | real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sz w:val="22"/>
          <w:szCs w:val="22"/>
        </w:rPr>
        <w:t xml:space="preserve">6. 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6.1 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7. subprogram_declaration → subprogram_head subprogram_declaration1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7.1 subprogram_declaration1 →declarations subprogram_declaration1_1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| subprogram_declarations compound_statement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| compound_statement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7.1.1 subprogram_declaration1_1 → subprogram_declarations compound_statement | compound_statement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sz w:val="22"/>
          <w:szCs w:val="22"/>
        </w:rPr>
        <w:t xml:space="preserve">8. 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>subprogram_head1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8.1 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 |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9. 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9.1 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sz w:val="22"/>
          <w:szCs w:val="22"/>
        </w:rPr>
        <w:t>10. c</w:t>
      </w:r>
      <w:bookmarkStart w:id="0" w:name="__DdeLink__2_269911033"/>
      <w:r>
        <w:rPr>
          <w:sz w:val="22"/>
          <w:szCs w:val="22"/>
        </w:rPr>
        <w:t>ompound_statement</w:t>
      </w:r>
      <w:bookmarkEnd w:id="0"/>
      <w:r>
        <w:rPr>
          <w:sz w:val="22"/>
          <w:szCs w:val="22"/>
        </w:rPr>
        <w:t xml:space="preserve"> →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10.1 compound_statement1 → statement_list </w:t>
      </w:r>
      <w:r>
        <w:rPr>
          <w:b/>
          <w:bCs/>
          <w:sz w:val="22"/>
          <w:szCs w:val="22"/>
        </w:rPr>
        <w:t>end | end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sz w:val="22"/>
          <w:szCs w:val="22"/>
        </w:rPr>
        <w:t>11. statement_list → statement statement_list1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11.1 statement_list1 =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12. 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ab/>
        <w:tab/>
        <w:t>| compound_statement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 statement1 </w:t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>12.1 statement1 →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sz w:val="22"/>
          <w:szCs w:val="22"/>
        </w:rPr>
        <w:t xml:space="preserve">13. 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variable1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b w:val="false"/>
          <w:bCs w:val="false"/>
          <w:sz w:val="22"/>
          <w:szCs w:val="22"/>
        </w:rPr>
        <w:t xml:space="preserve">13.1 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14. expression_list →expression expression_list1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14.1 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15. expression → simple_expression expression1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>15.1 expression1 →</w:t>
      </w:r>
      <w:r>
        <w:rPr>
          <w:b/>
          <w:bCs/>
          <w:sz w:val="22"/>
          <w:szCs w:val="22"/>
        </w:rPr>
        <w:t>relop</w:t>
      </w:r>
      <w:r>
        <w:rPr>
          <w:sz w:val="22"/>
          <w:szCs w:val="22"/>
        </w:rPr>
        <w:t xml:space="preserve"> simple_expression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16. simple_expression → term simple_expression1 | sign term simple_expression1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16.1 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 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>17. term → factor term1</w:t>
      </w:r>
      <w:r/>
    </w:p>
    <w:p>
      <w:pPr>
        <w:pStyle w:val="Normal"/>
        <w:rPr>
          <w:sz w:val="22"/>
          <w:b/>
          <w:sz w:val="22"/>
          <w:b/>
          <w:szCs w:val="22"/>
          <w:bCs/>
        </w:rPr>
      </w:pPr>
      <w:r>
        <w:rPr>
          <w:sz w:val="22"/>
          <w:szCs w:val="22"/>
        </w:rPr>
        <w:t xml:space="preserve">17.1 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 xml:space="preserve">factor term1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>epsilon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</w:rPr>
      </w:pPr>
      <w:r>
        <w:rPr>
          <w:sz w:val="22"/>
          <w:szCs w:val="22"/>
        </w:rPr>
        <w:t xml:space="preserve">18. 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/>
          <w:bCs/>
          <w:sz w:val="22"/>
          <w:szCs w:val="22"/>
        </w:rPr>
        <w:t xml:space="preserve">  | num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 xml:space="preserve">)  </w:t>
      </w: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</w:rPr>
      </w:pPr>
      <w:r>
        <w:rPr>
          <w:sz w:val="22"/>
          <w:szCs w:val="22"/>
        </w:rPr>
        <w:t xml:space="preserve">18.1 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| </w:t>
      </w:r>
      <w:r>
        <w:rPr>
          <w:b w:val="false"/>
          <w:bCs w:val="false"/>
          <w:sz w:val="22"/>
          <w:szCs w:val="22"/>
        </w:rPr>
        <w:t>variable1</w:t>
      </w:r>
      <w:r/>
    </w:p>
    <w:p>
      <w:pPr>
        <w:pStyle w:val="Normal"/>
        <w:rPr>
          <w:sz w:val="22"/>
          <w:sz w:val="22"/>
          <w:szCs w:val="22"/>
          <w:rFonts w:ascii="Liberation Serif" w:hAnsi="Liberation Serif" w:eastAsia="Droid Sans Fallback" w:cs="Lohit Marathi"/>
          <w:color w:val="00000A"/>
          <w:lang w:val="en-US" w:eastAsia="zh-CN" w:bidi="hi-IN"/>
        </w:rPr>
      </w:pPr>
      <w:r>
        <w:rPr>
          <w:sz w:val="22"/>
          <w:szCs w:val="22"/>
        </w:rPr>
      </w:r>
      <w:r/>
    </w:p>
    <w:p>
      <w:pPr>
        <w:pStyle w:val="Normal"/>
      </w:pPr>
      <w:r>
        <w:rPr>
          <w:sz w:val="22"/>
          <w:szCs w:val="22"/>
        </w:rPr>
        <w:t xml:space="preserve">19. sign → </w:t>
      </w:r>
      <w:r>
        <w:rPr>
          <w:b/>
          <w:bCs/>
          <w:sz w:val="22"/>
          <w:szCs w:val="22"/>
        </w:rPr>
        <w:t>+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Cs w:val="24"/>
        <w:lang w:val="en-US" w:eastAsia="zh-CN" w:bidi="hi-IN"/>
      </w:rPr>
    </w:rPrDefault>
    <w:pPrDefault>
      <w:pPr/>
    </w:pPrDefault>
  </w:docDefaults>
  <w:latentStyles w:count="371" w:defUnhideWhenUsed="0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pPr/>
    <w:rPr>
      <w:rFonts w:ascii="Liberation Mono" w:hAnsi="Liberation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en-US</dc:language>
  <cp:lastPrinted>2015-10-25T16:44:00Z</cp:lastPrinted>
  <dcterms:modified xsi:type="dcterms:W3CDTF">2015-12-01T02:31:05Z</dcterms:modified>
  <cp:revision>10</cp:revision>
</cp:coreProperties>
</file>