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sz w:val="40"/>
          <w:szCs w:val="40"/>
        </w:rPr>
        <w:t xml:space="preserve">RadarPNCP</w:t>
      </w:r>
    </w:p>
    <w:p>
      <w:pPr>
        <w:spacing w:after="240"/>
        <w:jc w:val="center"/>
      </w:pPr>
      <w:r>
        <w:rPr>
          <w:color w:val="5F5E5A"/>
          <w:sz w:val="28"/>
          <w:szCs w:val="28"/>
        </w:rPr>
        <w:t xml:space="preserve">Declaração do Problema</w:t>
      </w:r>
    </w:p>
    <w:p>
      <w:pPr>
        <w:spacing w:after="20"/>
        <w:jc w:val="center"/>
      </w:pPr>
      <w:r>
        <w:rPr>
          <w:sz w:val="20"/>
          <w:szCs w:val="20"/>
        </w:rPr>
        <w:t xml:space="preserve">Curso de Especialização em Big Data — Escola Politécnica da USP</w:t>
      </w:r>
    </w:p>
    <w:p>
      <w:pPr>
        <w:spacing w:after="20"/>
        <w:jc w:val="center"/>
      </w:pPr>
      <w:r>
        <w:rPr>
          <w:sz w:val="20"/>
          <w:szCs w:val="20"/>
        </w:rPr>
        <w:t xml:space="preserve">Disciplina: Repositórios de Dados e NoSQL (eEDB-016)</w:t>
      </w:r>
    </w:p>
    <w:p>
      <w:pPr>
        <w:spacing w:after="20"/>
        <w:jc w:val="center"/>
      </w:pPr>
      <w:r>
        <w:rPr>
          <w:sz w:val="20"/>
          <w:szCs w:val="20"/>
        </w:rPr>
        <w:t xml:space="preserve">Prof. Dr. Pedro L. P. Corrêa — Prof. Dra. Jeaneth Machicao</w:t>
      </w:r>
    </w:p>
    <w:p>
      <w:pPr>
        <w:spacing w:after="400"/>
        <w:jc w:val="center"/>
      </w:pPr>
      <w:r>
        <w:rPr>
          <w:sz w:val="20"/>
          <w:szCs w:val="20"/>
        </w:rPr>
        <w:t xml:space="preserve">Aluno: Hercules — NUSP [completar]</w:t>
      </w:r>
    </w:p>
    <w:p>
      <w:pPr>
        <w:pStyle w:val="Heading1"/>
      </w:pPr>
      <w:r>
        <w:t xml:space="preserve">1. Levantamento de requisitos do domínio</w:t>
      </w:r>
    </w:p>
    <w:p>
      <w:pPr>
        <w:spacing w:after="200"/>
      </w:pPr>
      <w:r>
        <w:t xml:space="preserve">O domínio tratado é o de contratações públicas registradas no Portal Nacional de Contratações Públicas (PNCP), abrangendo os relacionamentos entre órgãos públicos contratantes, fornecedores e os contratos firmados entre eles. O domínio é inspirado em um pipeline real de ingestão de dados do PNCP desenvolvido anteriormente pelo autor (disciplina de Engenharia de Dados), mas aqui é representado com dados fictícios/simulados, conforme o escopo desta atividade.</w:t>
      </w:r>
    </w:p>
    <w:p>
      <w:pPr>
        <w:spacing w:after="200"/>
      </w:pPr>
      <w:r>
        <w:t xml:space="preserve">Requisitos funcionais levantados: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RF1 — consultar todos os contratos firmados por um órgão público, ordenados por valor.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RF2 — consultar quais fornecedores prestaram serviço a um órgão, com valor total agregado.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RF3 — identificar fornecedores que mantêm contratos com múltiplos órgãos distintos.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RF4 — identificar fornecedores que compartilham o mesmo endereço comercial.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RF5 — verificar se existe vínculo indireto (cadeia de relacionamentos) entre dois fornecedores.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RF6 — consultar o ranking de fornecedores por valor total dentro de uma modalidade de contratação específica.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RF7 — identificar possíveis indícios de fracionamento de despesa (múltiplos contratos do mesmo fornecedor com o mesmo órgão em curto intervalo de tempo).</w:t>
      </w:r>
    </w:p>
    <w:p>
      <w:pPr>
        <w:spacing w:after="200"/>
      </w:pPr>
      <w:r>
        <w:t xml:space="preserve">Requisito não funcional: a estrutura de dados deve favorecer consultas de travessia multi-salto sobre a rede de relacionamentos (RF3 a RF7), e não apenas agregações simples sobre uma única coleção.</w:t>
      </w:r>
    </w:p>
    <w:p>
      <w:pPr>
        <w:pStyle w:val="Heading1"/>
      </w:pPr>
      <w:r>
        <w:t xml:space="preserve">2. Descrição da aplicação</w:t>
      </w:r>
    </w:p>
    <w:p>
      <w:pPr>
        <w:spacing w:after="200"/>
      </w:pPr>
      <w:r>
        <w:t xml:space="preserve">RadarPNCP é uma aplicação fictícia de apoio à auditoria de contratos públicos, destinada a auditores de controle externo (ex.: Tribunais de Contas). A aplicação permite que o auditor busque um órgão público ou um fornecedor e visualize, a partir dali, a rede de relacionamentos entre contratos, fornecedores e órgãos — destacando automaticamente padrões que costumam indicar risco de irregularidade: concentração de fornecimento em um mesmo fornecedor, fornecedores coligados pelo mesmo endereço, e indícios de fracionamento de despesa.</w:t>
      </w:r>
    </w:p>
    <w:p>
      <w:pPr>
        <w:spacing w:after="80" w:before="200"/>
        <w:jc w:val="center"/>
      </w:pPr>
      <w:r>
        <w:drawing>
          <wp:inline distT="0" distB="0" distL="0" distR="0">
            <wp:extent cx="4572000" cy="3228975"/>
            <wp:effectExtent t="0" r="0" b="0" l="0"/>
            <wp:docPr id="1" name="Tela inicial do RadarPNCP" descr="Tela inicial do RadarPNCP" title="Tela inicial do RadarPNC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22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F5E5A"/>
          <w:sz w:val="20"/>
          <w:szCs w:val="20"/>
        </w:rPr>
        <w:t xml:space="preserve">Figura 1 — Tela inicial: busca por órgão/fornecedor e alertas de risco</w:t>
      </w:r>
    </w:p>
    <w:p>
      <w:pPr>
        <w:spacing w:after="80" w:before="200"/>
        <w:jc w:val="center"/>
      </w:pPr>
      <w:r>
        <w:drawing>
          <wp:inline distT="0" distB="0" distL="0" distR="0">
            <wp:extent cx="4572000" cy="3162300"/>
            <wp:effectExtent t="0" r="0" b="0" l="0"/>
            <wp:docPr id="1" name="Tela de detalhe do órgão" descr="Tela de detalhe do órgão" title="Tela de detalhe do órgã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F5E5A"/>
          <w:sz w:val="20"/>
          <w:szCs w:val="20"/>
        </w:rPr>
        <w:t xml:space="preserve">Figura 2 — Tela de detalhe do órgão: contratos (Q1) e fornecedores agregados (Q2)</w:t>
      </w:r>
    </w:p>
    <w:p>
      <w:pPr>
        <w:spacing w:after="80" w:before="200"/>
        <w:jc w:val="center"/>
      </w:pPr>
      <w:r>
        <w:drawing>
          <wp:inline distT="0" distB="0" distL="0" distR="0">
            <wp:extent cx="4572000" cy="3095625"/>
            <wp:effectExtent t="0" r="0" b="0" l="0"/>
            <wp:docPr id="1" name="Tela de rede de relacionamentos" descr="Tela de rede de relacionamentos" title="Tela de rede de relacionament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F5E5A"/>
          <w:sz w:val="20"/>
          <w:szCs w:val="20"/>
        </w:rPr>
        <w:t xml:space="preserve">Figura 3 — Tela de rede de relacionamentos: sinais de risco (Q3, Q4, Q5 e Q7)</w:t>
      </w:r>
    </w:p>
    <w:p>
      <w:pPr>
        <w:pStyle w:val="Heading1"/>
      </w:pPr>
      <w:r>
        <w:t xml:space="preserve">3. Justificativa técnica da escolha do banco de dados</w:t>
      </w:r>
    </w:p>
    <w:p>
      <w:pPr>
        <w:spacing w:after="200"/>
      </w:pPr>
      <w:r>
        <w:t xml:space="preserve">Tecnologia escolhida: Neo4j (modelo de grafos), única tecnologia NoSQL utilizada no projeto, conforme exigido pelo enunciado.</w:t>
      </w:r>
    </w:p>
    <w:p>
      <w:pPr>
        <w:spacing w:after="200"/>
      </w:pPr>
      <w:r>
        <w:t xml:space="preserve">O padrão de acesso predominante do negócio (RF3 a RF7) não é a busca direta por uma chave, nem a ingestão massiva e sequencial de eventos — é a navegação por múltiplos saltos sobre uma rede de relacionamentos entre fornecedores, contratos e órgãos, para identificar conexões que não estão explícitas em uma única coleção de dados. Esse padrão corresponde diretamente ao critério de escolha de bancos orientados a grafos definido na matriz de decisão da disciplina: aplicações cujo foco principal mapeia redes de interconexões, como redes de contatos, fraudes financeiras ou dependências diretas.</w:t>
      </w:r>
    </w:p>
    <w:p>
      <w:pPr>
        <w:spacing w:after="200"/>
      </w:pPr>
      <w:r>
        <w:t xml:space="preserve">Os modelos alternativos foram descartados pelos seguintes motivos: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Documentos/Chave-valor (MongoDB/DynamoDB): adequado a aplicações transacionais com acesso direto por chave (cadastros, carrinhos de compra); não favorece naturalmente consultas de travessia multi-salto como RF4 e RF5.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Família de Colunas (Cassandra): adequado a ingestão massiva em tempo real e séries temporais (IoT, logs); o domínio de contratações públicas não tem esse perfil de volume/velocidade na escala desta PoC.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Vetorial (Qdrant): adequado a busca por similaridade semântica; embora aplicável a uma variante do problema (similaridade entre objetos contratuais), não atende diretamente aos requisitos de rede de relacionamentos (RF3 a RF7) levantados.</w:t>
      </w:r>
    </w:p>
    <w:p>
      <w:pPr>
        <w:pStyle w:val="Heading1"/>
      </w:pPr>
      <w:r>
        <w:t xml:space="preserve">4. Diagrama de fluxo da aplicação (Application Workflow Diagram)</w:t>
      </w:r>
    </w:p>
    <w:p>
      <w:pPr>
        <w:spacing w:after="200"/>
      </w:pPr>
      <w:r>
        <w:t xml:space="preserve">O diagrama abaixo mostra a jornada do auditor desde a busca inicial (RF1) até a geração do relatório de risco, passando pelas consultas diretas (Q1, Q2) e pelas consultas de travessia de relacionamentos no grafo (Q3 a Q7), que são a particularidade central desta modelagem.</w:t>
      </w:r>
    </w:p>
    <w:p>
      <w:pPr>
        <w:spacing w:after="80" w:before="200"/>
        <w:jc w:val="center"/>
      </w:pPr>
      <w:r>
        <w:drawing>
          <wp:inline distT="0" distB="0" distL="0" distR="0">
            <wp:extent cx="4381500" cy="4972050"/>
            <wp:effectExtent t="0" r="0" b="0" l="0"/>
            <wp:docPr id="1" name="Application Workflow Diagram" descr="Application Workflow Diagram" title="Application Workflow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497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F5E5A"/>
          <w:sz w:val="20"/>
          <w:szCs w:val="20"/>
        </w:rPr>
        <w:t xml:space="preserve">Figura 4 — Application Workflow Diagram do RadarPNCP</w:t>
      </w:r>
    </w:p>
    <w:p>
      <w:pPr>
        <w:pStyle w:val="Heading1"/>
      </w:pPr>
      <w:r>
        <w:t xml:space="preserve">5. Declaração das consultas planejadas (Q1 a Q7)</w:t>
      </w:r>
    </w:p>
    <w:p>
      <w:pPr>
        <w:spacing w:after="200"/>
      </w:pPr>
      <w:r>
        <w:t xml:space="preserve">As sete consultas a seguir foram definidas seguindo a abordagem Query-First Design, isto é, mapeadas antes da modelagem física do grafo (Etapa 2).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200"/>
        <w:gridCol w:w="4960"/>
        <w:gridCol w:w="1500"/>
      </w:tblGrid>
      <w:tr>
        <w:trPr>
          <w:cantSplit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Consulta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Atributos pesquisados / ordenados / filtrados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Travessia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Q1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Contratos de um órgão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filtra cnpj do órgão; ordena por valor_global desc; filtra período por data_assinatura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Não — 1 salto direto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Q2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Fornecedores de um órgão, valor agregado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filtra cnpj do órgão; agrupa por fornecedor; ordena SUM(valor_global)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Não — 1-2 saltos diretos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Q3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Fornecedores multiórgão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conta COUNT(DISTINCT órgão) por fornecedor; filtra &gt; N órgãos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Sim — grau de conexão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Q4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Rede de mesmo endereço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percorre relação MESMO_ENDERECO; filtra órgão em comum entre os fornecedores conectados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Sim — particularidade central de grafos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Q5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Caminho entre dois fornecedores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define fornecedor de início/fim; calcula menor caminho na rede de vínculos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Sim — shortest path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Q6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Top fornecedores por modalidade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filtra nome da modalidade; ordena SUM(valor_global)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Não — 1-2 saltos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Q7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Possível fracionamento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mesmo fornecedor + mesmo órgão; filtra janela curta de data_assinatura; filtra COUNT(contrato) &gt; 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Sim — travessia + filtro temporal</w:t>
            </w:r>
          </w:p>
        </w:tc>
      </w:tr>
    </w:tbl>
    <w:p>
      <w:pPr>
        <w:spacing w:before="240"/>
      </w:pPr>
      <w:r>
        <w:t xml:space="preserve">Particularidade de grafos exigida pelo enunciado: Q3, Q4, Q5 e Q7 dependem de travessia real de relacionamentos — não são filtros simples sobre uma única coleção — sendo essa a razão central da escolha por um banco de dados orientado a grafos.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2C2C2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2ccac5112d3222005ae8a9c74e16aa0df7e90414.png"/><Relationship Id="rId8" Type="http://schemas.openxmlformats.org/officeDocument/2006/relationships/image" Target="media/b26ae32d222bc415d971f3ecc60a53af27d85e81.png"/><Relationship Id="rId9" Type="http://schemas.openxmlformats.org/officeDocument/2006/relationships/image" Target="media/18193062ac7209e667b884818843e01e566debd1.png"/><Relationship Id="rId10" Type="http://schemas.openxmlformats.org/officeDocument/2006/relationships/image" Target="media/000ec22f3ff86981ab28307f29cfcedadd9c2e42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2026-06-17T23:58:42.359Z</dcterms:created>
  <dcterms:modified xsi:type="dcterms:W3CDTF">2026-06-17T23:58:42.359Z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