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FD27" w14:textId="70528113" w:rsidR="0010526D" w:rsidRPr="0010526D" w:rsidRDefault="0010526D" w:rsidP="0010526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32"/>
        </w:rPr>
      </w:pPr>
      <w:r w:rsidRPr="0010526D">
        <w:rPr>
          <w:rFonts w:ascii="Times New Roman" w:hAnsi="Times New Roman" w:cs="Times New Roman"/>
          <w:b/>
          <w:bCs/>
          <w:sz w:val="24"/>
          <w:szCs w:val="32"/>
        </w:rPr>
        <w:t>Data and Variables</w:t>
      </w:r>
    </w:p>
    <w:p w14:paraId="038A6BB4" w14:textId="19D96430" w:rsidR="0010526D" w:rsidRDefault="0010526D" w:rsidP="0010526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sample consists of all stocks in the US Market from 2011-1-1 to 2023-11-22. We applied several filters to curate our data based on literature review:</w:t>
      </w:r>
    </w:p>
    <w:p w14:paraId="571B3F64" w14:textId="410C084E" w:rsidR="0010526D" w:rsidRPr="0010526D" w:rsidRDefault="0010526D" w:rsidP="0010526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0526D">
        <w:rPr>
          <w:rFonts w:ascii="Times New Roman" w:hAnsi="Times New Roman" w:cs="Times New Roman"/>
        </w:rPr>
        <w:t>Exclude stocks that become public after 2022 to avoid extreme volatility and liquidity in stock prices</w:t>
      </w:r>
      <w:r w:rsidRPr="0010526D">
        <w:rPr>
          <w:rFonts w:ascii="Times New Roman" w:hAnsi="Times New Roman" w:cs="Times New Roman" w:hint="eastAsia"/>
        </w:rPr>
        <w:t xml:space="preserve"> after</w:t>
      </w:r>
      <w:r w:rsidRPr="0010526D">
        <w:rPr>
          <w:rFonts w:ascii="Times New Roman" w:hAnsi="Times New Roman" w:cs="Times New Roman"/>
        </w:rPr>
        <w:t xml:space="preserve"> the initial public offerings.</w:t>
      </w:r>
    </w:p>
    <w:p w14:paraId="16727C02" w14:textId="0C5DC7BC" w:rsidR="0010526D" w:rsidRDefault="0010526D" w:rsidP="0010526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firms having a minimum of 75% of non-zero-volume trading days only to guarantee stock liquidity and data quality.</w:t>
      </w:r>
    </w:p>
    <w:p w14:paraId="09EE780C" w14:textId="3C926AC9" w:rsidR="0010526D" w:rsidRDefault="0010526D" w:rsidP="0010526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Exclude months that have fewer than 15 days of trading records for each stock to construct variables reflecting our interest.</w:t>
      </w:r>
    </w:p>
    <w:p w14:paraId="4EE73699" w14:textId="43F9F79A" w:rsidR="0010526D" w:rsidRDefault="0010526D" w:rsidP="0010526D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sample 1271 firms.</w:t>
      </w:r>
    </w:p>
    <w:p w14:paraId="6598602A" w14:textId="7FADF57E" w:rsidR="00BE4250" w:rsidRDefault="00BE4250" w:rsidP="00BE42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able 1: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ntraday return reversal intensity measures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4250" w14:paraId="7B680DC4" w14:textId="77777777" w:rsidTr="00BE4250">
        <w:tc>
          <w:tcPr>
            <w:tcW w:w="4148" w:type="dxa"/>
            <w:vAlign w:val="center"/>
          </w:tcPr>
          <w:p w14:paraId="14DB373F" w14:textId="095204C9" w:rsidR="00BE4250" w:rsidRDefault="00BE4250" w:rsidP="00BE42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4148" w:type="dxa"/>
            <w:vAlign w:val="center"/>
          </w:tcPr>
          <w:p w14:paraId="38E319F8" w14:textId="13FAF10D" w:rsidR="00BE4250" w:rsidRDefault="00BE4250" w:rsidP="00BE42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ariable definitions and description</w:t>
            </w:r>
          </w:p>
        </w:tc>
      </w:tr>
      <w:tr w:rsidR="00BE4250" w14:paraId="6845A1ED" w14:textId="77777777" w:rsidTr="00BE4250">
        <w:tc>
          <w:tcPr>
            <w:tcW w:w="4148" w:type="dxa"/>
            <w:vAlign w:val="center"/>
          </w:tcPr>
          <w:p w14:paraId="61E50DC4" w14:textId="6095F5F8" w:rsidR="00BE4250" w:rsidRPr="00BE4250" w:rsidRDefault="00000000" w:rsidP="00BE4250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R_OC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4148" w:type="dxa"/>
            <w:vAlign w:val="center"/>
          </w:tcPr>
          <w:p w14:paraId="2405874C" w14:textId="6AEF7640" w:rsidR="00BE4250" w:rsidRDefault="00BE4250" w:rsidP="00BE42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aytime return (open-to-close)</w:t>
            </w:r>
          </w:p>
          <w:p w14:paraId="2B4DF1E5" w14:textId="333B0875" w:rsidR="00BE4250" w:rsidRDefault="00000000" w:rsidP="00BE42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R_OC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i,t,close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i,t,open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</w:tr>
      <w:tr w:rsidR="00BE4250" w14:paraId="18F7A7F1" w14:textId="77777777" w:rsidTr="00BE4250">
        <w:tc>
          <w:tcPr>
            <w:tcW w:w="4148" w:type="dxa"/>
            <w:vAlign w:val="center"/>
          </w:tcPr>
          <w:p w14:paraId="5261E2BA" w14:textId="7F45DFD1" w:rsidR="00BE4250" w:rsidRDefault="00000000" w:rsidP="00BE425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R_CC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4148" w:type="dxa"/>
            <w:vAlign w:val="center"/>
          </w:tcPr>
          <w:p w14:paraId="5BF194C1" w14:textId="77777777" w:rsidR="00BE4250" w:rsidRDefault="00BE4250" w:rsidP="00BE42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aily close-to-close return</w:t>
            </w:r>
          </w:p>
          <w:p w14:paraId="1043ED6A" w14:textId="79125EE2" w:rsidR="00BE4250" w:rsidRDefault="00000000" w:rsidP="00BE42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R_CC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i,t,close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i,t-1,close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</w:tr>
      <w:tr w:rsidR="00BE4250" w14:paraId="2767138A" w14:textId="77777777" w:rsidTr="00BE4250">
        <w:tc>
          <w:tcPr>
            <w:tcW w:w="4148" w:type="dxa"/>
            <w:vAlign w:val="center"/>
          </w:tcPr>
          <w:p w14:paraId="6FF2975F" w14:textId="36DCDD0A" w:rsidR="00BE4250" w:rsidRDefault="00000000" w:rsidP="00BE425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R_CO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4148" w:type="dxa"/>
            <w:vAlign w:val="center"/>
          </w:tcPr>
          <w:p w14:paraId="5ABFC85D" w14:textId="77777777" w:rsidR="006F3698" w:rsidRDefault="00BE4250" w:rsidP="00BE42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vernight return (close-to-open)</w:t>
            </w:r>
          </w:p>
          <w:p w14:paraId="2ED39437" w14:textId="7D8A31F0" w:rsidR="00BE4250" w:rsidRDefault="006F3698" w:rsidP="00BE42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Daytime reversal</w:t>
            </w:r>
          </w:p>
          <w:p w14:paraId="48A61B03" w14:textId="1F842764" w:rsidR="00BE4250" w:rsidRPr="00BE4250" w:rsidRDefault="00000000" w:rsidP="00BE42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R_CO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R_CC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R_OC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</w:tr>
      <w:tr w:rsidR="00BE4250" w14:paraId="64C9A089" w14:textId="77777777" w:rsidTr="00BE4250">
        <w:tc>
          <w:tcPr>
            <w:tcW w:w="4148" w:type="dxa"/>
            <w:vAlign w:val="center"/>
          </w:tcPr>
          <w:p w14:paraId="3865599E" w14:textId="3EBFDA54" w:rsidR="00BE4250" w:rsidRDefault="00BE4250" w:rsidP="00BE42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148" w:type="dxa"/>
            <w:vAlign w:val="center"/>
          </w:tcPr>
          <w:p w14:paraId="7B7A8379" w14:textId="77777777" w:rsidR="00BE4250" w:rsidRDefault="00BE4250" w:rsidP="00BE42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frequency of negative daytime reversals</w:t>
            </w:r>
          </w:p>
          <w:p w14:paraId="232BDCFD" w14:textId="718F7A33" w:rsidR="00BE4250" w:rsidRDefault="00000000" w:rsidP="00BE42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Count(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CO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&lt;0)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total trading days</m:t>
                    </m:r>
                  </m:den>
                </m:f>
              </m:oMath>
            </m:oMathPara>
          </w:p>
        </w:tc>
      </w:tr>
      <w:tr w:rsidR="006F3698" w14:paraId="45401E07" w14:textId="77777777" w:rsidTr="00BE4250">
        <w:tc>
          <w:tcPr>
            <w:tcW w:w="4148" w:type="dxa"/>
            <w:vAlign w:val="center"/>
          </w:tcPr>
          <w:p w14:paraId="1F0153A5" w14:textId="599ACE7C" w:rsidR="006F3698" w:rsidRDefault="006F3698" w:rsidP="006F36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</w:t>
            </w:r>
          </w:p>
        </w:tc>
        <w:tc>
          <w:tcPr>
            <w:tcW w:w="4148" w:type="dxa"/>
            <w:vAlign w:val="center"/>
          </w:tcPr>
          <w:p w14:paraId="1E67D29F" w14:textId="4B52F3A8" w:rsidR="006F3698" w:rsidRDefault="006F3698" w:rsidP="006F3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frequency of positive daytime reversals</w:t>
            </w:r>
          </w:p>
          <w:p w14:paraId="10F294B8" w14:textId="42987FF7" w:rsidR="006F3698" w:rsidRDefault="00000000" w:rsidP="006F369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Count(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CO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&gt;0)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total trading days</m:t>
                    </m:r>
                  </m:den>
                </m:f>
              </m:oMath>
            </m:oMathPara>
          </w:p>
        </w:tc>
      </w:tr>
      <w:tr w:rsidR="006F3698" w14:paraId="455155CD" w14:textId="77777777" w:rsidTr="00BE4250">
        <w:tc>
          <w:tcPr>
            <w:tcW w:w="4148" w:type="dxa"/>
            <w:vAlign w:val="center"/>
          </w:tcPr>
          <w:p w14:paraId="47CFE6B0" w14:textId="15E0E4B3" w:rsidR="006F3698" w:rsidRDefault="006F3698" w:rsidP="006F36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ABNR</w:t>
            </w:r>
          </w:p>
        </w:tc>
        <w:tc>
          <w:tcPr>
            <w:tcW w:w="4148" w:type="dxa"/>
            <w:vAlign w:val="center"/>
          </w:tcPr>
          <w:p w14:paraId="512AB004" w14:textId="77777777" w:rsidR="006F3698" w:rsidRDefault="006F3698" w:rsidP="006F3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abnormal frequency of negative daytime reversals</w:t>
            </w:r>
          </w:p>
          <w:p w14:paraId="0DD1D126" w14:textId="6B24F0EC" w:rsidR="006F3698" w:rsidRDefault="00000000" w:rsidP="006F369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ABNR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i,m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i,widow=12 months</m:t>
                            </m:r>
                          </m:sub>
                        </m:sSub>
                      </m:e>
                    </m:acc>
                  </m:den>
                </m:f>
              </m:oMath>
            </m:oMathPara>
          </w:p>
        </w:tc>
      </w:tr>
      <w:tr w:rsidR="006F3698" w14:paraId="7F713040" w14:textId="77777777" w:rsidTr="00BE4250">
        <w:tc>
          <w:tcPr>
            <w:tcW w:w="4148" w:type="dxa"/>
            <w:vAlign w:val="center"/>
          </w:tcPr>
          <w:p w14:paraId="4D8ED3DA" w14:textId="1FAABF7F" w:rsidR="006F3698" w:rsidRDefault="006F3698" w:rsidP="006F36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</w:t>
            </w: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R</w:t>
            </w:r>
          </w:p>
        </w:tc>
        <w:tc>
          <w:tcPr>
            <w:tcW w:w="4148" w:type="dxa"/>
            <w:vAlign w:val="center"/>
          </w:tcPr>
          <w:p w14:paraId="35194BDD" w14:textId="0BB22948" w:rsidR="006F3698" w:rsidRDefault="006F3698" w:rsidP="006F3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abnormal frequency of </w:t>
            </w:r>
            <w:proofErr w:type="spellStart"/>
            <w:r>
              <w:rPr>
                <w:rFonts w:ascii="Times New Roman" w:hAnsi="Times New Roman" w:cs="Times New Roman"/>
              </w:rPr>
              <w:t>postive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daytime reversals</w:t>
            </w:r>
          </w:p>
          <w:p w14:paraId="7B6226A3" w14:textId="7133B3EF" w:rsidR="006F3698" w:rsidRDefault="00000000" w:rsidP="006F369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ABNR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i,m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i,widow=12 months</m:t>
                            </m:r>
                          </m:sub>
                        </m:sSub>
                      </m:e>
                    </m:acc>
                  </m:den>
                </m:f>
              </m:oMath>
            </m:oMathPara>
          </w:p>
        </w:tc>
      </w:tr>
    </w:tbl>
    <w:p w14:paraId="01236BC3" w14:textId="77777777" w:rsidR="0010526D" w:rsidRPr="0010526D" w:rsidRDefault="0010526D" w:rsidP="00BE4250">
      <w:pPr>
        <w:rPr>
          <w:rFonts w:ascii="Times New Roman" w:hAnsi="Times New Roman" w:cs="Times New Roman"/>
        </w:rPr>
      </w:pPr>
    </w:p>
    <w:p w14:paraId="6EA2CEF0" w14:textId="6A3C43AA" w:rsidR="006E75AA" w:rsidRPr="006E75AA" w:rsidRDefault="006E75AA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6E75AA">
        <w:rPr>
          <w:rFonts w:ascii="Times New Roman" w:hAnsi="Times New Roman" w:cs="Times New Roman"/>
          <w:b/>
          <w:bCs/>
          <w:sz w:val="24"/>
          <w:szCs w:val="32"/>
        </w:rPr>
        <w:t xml:space="preserve">2. </w:t>
      </w:r>
      <w:r w:rsidR="0010526D">
        <w:rPr>
          <w:rFonts w:ascii="Times New Roman" w:hAnsi="Times New Roman" w:cs="Times New Roman"/>
          <w:b/>
          <w:bCs/>
          <w:sz w:val="24"/>
          <w:szCs w:val="32"/>
        </w:rPr>
        <w:t>S</w:t>
      </w:r>
      <w:r w:rsidRPr="006E75AA">
        <w:rPr>
          <w:rFonts w:ascii="Times New Roman" w:hAnsi="Times New Roman" w:cs="Times New Roman"/>
          <w:b/>
          <w:bCs/>
          <w:sz w:val="24"/>
          <w:szCs w:val="32"/>
        </w:rPr>
        <w:t>ummary statistics of main variables</w:t>
      </w:r>
    </w:p>
    <w:p w14:paraId="5794000E" w14:textId="76E14CCA" w:rsidR="006E75AA" w:rsidRDefault="006E75AA" w:rsidP="00547FE3">
      <w:pPr>
        <w:ind w:firstLineChars="200" w:firstLine="420"/>
        <w:rPr>
          <w:rFonts w:ascii="Times New Roman" w:hAnsi="Times New Roman" w:cs="Times New Roman"/>
        </w:rPr>
      </w:pPr>
      <w:r w:rsidRPr="006E75AA">
        <w:rPr>
          <w:rFonts w:ascii="Times New Roman" w:hAnsi="Times New Roman" w:cs="Times New Roman"/>
        </w:rPr>
        <w:t xml:space="preserve">Table </w:t>
      </w:r>
      <w:r w:rsidR="00BE4250">
        <w:rPr>
          <w:rFonts w:ascii="Times New Roman" w:hAnsi="Times New Roman" w:cs="Times New Roman"/>
        </w:rPr>
        <w:t>2</w:t>
      </w:r>
      <w:r w:rsidRPr="006E75AA">
        <w:rPr>
          <w:rFonts w:ascii="Times New Roman" w:hAnsi="Times New Roman" w:cs="Times New Roman"/>
        </w:rPr>
        <w:t xml:space="preserve"> reports the time-series average of monthly cross-sectional statistics of four return reversal intensity measures: NR, ABNR, PR, and ABNR.</w:t>
      </w:r>
      <w:r>
        <w:rPr>
          <w:rFonts w:ascii="Times New Roman" w:hAnsi="Times New Roman" w:cs="Times New Roman"/>
        </w:rPr>
        <w:t xml:space="preserve"> The mean levels of the NR and PR are 0.2</w:t>
      </w:r>
      <w:r w:rsidR="00186EA0">
        <w:rPr>
          <w:rFonts w:ascii="Times New Roman" w:hAnsi="Times New Roman" w:cs="Times New Roman"/>
        </w:rPr>
        <w:t>61</w:t>
      </w:r>
      <w:r>
        <w:rPr>
          <w:rFonts w:ascii="Times New Roman" w:hAnsi="Times New Roman" w:cs="Times New Roman"/>
        </w:rPr>
        <w:t xml:space="preserve"> and 0.2</w:t>
      </w:r>
      <w:r w:rsidR="00186EA0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 xml:space="preserve">. </w:t>
      </w:r>
      <w:r w:rsidR="00341E3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oth negative and positive daytime reversal frequencies are close to 0.25,</w:t>
      </w:r>
      <w:r w:rsidR="00341E35">
        <w:rPr>
          <w:rFonts w:ascii="Times New Roman" w:hAnsi="Times New Roman" w:cs="Times New Roman"/>
        </w:rPr>
        <w:t xml:space="preserve"> indicating NR and PR are </w:t>
      </w:r>
      <w:r w:rsidR="00186EA0">
        <w:rPr>
          <w:rFonts w:ascii="Times New Roman" w:hAnsi="Times New Roman" w:cs="Times New Roman"/>
        </w:rPr>
        <w:t xml:space="preserve">nearly </w:t>
      </w:r>
      <w:proofErr w:type="gramStart"/>
      <w:r w:rsidR="00341E35">
        <w:rPr>
          <w:rFonts w:ascii="Times New Roman" w:hAnsi="Times New Roman" w:cs="Times New Roman" w:hint="eastAsia"/>
        </w:rPr>
        <w:t>e</w:t>
      </w:r>
      <w:r w:rsidR="00341E35">
        <w:rPr>
          <w:rFonts w:ascii="Times New Roman" w:hAnsi="Times New Roman" w:cs="Times New Roman"/>
        </w:rPr>
        <w:t>ven</w:t>
      </w:r>
      <w:r w:rsidR="00186EA0">
        <w:rPr>
          <w:rFonts w:ascii="Times New Roman" w:hAnsi="Times New Roman" w:cs="Times New Roman"/>
        </w:rPr>
        <w:t>-</w:t>
      </w:r>
      <w:r w:rsidR="00341E35">
        <w:rPr>
          <w:rFonts w:ascii="Times New Roman" w:hAnsi="Times New Roman" w:cs="Times New Roman"/>
        </w:rPr>
        <w:t>distributed</w:t>
      </w:r>
      <w:proofErr w:type="gramEnd"/>
      <w:r w:rsidR="00341E35">
        <w:rPr>
          <w:rFonts w:ascii="Times New Roman" w:hAnsi="Times New Roman" w:cs="Times New Roman"/>
        </w:rPr>
        <w:t xml:space="preserve">. The mean of ABNR and ABPR are </w:t>
      </w:r>
      <w:r w:rsidR="00186EA0">
        <w:rPr>
          <w:rFonts w:ascii="Times New Roman" w:hAnsi="Times New Roman" w:cs="Times New Roman"/>
        </w:rPr>
        <w:t>close to 1.030</w:t>
      </w:r>
      <w:r w:rsidR="00341E35">
        <w:rPr>
          <w:rFonts w:ascii="Times New Roman" w:hAnsi="Times New Roman" w:cs="Times New Roman"/>
        </w:rPr>
        <w:t xml:space="preserve">, indicating the differences between their averages over the previous 12 months are </w:t>
      </w:r>
      <w:r w:rsidR="00186EA0">
        <w:rPr>
          <w:rFonts w:ascii="Times New Roman" w:hAnsi="Times New Roman" w:cs="Times New Roman"/>
        </w:rPr>
        <w:t>both around</w:t>
      </w:r>
      <w:r w:rsidR="00341E35">
        <w:rPr>
          <w:rFonts w:ascii="Times New Roman" w:hAnsi="Times New Roman" w:cs="Times New Roman"/>
        </w:rPr>
        <w:t xml:space="preserve"> </w:t>
      </w:r>
      <w:r w:rsidR="00186EA0">
        <w:rPr>
          <w:rFonts w:ascii="Times New Roman" w:hAnsi="Times New Roman" w:cs="Times New Roman"/>
        </w:rPr>
        <w:t>3.0</w:t>
      </w:r>
      <w:r w:rsidR="00341E35">
        <w:rPr>
          <w:rFonts w:ascii="Times New Roman" w:hAnsi="Times New Roman" w:cs="Times New Roman"/>
        </w:rPr>
        <w:t xml:space="preserve">%. </w:t>
      </w:r>
      <w:r w:rsidR="00186EA0">
        <w:rPr>
          <w:rFonts w:ascii="Times New Roman" w:hAnsi="Times New Roman" w:cs="Times New Roman"/>
        </w:rPr>
        <w:t>Besides</w:t>
      </w:r>
      <w:r w:rsidR="00341E35">
        <w:rPr>
          <w:rFonts w:ascii="Times New Roman" w:hAnsi="Times New Roman" w:cs="Times New Roman"/>
        </w:rPr>
        <w:t xml:space="preserve">, the variance in ABNR </w:t>
      </w:r>
      <w:r w:rsidR="00186EA0">
        <w:rPr>
          <w:rFonts w:ascii="Times New Roman" w:hAnsi="Times New Roman" w:cs="Times New Roman"/>
        </w:rPr>
        <w:t>and ABNR are similar as well, corresponding with 0.082 and 0.081.</w:t>
      </w:r>
    </w:p>
    <w:p w14:paraId="4DE6AD72" w14:textId="4EB25439" w:rsidR="006E75AA" w:rsidRPr="006E75AA" w:rsidRDefault="006E75AA" w:rsidP="006E75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r w:rsidR="00BE425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 w:rsidR="006142A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ummary statistics of return reversal intensity measures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1414"/>
        <w:gridCol w:w="1414"/>
        <w:gridCol w:w="1414"/>
        <w:gridCol w:w="1414"/>
        <w:gridCol w:w="1412"/>
      </w:tblGrid>
      <w:tr w:rsidR="006E75AA" w:rsidRPr="006E75AA" w14:paraId="0A98FDF5" w14:textId="77777777" w:rsidTr="00186EA0">
        <w:trPr>
          <w:trHeight w:val="334"/>
          <w:jc w:val="center"/>
        </w:trPr>
        <w:tc>
          <w:tcPr>
            <w:tcW w:w="745" w:type="pct"/>
            <w:shd w:val="clear" w:color="auto" w:fill="auto"/>
            <w:noWrap/>
            <w:vAlign w:val="center"/>
            <w:hideMark/>
          </w:tcPr>
          <w:p w14:paraId="3250AF44" w14:textId="77777777" w:rsidR="006E75AA" w:rsidRPr="006E75AA" w:rsidRDefault="006E75AA" w:rsidP="006E75A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14:ligatures w14:val="none"/>
              </w:rPr>
            </w:pP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5C607EE5" w14:textId="77777777" w:rsidR="006E75AA" w:rsidRPr="006E75AA" w:rsidRDefault="006E75AA" w:rsidP="006E75A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75A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7CF1040F" w14:textId="77777777" w:rsidR="006E75AA" w:rsidRPr="006E75AA" w:rsidRDefault="006E75AA" w:rsidP="006E75A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75A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4535B0BB" w14:textId="77777777" w:rsidR="006E75AA" w:rsidRPr="006E75AA" w:rsidRDefault="006E75AA" w:rsidP="006E75A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75A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37C9C462" w14:textId="77777777" w:rsidR="006E75AA" w:rsidRPr="006E75AA" w:rsidRDefault="006E75AA" w:rsidP="006E75A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75A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850" w:type="pct"/>
            <w:shd w:val="clear" w:color="auto" w:fill="auto"/>
            <w:noWrap/>
            <w:vAlign w:val="center"/>
            <w:hideMark/>
          </w:tcPr>
          <w:p w14:paraId="527FC442" w14:textId="77777777" w:rsidR="006E75AA" w:rsidRPr="006E75AA" w:rsidRDefault="006E75AA" w:rsidP="006E75A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75A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SD</w:t>
            </w:r>
          </w:p>
        </w:tc>
      </w:tr>
      <w:tr w:rsidR="00186EA0" w:rsidRPr="006E75AA" w14:paraId="4C86F018" w14:textId="77777777" w:rsidTr="00186EA0">
        <w:trPr>
          <w:trHeight w:val="334"/>
          <w:jc w:val="center"/>
        </w:trPr>
        <w:tc>
          <w:tcPr>
            <w:tcW w:w="745" w:type="pct"/>
            <w:shd w:val="clear" w:color="auto" w:fill="auto"/>
            <w:noWrap/>
            <w:vAlign w:val="center"/>
            <w:hideMark/>
          </w:tcPr>
          <w:p w14:paraId="2A535BA6" w14:textId="77777777" w:rsidR="00186EA0" w:rsidRPr="006E75AA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75A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NR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5AEFB942" w14:textId="33A680F0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0.261 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39A2FD88" w14:textId="33CE1971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0.263 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3CE51B1B" w14:textId="5BD7D26E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0.002 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3C4DA656" w14:textId="74225CC6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0.336 </w:t>
            </w:r>
          </w:p>
        </w:tc>
        <w:tc>
          <w:tcPr>
            <w:tcW w:w="850" w:type="pct"/>
            <w:shd w:val="clear" w:color="auto" w:fill="auto"/>
            <w:noWrap/>
            <w:vAlign w:val="center"/>
            <w:hideMark/>
          </w:tcPr>
          <w:p w14:paraId="09F30EAE" w14:textId="7EECC570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0.023 </w:t>
            </w:r>
          </w:p>
        </w:tc>
      </w:tr>
      <w:tr w:rsidR="00186EA0" w:rsidRPr="006E75AA" w14:paraId="37F96ACC" w14:textId="77777777" w:rsidTr="00186EA0">
        <w:trPr>
          <w:trHeight w:val="334"/>
          <w:jc w:val="center"/>
        </w:trPr>
        <w:tc>
          <w:tcPr>
            <w:tcW w:w="745" w:type="pct"/>
            <w:shd w:val="clear" w:color="auto" w:fill="auto"/>
            <w:noWrap/>
            <w:vAlign w:val="center"/>
            <w:hideMark/>
          </w:tcPr>
          <w:p w14:paraId="6FB59C1D" w14:textId="77777777" w:rsidR="00186EA0" w:rsidRPr="006E75AA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75A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ABNR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2532E4BF" w14:textId="51672D3B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1.036 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2C7E2F8E" w14:textId="560673BE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1.010 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7FF32EF4" w14:textId="39CF1CDE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0.975 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2F5D34B6" w14:textId="00D183C7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1.866 </w:t>
            </w:r>
          </w:p>
        </w:tc>
        <w:tc>
          <w:tcPr>
            <w:tcW w:w="850" w:type="pct"/>
            <w:shd w:val="clear" w:color="auto" w:fill="auto"/>
            <w:noWrap/>
            <w:vAlign w:val="center"/>
            <w:hideMark/>
          </w:tcPr>
          <w:p w14:paraId="25BBFD84" w14:textId="59943799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0.082 </w:t>
            </w:r>
          </w:p>
        </w:tc>
      </w:tr>
      <w:tr w:rsidR="00186EA0" w:rsidRPr="006E75AA" w14:paraId="35DC5594" w14:textId="77777777" w:rsidTr="00186EA0">
        <w:trPr>
          <w:trHeight w:val="334"/>
          <w:jc w:val="center"/>
        </w:trPr>
        <w:tc>
          <w:tcPr>
            <w:tcW w:w="745" w:type="pct"/>
            <w:shd w:val="clear" w:color="auto" w:fill="auto"/>
            <w:noWrap/>
            <w:vAlign w:val="center"/>
            <w:hideMark/>
          </w:tcPr>
          <w:p w14:paraId="7682F6A3" w14:textId="77777777" w:rsidR="00186EA0" w:rsidRPr="006E75AA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75A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PR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193CC5F3" w14:textId="15310AE2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0.229 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4B82C322" w14:textId="33AA189A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0.230 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7284D09B" w14:textId="55C26330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0.015 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6C43C1AB" w14:textId="1FA15C03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0.308 </w:t>
            </w:r>
          </w:p>
        </w:tc>
        <w:tc>
          <w:tcPr>
            <w:tcW w:w="850" w:type="pct"/>
            <w:shd w:val="clear" w:color="auto" w:fill="auto"/>
            <w:noWrap/>
            <w:vAlign w:val="center"/>
            <w:hideMark/>
          </w:tcPr>
          <w:p w14:paraId="7E69A498" w14:textId="7F835B51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0.025 </w:t>
            </w:r>
          </w:p>
        </w:tc>
      </w:tr>
      <w:tr w:rsidR="00186EA0" w:rsidRPr="006E75AA" w14:paraId="6388116A" w14:textId="77777777" w:rsidTr="00186EA0">
        <w:trPr>
          <w:trHeight w:val="334"/>
          <w:jc w:val="center"/>
        </w:trPr>
        <w:tc>
          <w:tcPr>
            <w:tcW w:w="745" w:type="pct"/>
            <w:shd w:val="clear" w:color="auto" w:fill="auto"/>
            <w:noWrap/>
            <w:vAlign w:val="center"/>
            <w:hideMark/>
          </w:tcPr>
          <w:p w14:paraId="60CBDA11" w14:textId="77777777" w:rsidR="00186EA0" w:rsidRPr="006E75AA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75A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ABPR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0779AD13" w14:textId="2920DAF6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1.028 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61F15EC8" w14:textId="0DF77458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1.003 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03CE174B" w14:textId="00E5DDEA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0.960 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14:paraId="14605CA9" w14:textId="5F885075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1.745 </w:t>
            </w:r>
          </w:p>
        </w:tc>
        <w:tc>
          <w:tcPr>
            <w:tcW w:w="850" w:type="pct"/>
            <w:shd w:val="clear" w:color="auto" w:fill="auto"/>
            <w:noWrap/>
            <w:vAlign w:val="center"/>
            <w:hideMark/>
          </w:tcPr>
          <w:p w14:paraId="4FCF6CA7" w14:textId="504B9322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0.081 </w:t>
            </w:r>
          </w:p>
        </w:tc>
      </w:tr>
    </w:tbl>
    <w:p w14:paraId="2138585B" w14:textId="54978668" w:rsidR="006E75AA" w:rsidRDefault="002765EE" w:rsidP="00547FE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BE4250">
        <w:rPr>
          <w:rFonts w:ascii="Times New Roman" w:hAnsi="Times New Roman" w:cs="Times New Roman"/>
        </w:rPr>
        <w:t>1</w:t>
      </w:r>
      <w:r w:rsidR="006142A8">
        <w:rPr>
          <w:rFonts w:ascii="Times New Roman" w:hAnsi="Times New Roman" w:cs="Times New Roman"/>
        </w:rPr>
        <w:t xml:space="preserve"> presents the contemporaneous correlations, first-order autocorrelations, and cross-order autocorrelations between </w:t>
      </w:r>
      <w:r w:rsidR="006142A8" w:rsidRPr="006E75AA">
        <w:rPr>
          <w:rFonts w:ascii="Times New Roman" w:hAnsi="Times New Roman" w:cs="Times New Roman"/>
        </w:rPr>
        <w:t>NR, ABNR, PR, and ABNR</w:t>
      </w:r>
      <w:r w:rsidR="006142A8">
        <w:rPr>
          <w:rFonts w:ascii="Times New Roman" w:hAnsi="Times New Roman" w:cs="Times New Roman"/>
        </w:rPr>
        <w:t xml:space="preserve">. </w:t>
      </w:r>
      <w:proofErr w:type="spellStart"/>
      <w:r w:rsidR="008B7129">
        <w:rPr>
          <w:rFonts w:ascii="Times New Roman" w:hAnsi="Times New Roman" w:cs="Times New Roman"/>
        </w:rPr>
        <w:t>Lead_NR</w:t>
      </w:r>
      <w:proofErr w:type="spellEnd"/>
      <w:r w:rsidR="008B7129">
        <w:rPr>
          <w:rFonts w:ascii="Times New Roman" w:hAnsi="Times New Roman" w:cs="Times New Roman"/>
        </w:rPr>
        <w:t xml:space="preserve">, </w:t>
      </w:r>
      <w:proofErr w:type="spellStart"/>
      <w:r w:rsidR="008B7129">
        <w:rPr>
          <w:rFonts w:ascii="Times New Roman" w:hAnsi="Times New Roman" w:cs="Times New Roman"/>
        </w:rPr>
        <w:t>Lead_ABNR</w:t>
      </w:r>
      <w:proofErr w:type="spellEnd"/>
      <w:r w:rsidR="008B7129">
        <w:rPr>
          <w:rFonts w:ascii="Times New Roman" w:hAnsi="Times New Roman" w:cs="Times New Roman"/>
        </w:rPr>
        <w:t xml:space="preserve">, </w:t>
      </w:r>
      <w:proofErr w:type="spellStart"/>
      <w:r w:rsidR="008B7129">
        <w:rPr>
          <w:rFonts w:ascii="Times New Roman" w:hAnsi="Times New Roman" w:cs="Times New Roman"/>
        </w:rPr>
        <w:t>Lead_PR</w:t>
      </w:r>
      <w:proofErr w:type="spellEnd"/>
      <w:r w:rsidR="008B7129">
        <w:rPr>
          <w:rFonts w:ascii="Times New Roman" w:hAnsi="Times New Roman" w:cs="Times New Roman"/>
        </w:rPr>
        <w:t xml:space="preserve"> and </w:t>
      </w:r>
      <w:proofErr w:type="spellStart"/>
      <w:r w:rsidR="008B7129">
        <w:rPr>
          <w:rFonts w:ascii="Times New Roman" w:hAnsi="Times New Roman" w:cs="Times New Roman"/>
        </w:rPr>
        <w:t>Lead_ABPR</w:t>
      </w:r>
      <w:proofErr w:type="spellEnd"/>
      <w:r w:rsidR="008B7129">
        <w:rPr>
          <w:rFonts w:ascii="Times New Roman" w:hAnsi="Times New Roman" w:cs="Times New Roman"/>
        </w:rPr>
        <w:t xml:space="preserve"> represent NR, ABNR, PR, and ABPR in next calendar month, respectively. </w:t>
      </w:r>
      <w:r w:rsidR="006142A8">
        <w:rPr>
          <w:rFonts w:ascii="Times New Roman" w:hAnsi="Times New Roman" w:cs="Times New Roman"/>
        </w:rPr>
        <w:t xml:space="preserve">The correlations are calculated cross-sectionally from the time-series average of each stock. NR (PR) and ABNR (ABPR) are </w:t>
      </w:r>
      <w:r w:rsidR="00547FE3">
        <w:rPr>
          <w:rFonts w:ascii="Times New Roman" w:hAnsi="Times New Roman" w:cs="Times New Roman"/>
        </w:rPr>
        <w:t>negatively correlated, while NR (ABNR) and PR (ABPR) are highly positively correlated, with correlation of 0.3</w:t>
      </w:r>
      <w:r w:rsidR="008B7129">
        <w:rPr>
          <w:rFonts w:ascii="Times New Roman" w:hAnsi="Times New Roman" w:cs="Times New Roman"/>
        </w:rPr>
        <w:t>68</w:t>
      </w:r>
      <w:r w:rsidR="00547FE3">
        <w:rPr>
          <w:rFonts w:ascii="Times New Roman" w:hAnsi="Times New Roman" w:cs="Times New Roman"/>
        </w:rPr>
        <w:t xml:space="preserve"> (0.9</w:t>
      </w:r>
      <w:r w:rsidR="008B7129">
        <w:rPr>
          <w:rFonts w:ascii="Times New Roman" w:hAnsi="Times New Roman" w:cs="Times New Roman"/>
        </w:rPr>
        <w:t>58</w:t>
      </w:r>
      <w:r w:rsidR="00547FE3">
        <w:rPr>
          <w:rFonts w:ascii="Times New Roman" w:hAnsi="Times New Roman" w:cs="Times New Roman"/>
        </w:rPr>
        <w:t>). The first-order autocorrelations for all four variables are close to 1, ranging from 0.99</w:t>
      </w:r>
      <w:r w:rsidR="008B7129">
        <w:rPr>
          <w:rFonts w:ascii="Times New Roman" w:hAnsi="Times New Roman" w:cs="Times New Roman"/>
        </w:rPr>
        <w:t>2</w:t>
      </w:r>
      <w:r w:rsidR="00547FE3">
        <w:rPr>
          <w:rFonts w:ascii="Times New Roman" w:hAnsi="Times New Roman" w:cs="Times New Roman"/>
        </w:rPr>
        <w:t xml:space="preserve"> to 0.999, indicating significant persistence in both the abnormal level of the return reversal intensity and the level itself.</w:t>
      </w:r>
    </w:p>
    <w:p w14:paraId="1A8E07BB" w14:textId="751AAD9D" w:rsidR="006142A8" w:rsidRDefault="006142A8" w:rsidP="006142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BE425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Correlations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861"/>
        <w:gridCol w:w="861"/>
        <w:gridCol w:w="861"/>
        <w:gridCol w:w="983"/>
        <w:gridCol w:w="1072"/>
        <w:gridCol w:w="1377"/>
        <w:gridCol w:w="914"/>
      </w:tblGrid>
      <w:tr w:rsidR="002765EE" w:rsidRPr="002765EE" w14:paraId="729483D6" w14:textId="77777777" w:rsidTr="00186EA0">
        <w:trPr>
          <w:trHeight w:val="329"/>
          <w:jc w:val="center"/>
        </w:trPr>
        <w:tc>
          <w:tcPr>
            <w:tcW w:w="829" w:type="pct"/>
            <w:shd w:val="clear" w:color="auto" w:fill="auto"/>
            <w:noWrap/>
            <w:vAlign w:val="center"/>
            <w:hideMark/>
          </w:tcPr>
          <w:p w14:paraId="4ED23BD7" w14:textId="77777777" w:rsidR="002765EE" w:rsidRPr="002765EE" w:rsidRDefault="002765EE" w:rsidP="002765E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14:ligatures w14:val="none"/>
              </w:rPr>
            </w:pP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724E7A59" w14:textId="77777777" w:rsidR="002765EE" w:rsidRPr="002765EE" w:rsidRDefault="002765EE" w:rsidP="002765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65E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NR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47B8A0F7" w14:textId="77777777" w:rsidR="002765EE" w:rsidRPr="002765EE" w:rsidRDefault="002765EE" w:rsidP="002765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65E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ABNR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11040EA8" w14:textId="77777777" w:rsidR="002765EE" w:rsidRPr="002765EE" w:rsidRDefault="002765EE" w:rsidP="002765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65E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PR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63B2FE39" w14:textId="77777777" w:rsidR="002765EE" w:rsidRPr="002765EE" w:rsidRDefault="002765EE" w:rsidP="002765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65E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ABPR</w:t>
            </w:r>
          </w:p>
        </w:tc>
        <w:tc>
          <w:tcPr>
            <w:tcW w:w="645" w:type="pct"/>
            <w:shd w:val="clear" w:color="auto" w:fill="auto"/>
            <w:noWrap/>
            <w:vAlign w:val="center"/>
            <w:hideMark/>
          </w:tcPr>
          <w:p w14:paraId="64CFBD93" w14:textId="77777777" w:rsidR="002765EE" w:rsidRPr="002765EE" w:rsidRDefault="002765EE" w:rsidP="002765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765E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Lead_NR</w:t>
            </w:r>
            <w:proofErr w:type="spellEnd"/>
          </w:p>
        </w:tc>
        <w:tc>
          <w:tcPr>
            <w:tcW w:w="829" w:type="pct"/>
            <w:shd w:val="clear" w:color="auto" w:fill="auto"/>
            <w:noWrap/>
            <w:vAlign w:val="center"/>
            <w:hideMark/>
          </w:tcPr>
          <w:p w14:paraId="10A8ADB0" w14:textId="77777777" w:rsidR="002765EE" w:rsidRPr="002765EE" w:rsidRDefault="002765EE" w:rsidP="002765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765E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Lead_ABNR</w:t>
            </w:r>
            <w:proofErr w:type="spellEnd"/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321BE106" w14:textId="77777777" w:rsidR="002765EE" w:rsidRPr="002765EE" w:rsidRDefault="002765EE" w:rsidP="002765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765E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Lead_R</w:t>
            </w:r>
            <w:proofErr w:type="spellEnd"/>
          </w:p>
        </w:tc>
      </w:tr>
      <w:tr w:rsidR="00186EA0" w:rsidRPr="002765EE" w14:paraId="03491E33" w14:textId="77777777" w:rsidTr="00186EA0">
        <w:trPr>
          <w:trHeight w:val="329"/>
          <w:jc w:val="center"/>
        </w:trPr>
        <w:tc>
          <w:tcPr>
            <w:tcW w:w="829" w:type="pct"/>
            <w:shd w:val="clear" w:color="auto" w:fill="auto"/>
            <w:noWrap/>
            <w:vAlign w:val="center"/>
            <w:hideMark/>
          </w:tcPr>
          <w:p w14:paraId="46928EB8" w14:textId="77777777" w:rsidR="00186EA0" w:rsidRPr="002765EE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65E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ABNR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7F7A0AEC" w14:textId="3573ED12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-0.476 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0801F706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4E6E5B40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7AAF7752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5" w:type="pct"/>
            <w:shd w:val="clear" w:color="auto" w:fill="auto"/>
            <w:noWrap/>
            <w:vAlign w:val="center"/>
            <w:hideMark/>
          </w:tcPr>
          <w:p w14:paraId="38817329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pct"/>
            <w:shd w:val="clear" w:color="auto" w:fill="auto"/>
            <w:noWrap/>
            <w:vAlign w:val="center"/>
            <w:hideMark/>
          </w:tcPr>
          <w:p w14:paraId="592BB4CC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7CC3EC31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86EA0" w:rsidRPr="002765EE" w14:paraId="017CA70A" w14:textId="77777777" w:rsidTr="00186EA0">
        <w:trPr>
          <w:trHeight w:val="329"/>
          <w:jc w:val="center"/>
        </w:trPr>
        <w:tc>
          <w:tcPr>
            <w:tcW w:w="829" w:type="pct"/>
            <w:shd w:val="clear" w:color="auto" w:fill="auto"/>
            <w:noWrap/>
            <w:vAlign w:val="center"/>
            <w:hideMark/>
          </w:tcPr>
          <w:p w14:paraId="27182A86" w14:textId="77777777" w:rsidR="00186EA0" w:rsidRPr="002765EE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65E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PR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65241FA9" w14:textId="1F5C2DDA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0.368 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35DF8417" w14:textId="79A08B73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-0.494 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5ADB3D32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27C79503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5" w:type="pct"/>
            <w:shd w:val="clear" w:color="auto" w:fill="auto"/>
            <w:noWrap/>
            <w:vAlign w:val="center"/>
            <w:hideMark/>
          </w:tcPr>
          <w:p w14:paraId="2EAC5282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pct"/>
            <w:shd w:val="clear" w:color="auto" w:fill="auto"/>
            <w:noWrap/>
            <w:vAlign w:val="center"/>
            <w:hideMark/>
          </w:tcPr>
          <w:p w14:paraId="23E60478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4A462EC2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86EA0" w:rsidRPr="002765EE" w14:paraId="6BD05956" w14:textId="77777777" w:rsidTr="00186EA0">
        <w:trPr>
          <w:trHeight w:val="329"/>
          <w:jc w:val="center"/>
        </w:trPr>
        <w:tc>
          <w:tcPr>
            <w:tcW w:w="829" w:type="pct"/>
            <w:shd w:val="clear" w:color="auto" w:fill="auto"/>
            <w:noWrap/>
            <w:vAlign w:val="center"/>
            <w:hideMark/>
          </w:tcPr>
          <w:p w14:paraId="2620E6F4" w14:textId="77777777" w:rsidR="00186EA0" w:rsidRPr="002765EE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65E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ABPR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5748DA95" w14:textId="2CAA6036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-0.456 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20F67776" w14:textId="04FD8B85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0.958 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2A51A643" w14:textId="1E9CB1E9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-0.485 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19641B41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45" w:type="pct"/>
            <w:shd w:val="clear" w:color="auto" w:fill="auto"/>
            <w:noWrap/>
            <w:vAlign w:val="center"/>
            <w:hideMark/>
          </w:tcPr>
          <w:p w14:paraId="307647F5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pct"/>
            <w:shd w:val="clear" w:color="auto" w:fill="auto"/>
            <w:noWrap/>
            <w:vAlign w:val="center"/>
            <w:hideMark/>
          </w:tcPr>
          <w:p w14:paraId="44B35673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2F084874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86EA0" w:rsidRPr="002765EE" w14:paraId="5559C2BA" w14:textId="77777777" w:rsidTr="00186EA0">
        <w:trPr>
          <w:trHeight w:val="329"/>
          <w:jc w:val="center"/>
        </w:trPr>
        <w:tc>
          <w:tcPr>
            <w:tcW w:w="829" w:type="pct"/>
            <w:shd w:val="clear" w:color="auto" w:fill="auto"/>
            <w:noWrap/>
            <w:vAlign w:val="center"/>
            <w:hideMark/>
          </w:tcPr>
          <w:p w14:paraId="33003839" w14:textId="77777777" w:rsidR="00186EA0" w:rsidRPr="002765EE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765E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Lead_NR</w:t>
            </w:r>
            <w:proofErr w:type="spellEnd"/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2A799F7A" w14:textId="55FB599C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0.999 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16E7CAB6" w14:textId="549F877B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-0.457 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55587538" w14:textId="0D86F16C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0.361 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3D95BBA9" w14:textId="4AD63904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-0.437 </w:t>
            </w:r>
          </w:p>
        </w:tc>
        <w:tc>
          <w:tcPr>
            <w:tcW w:w="645" w:type="pct"/>
            <w:shd w:val="clear" w:color="auto" w:fill="auto"/>
            <w:noWrap/>
            <w:vAlign w:val="center"/>
            <w:hideMark/>
          </w:tcPr>
          <w:p w14:paraId="344D25D3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pct"/>
            <w:shd w:val="clear" w:color="auto" w:fill="auto"/>
            <w:noWrap/>
            <w:vAlign w:val="center"/>
            <w:hideMark/>
          </w:tcPr>
          <w:p w14:paraId="0EB0EAEB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3430F5FD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86EA0" w:rsidRPr="002765EE" w14:paraId="2AB47CEF" w14:textId="77777777" w:rsidTr="00186EA0">
        <w:trPr>
          <w:trHeight w:val="329"/>
          <w:jc w:val="center"/>
        </w:trPr>
        <w:tc>
          <w:tcPr>
            <w:tcW w:w="829" w:type="pct"/>
            <w:shd w:val="clear" w:color="auto" w:fill="auto"/>
            <w:noWrap/>
            <w:vAlign w:val="center"/>
            <w:hideMark/>
          </w:tcPr>
          <w:p w14:paraId="6F902EE9" w14:textId="77777777" w:rsidR="00186EA0" w:rsidRPr="002765EE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765E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Lead_ABNR</w:t>
            </w:r>
            <w:proofErr w:type="spellEnd"/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09649C94" w14:textId="5E3523D9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-0.500 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73D79E06" w14:textId="0A5848CB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0.992 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31D6383A" w14:textId="63BE33CB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-0.506 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0237E037" w14:textId="30D6D3FE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0.948 </w:t>
            </w:r>
          </w:p>
        </w:tc>
        <w:tc>
          <w:tcPr>
            <w:tcW w:w="645" w:type="pct"/>
            <w:shd w:val="clear" w:color="auto" w:fill="auto"/>
            <w:noWrap/>
            <w:vAlign w:val="center"/>
            <w:hideMark/>
          </w:tcPr>
          <w:p w14:paraId="34A15AF9" w14:textId="66524A29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-0.480 </w:t>
            </w:r>
          </w:p>
        </w:tc>
        <w:tc>
          <w:tcPr>
            <w:tcW w:w="829" w:type="pct"/>
            <w:shd w:val="clear" w:color="auto" w:fill="auto"/>
            <w:noWrap/>
            <w:vAlign w:val="center"/>
            <w:hideMark/>
          </w:tcPr>
          <w:p w14:paraId="2D2BD6C1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05DA81DC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86EA0" w:rsidRPr="002765EE" w14:paraId="25B420DF" w14:textId="77777777" w:rsidTr="00186EA0">
        <w:trPr>
          <w:trHeight w:val="329"/>
          <w:jc w:val="center"/>
        </w:trPr>
        <w:tc>
          <w:tcPr>
            <w:tcW w:w="829" w:type="pct"/>
            <w:shd w:val="clear" w:color="auto" w:fill="auto"/>
            <w:noWrap/>
            <w:vAlign w:val="center"/>
            <w:hideMark/>
          </w:tcPr>
          <w:p w14:paraId="6929B683" w14:textId="77777777" w:rsidR="00186EA0" w:rsidRPr="002765EE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765E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Lead_R</w:t>
            </w:r>
            <w:proofErr w:type="spellEnd"/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004BA9B1" w14:textId="11CD4948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0.360 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71B9A691" w14:textId="6E2F5F74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-0.471 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7A37FC83" w14:textId="53778490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0.999 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50DF3522" w14:textId="542AA43A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-0.461 </w:t>
            </w:r>
          </w:p>
        </w:tc>
        <w:tc>
          <w:tcPr>
            <w:tcW w:w="645" w:type="pct"/>
            <w:shd w:val="clear" w:color="auto" w:fill="auto"/>
            <w:noWrap/>
            <w:vAlign w:val="center"/>
            <w:hideMark/>
          </w:tcPr>
          <w:p w14:paraId="1E0649D2" w14:textId="12D6ADC2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0.353 </w:t>
            </w:r>
          </w:p>
        </w:tc>
        <w:tc>
          <w:tcPr>
            <w:tcW w:w="829" w:type="pct"/>
            <w:shd w:val="clear" w:color="auto" w:fill="auto"/>
            <w:noWrap/>
            <w:vAlign w:val="center"/>
            <w:hideMark/>
          </w:tcPr>
          <w:p w14:paraId="724AC96A" w14:textId="075BC566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-0.485 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3A1DD654" w14:textId="77777777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186EA0" w:rsidRPr="002765EE" w14:paraId="67DD10E7" w14:textId="77777777" w:rsidTr="00186EA0">
        <w:trPr>
          <w:trHeight w:val="329"/>
          <w:jc w:val="center"/>
        </w:trPr>
        <w:tc>
          <w:tcPr>
            <w:tcW w:w="829" w:type="pct"/>
            <w:shd w:val="clear" w:color="auto" w:fill="auto"/>
            <w:noWrap/>
            <w:vAlign w:val="center"/>
            <w:hideMark/>
          </w:tcPr>
          <w:p w14:paraId="0A5DC203" w14:textId="77777777" w:rsidR="00186EA0" w:rsidRPr="002765EE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765E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Lead_ABPR</w:t>
            </w:r>
            <w:proofErr w:type="spellEnd"/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49E8AD01" w14:textId="1D0D3946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-0.458 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7E41D6E0" w14:textId="7CE24A92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0.959 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3EDD5592" w14:textId="78703387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-0.492 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4C28A82A" w14:textId="5420454C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0.997 </w:t>
            </w:r>
          </w:p>
        </w:tc>
        <w:tc>
          <w:tcPr>
            <w:tcW w:w="645" w:type="pct"/>
            <w:shd w:val="clear" w:color="auto" w:fill="auto"/>
            <w:noWrap/>
            <w:vAlign w:val="center"/>
            <w:hideMark/>
          </w:tcPr>
          <w:p w14:paraId="4EC84333" w14:textId="66418EF5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-0.440 </w:t>
            </w:r>
          </w:p>
        </w:tc>
        <w:tc>
          <w:tcPr>
            <w:tcW w:w="829" w:type="pct"/>
            <w:shd w:val="clear" w:color="auto" w:fill="auto"/>
            <w:noWrap/>
            <w:vAlign w:val="center"/>
            <w:hideMark/>
          </w:tcPr>
          <w:p w14:paraId="73C6E39A" w14:textId="7C0799AB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0.952 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30167040" w14:textId="570D1713" w:rsidR="00186EA0" w:rsidRPr="00186EA0" w:rsidRDefault="00186EA0" w:rsidP="00186E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6E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-0.466 </w:t>
            </w:r>
          </w:p>
        </w:tc>
      </w:tr>
    </w:tbl>
    <w:p w14:paraId="6C11578B" w14:textId="77777777" w:rsidR="002765EE" w:rsidRPr="006E75AA" w:rsidRDefault="002765EE">
      <w:pPr>
        <w:rPr>
          <w:rFonts w:ascii="Times New Roman" w:hAnsi="Times New Roman" w:cs="Times New Roman"/>
        </w:rPr>
      </w:pPr>
    </w:p>
    <w:sectPr w:rsidR="002765EE" w:rsidRPr="006E7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D3BE6"/>
    <w:multiLevelType w:val="hybridMultilevel"/>
    <w:tmpl w:val="C304278A"/>
    <w:lvl w:ilvl="0" w:tplc="21AADD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A2166D1"/>
    <w:multiLevelType w:val="hybridMultilevel"/>
    <w:tmpl w:val="E4FAF3E8"/>
    <w:lvl w:ilvl="0" w:tplc="95FC5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1311373">
    <w:abstractNumId w:val="1"/>
  </w:num>
  <w:num w:numId="2" w16cid:durableId="37755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AA"/>
    <w:rsid w:val="0010526D"/>
    <w:rsid w:val="00186EA0"/>
    <w:rsid w:val="002765EE"/>
    <w:rsid w:val="00341E35"/>
    <w:rsid w:val="00547FE3"/>
    <w:rsid w:val="006142A8"/>
    <w:rsid w:val="006E75AA"/>
    <w:rsid w:val="006F3698"/>
    <w:rsid w:val="008B7129"/>
    <w:rsid w:val="00BE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E43FA"/>
  <w15:chartTrackingRefBased/>
  <w15:docId w15:val="{4D049924-AD72-3B43-BF88-6E93C842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26D"/>
    <w:pPr>
      <w:ind w:firstLineChars="200" w:firstLine="420"/>
    </w:pPr>
  </w:style>
  <w:style w:type="table" w:styleId="a4">
    <w:name w:val="Table Grid"/>
    <w:basedOn w:val="a1"/>
    <w:uiPriority w:val="39"/>
    <w:rsid w:val="00BE4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E42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F885EA-5958-0C40-90FE-AC717D211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Yihan</dc:creator>
  <cp:keywords/>
  <dc:description/>
  <cp:lastModifiedBy>Li, Yihan</cp:lastModifiedBy>
  <cp:revision>2</cp:revision>
  <dcterms:created xsi:type="dcterms:W3CDTF">2023-11-23T19:37:00Z</dcterms:created>
  <dcterms:modified xsi:type="dcterms:W3CDTF">2023-11-24T03:47:00Z</dcterms:modified>
</cp:coreProperties>
</file>