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9FC7" w14:textId="77777777" w:rsidR="00F72BA1" w:rsidRDefault="00000000">
      <w:pPr>
        <w:spacing w:after="80"/>
        <w:jc w:val="center"/>
      </w:pPr>
      <w:r>
        <w:rPr>
          <w:b/>
          <w:bCs/>
          <w:sz w:val="32"/>
          <w:szCs w:val="32"/>
        </w:rPr>
        <w:t>HRV Analysis from a Polar H10 CSV — MATLAB Implementation Notes</w:t>
      </w:r>
    </w:p>
    <w:p w14:paraId="10EB8D1B" w14:textId="77777777" w:rsidR="00F72BA1" w:rsidRDefault="00000000">
      <w:pPr>
        <w:spacing w:after="320"/>
        <w:jc w:val="center"/>
      </w:pPr>
      <w:r>
        <w:rPr>
          <w:i/>
          <w:iCs/>
        </w:rPr>
        <w:t xml:space="preserve">Welch PSD with VLF/LF/HF bands · </w:t>
      </w:r>
      <w:proofErr w:type="spellStart"/>
      <w:r>
        <w:rPr>
          <w:i/>
          <w:iCs/>
        </w:rPr>
        <w:t>Poincaré</w:t>
      </w:r>
      <w:proofErr w:type="spellEnd"/>
      <w:r>
        <w:rPr>
          <w:i/>
          <w:iCs/>
        </w:rPr>
        <w:t xml:space="preserve"> SD1/SD2 · DFA α₁</w:t>
      </w:r>
    </w:p>
    <w:p w14:paraId="3791095E" w14:textId="77777777" w:rsidR="00F72BA1" w:rsidRDefault="00000000">
      <w:pPr>
        <w:pStyle w:val="Heading1"/>
      </w:pPr>
      <w:r>
        <w:t>Calling the program</w:t>
      </w:r>
    </w:p>
    <w:p w14:paraId="52213CB4" w14:textId="77777777" w:rsidR="00F72BA1" w:rsidRDefault="00000000">
      <w:pPr>
        <w:spacing w:after="140"/>
        <w:jc w:val="both"/>
      </w:pPr>
      <w:r>
        <w:t xml:space="preserve">Call the function as </w:t>
      </w:r>
      <w:r>
        <w:rPr>
          <w:rFonts w:ascii="Consolas" w:eastAsia="Consolas" w:hAnsi="Consolas" w:cs="Consolas"/>
          <w:sz w:val="20"/>
          <w:szCs w:val="20"/>
        </w:rPr>
        <w:t xml:space="preserve">results = </w:t>
      </w:r>
      <w:proofErr w:type="spellStart"/>
      <w:r>
        <w:rPr>
          <w:rFonts w:ascii="Consolas" w:eastAsia="Consolas" w:hAnsi="Consolas" w:cs="Consolas"/>
          <w:sz w:val="20"/>
          <w:szCs w:val="20"/>
        </w:rPr>
        <w:t>hrv_</w:t>
      </w:r>
      <w:proofErr w:type="gramStart"/>
      <w:r>
        <w:rPr>
          <w:rFonts w:ascii="Consolas" w:eastAsia="Consolas" w:hAnsi="Consolas" w:cs="Consolas"/>
          <w:sz w:val="20"/>
          <w:szCs w:val="20"/>
        </w:rPr>
        <w:t>analysis</w:t>
      </w:r>
      <w:proofErr w:type="spellEnd"/>
      <w:r>
        <w:rPr>
          <w:rFonts w:ascii="Consolas" w:eastAsia="Consolas" w:hAnsi="Consolas" w:cs="Consolas"/>
          <w:sz w:val="20"/>
          <w:szCs w:val="20"/>
        </w:rPr>
        <w:t>(</w:t>
      </w:r>
      <w:proofErr w:type="gramEnd"/>
      <w:r>
        <w:rPr>
          <w:rFonts w:ascii="Consolas" w:eastAsia="Consolas" w:hAnsi="Consolas" w:cs="Consolas"/>
          <w:sz w:val="20"/>
          <w:szCs w:val="20"/>
        </w:rPr>
        <w:t>'your_h10_export.csv'</w:t>
      </w:r>
      <w:proofErr w:type="gramStart"/>
      <w:r>
        <w:rPr>
          <w:rFonts w:ascii="Consolas" w:eastAsia="Consolas" w:hAnsi="Consolas" w:cs="Consolas"/>
          <w:sz w:val="20"/>
          <w:szCs w:val="20"/>
        </w:rPr>
        <w:t>);</w:t>
      </w:r>
      <w:r>
        <w:t>.</w:t>
      </w:r>
      <w:proofErr w:type="gramEnd"/>
      <w:r>
        <w:t xml:space="preserve"> It auto-detects the RR column (any column name containing </w:t>
      </w:r>
      <w:proofErr w:type="spellStart"/>
      <w:r>
        <w:rPr>
          <w:rFonts w:ascii="Consolas" w:eastAsia="Consolas" w:hAnsi="Consolas" w:cs="Consolas"/>
          <w:sz w:val="20"/>
          <w:szCs w:val="20"/>
        </w:rPr>
        <w:t>rr</w:t>
      </w:r>
      <w:proofErr w:type="spellEnd"/>
      <w:r>
        <w:t xml:space="preserve">), applies a two-stage NN filter (300–2000 </w:t>
      </w:r>
      <w:proofErr w:type="spellStart"/>
      <w:r>
        <w:t>ms</w:t>
      </w:r>
      <w:proofErr w:type="spellEnd"/>
      <w:r>
        <w:t xml:space="preserve"> physiological gate, then a 20 % successive-difference rejection), and returns </w:t>
      </w:r>
      <w:proofErr w:type="gramStart"/>
      <w:r>
        <w:t>a results</w:t>
      </w:r>
      <w:proofErr w:type="gramEnd"/>
      <w:r>
        <w:t xml:space="preserve"> struct plus four figures: the NN tachogram, the Welch PSD with shaded VLF/LF/HF bands, the </w:t>
      </w:r>
      <w:proofErr w:type="spellStart"/>
      <w:r>
        <w:t>Poincaré</w:t>
      </w:r>
      <w:proofErr w:type="spellEnd"/>
      <w:r>
        <w:t xml:space="preserve"> plot with the SD1×SD2 ellipse, and the log-log DFA fit.</w:t>
      </w:r>
    </w:p>
    <w:p w14:paraId="6022B243" w14:textId="77777777" w:rsidR="00F72BA1" w:rsidRDefault="00000000">
      <w:pPr>
        <w:spacing w:after="140"/>
        <w:jc w:val="both"/>
      </w:pPr>
      <w:r>
        <w:t xml:space="preserve">All defaults can be overridden by passing an </w:t>
      </w:r>
      <w:r>
        <w:rPr>
          <w:rFonts w:ascii="Consolas" w:eastAsia="Consolas" w:hAnsi="Consolas" w:cs="Consolas"/>
          <w:sz w:val="20"/>
          <w:szCs w:val="20"/>
        </w:rPr>
        <w:t>opts</w:t>
      </w:r>
      <w:r>
        <w:t xml:space="preserve"> struct as a second argument — see the function header for the full list. The following sections explain the design choices that materially affect the numerical results, framed in the control-system terms that fit this signal best.</w:t>
      </w:r>
    </w:p>
    <w:p w14:paraId="2E1D8B42" w14:textId="77777777" w:rsidR="00F72BA1" w:rsidRDefault="00000000">
      <w:pPr>
        <w:pStyle w:val="Heading1"/>
      </w:pPr>
      <w:r>
        <w:t>1. Event sampling and resampling for Welch</w:t>
      </w:r>
    </w:p>
    <w:p w14:paraId="3E74316D" w14:textId="77777777" w:rsidR="00F72BA1" w:rsidRDefault="00000000">
      <w:pPr>
        <w:spacing w:after="140"/>
        <w:jc w:val="both"/>
      </w:pPr>
      <w:r>
        <w:t>The RR series is an event-sampled signal — one sample per beat — so before Welch the signal is resampled onto a uniform 4 Hz grid with shape-preserving cubic interpolation (</w:t>
      </w:r>
      <w:proofErr w:type="spellStart"/>
      <w:r>
        <w:rPr>
          <w:rFonts w:ascii="Consolas" w:eastAsia="Consolas" w:hAnsi="Consolas" w:cs="Consolas"/>
          <w:sz w:val="20"/>
          <w:szCs w:val="20"/>
        </w:rPr>
        <w:t>pchip</w:t>
      </w:r>
      <w:proofErr w:type="spellEnd"/>
      <w:r>
        <w:t xml:space="preserve">). 4 Hz keeps HF (≤ 0.40 Hz) comfortably below Nyquist while keeping the segment short enough that any single ectopic doesn't dominate. The default Welch configuration is a 256-second Hann segment with 50 % overlap; you need at least roughly 300 s of recording for the VLF band to mean anything, so reduce </w:t>
      </w:r>
      <w:proofErr w:type="spellStart"/>
      <w:proofErr w:type="gramStart"/>
      <w:r>
        <w:rPr>
          <w:rFonts w:ascii="Consolas" w:eastAsia="Consolas" w:hAnsi="Consolas" w:cs="Consolas"/>
          <w:sz w:val="20"/>
          <w:szCs w:val="20"/>
        </w:rPr>
        <w:t>opts.windowSec</w:t>
      </w:r>
      <w:proofErr w:type="spellEnd"/>
      <w:proofErr w:type="gramEnd"/>
      <w:r>
        <w:t xml:space="preserve"> for shorter records. The PSD is returned in ms²/Hz, so the band integrals computed with </w:t>
      </w:r>
      <w:proofErr w:type="spellStart"/>
      <w:r>
        <w:rPr>
          <w:rFonts w:ascii="Consolas" w:eastAsia="Consolas" w:hAnsi="Consolas" w:cs="Consolas"/>
          <w:sz w:val="20"/>
          <w:szCs w:val="20"/>
        </w:rPr>
        <w:t>trapz</w:t>
      </w:r>
      <w:proofErr w:type="spellEnd"/>
      <w:r>
        <w:t xml:space="preserve"> are in ms² — the Task Force (1996) convention.</w:t>
      </w:r>
    </w:p>
    <w:p w14:paraId="0A990342" w14:textId="77777777" w:rsidR="00F72BA1" w:rsidRDefault="00000000">
      <w:pPr>
        <w:pStyle w:val="Heading1"/>
      </w:pPr>
      <w:r>
        <w:t>2. Detrending before the FFT</w:t>
      </w:r>
    </w:p>
    <w:p w14:paraId="2B1EBA98" w14:textId="77777777" w:rsidR="00F72BA1" w:rsidRDefault="00000000">
      <w:pPr>
        <w:spacing w:after="140"/>
        <w:jc w:val="both"/>
      </w:pPr>
      <w:proofErr w:type="gramStart"/>
      <w:r>
        <w:rPr>
          <w:rFonts w:ascii="Consolas" w:eastAsia="Consolas" w:hAnsi="Consolas" w:cs="Consolas"/>
          <w:sz w:val="20"/>
          <w:szCs w:val="20"/>
        </w:rPr>
        <w:t>detrend(</w:t>
      </w:r>
      <w:proofErr w:type="spellStart"/>
      <w:proofErr w:type="gramEnd"/>
      <w:r>
        <w:rPr>
          <w:rFonts w:ascii="Consolas" w:eastAsia="Consolas" w:hAnsi="Consolas" w:cs="Consolas"/>
          <w:sz w:val="20"/>
          <w:szCs w:val="20"/>
        </w:rPr>
        <w:t>rru</w:t>
      </w:r>
      <w:proofErr w:type="spellEnd"/>
      <w:r>
        <w:rPr>
          <w:rFonts w:ascii="Consolas" w:eastAsia="Consolas" w:hAnsi="Consolas" w:cs="Consolas"/>
          <w:sz w:val="20"/>
          <w:szCs w:val="20"/>
        </w:rPr>
        <w:t>, 1)</w:t>
      </w:r>
      <w:r>
        <w:t xml:space="preserve"> removes the linear DC ramp before the FFT. Without it, the slow drift caused by baroreflex coupling and circadian effects smears across the spectrum and inflates VLF artifactually. If you want to see the raw VLF, pass </w:t>
      </w:r>
      <w:proofErr w:type="spellStart"/>
      <w:proofErr w:type="gramStart"/>
      <w:r>
        <w:rPr>
          <w:rFonts w:ascii="Consolas" w:eastAsia="Consolas" w:hAnsi="Consolas" w:cs="Consolas"/>
          <w:sz w:val="20"/>
          <w:szCs w:val="20"/>
        </w:rPr>
        <w:t>opts.detrend</w:t>
      </w:r>
      <w:proofErr w:type="spellEnd"/>
      <w:proofErr w:type="gramEnd"/>
      <w:r>
        <w:rPr>
          <w:rFonts w:ascii="Consolas" w:eastAsia="Consolas" w:hAnsi="Consolas" w:cs="Consolas"/>
          <w:sz w:val="20"/>
          <w:szCs w:val="20"/>
        </w:rPr>
        <w:t xml:space="preserve"> = 'mean'</w:t>
      </w:r>
      <w:r>
        <w:t xml:space="preserve"> — that subtracts only the mean and lets the slow components remain, which can be useful when you specifically want VLF morphology.</w:t>
      </w:r>
    </w:p>
    <w:p w14:paraId="54E914DC" w14:textId="77777777" w:rsidR="00F72BA1" w:rsidRDefault="00000000">
      <w:pPr>
        <w:pStyle w:val="Heading1"/>
      </w:pPr>
      <w:r>
        <w:t xml:space="preserve">3. </w:t>
      </w:r>
      <w:proofErr w:type="spellStart"/>
      <w:r>
        <w:t>Poincaré</w:t>
      </w:r>
      <w:proofErr w:type="spellEnd"/>
      <w:r>
        <w:t xml:space="preserve"> SD1 / SD2</w:t>
      </w:r>
    </w:p>
    <w:p w14:paraId="0CD22C3E" w14:textId="77777777" w:rsidR="00F72BA1" w:rsidRDefault="00000000">
      <w:pPr>
        <w:spacing w:after="140"/>
        <w:jc w:val="both"/>
      </w:pPr>
      <w:r>
        <w:t xml:space="preserve">The </w:t>
      </w:r>
      <w:proofErr w:type="spellStart"/>
      <w:r>
        <w:t>Poincaré</w:t>
      </w:r>
      <w:proofErr w:type="spellEnd"/>
      <w:r>
        <w:t xml:space="preserve"> SD2 uses the closed-form expression </w:t>
      </w:r>
      <w:r>
        <w:rPr>
          <w:rFonts w:ascii="Consolas" w:eastAsia="Consolas" w:hAnsi="Consolas" w:cs="Consolas"/>
          <w:sz w:val="20"/>
          <w:szCs w:val="20"/>
        </w:rPr>
        <w:t>SD2 = sqrt(2·</w:t>
      </w:r>
      <w:proofErr w:type="gramStart"/>
      <w:r>
        <w:rPr>
          <w:rFonts w:ascii="Consolas" w:eastAsia="Consolas" w:hAnsi="Consolas" w:cs="Consolas"/>
          <w:sz w:val="20"/>
          <w:szCs w:val="20"/>
        </w:rPr>
        <w:t>Var(</w:t>
      </w:r>
      <w:proofErr w:type="gramEnd"/>
      <w:r>
        <w:rPr>
          <w:rFonts w:ascii="Consolas" w:eastAsia="Consolas" w:hAnsi="Consolas" w:cs="Consolas"/>
          <w:sz w:val="20"/>
          <w:szCs w:val="20"/>
        </w:rPr>
        <w:t>RR) − 0.5·Var(</w:t>
      </w:r>
      <w:proofErr w:type="spellStart"/>
      <w:r>
        <w:rPr>
          <w:rFonts w:ascii="Consolas" w:eastAsia="Consolas" w:hAnsi="Consolas" w:cs="Consolas"/>
          <w:sz w:val="20"/>
          <w:szCs w:val="20"/>
        </w:rPr>
        <w:t>dRR</w:t>
      </w:r>
      <w:proofErr w:type="spellEnd"/>
      <w:r>
        <w:rPr>
          <w:rFonts w:ascii="Consolas" w:eastAsia="Consolas" w:hAnsi="Consolas" w:cs="Consolas"/>
          <w:sz w:val="20"/>
          <w:szCs w:val="20"/>
        </w:rPr>
        <w:t>))</w:t>
      </w:r>
      <w:r>
        <w:t xml:space="preserve"> (Brennan 2001) rather than fitting an ellipse numerically. The two approaches agree to within floating-point noise, but the closed form is invariant to outliers in the principal-axis fit and considerably faster on long records. The accompanying plot shows the </w:t>
      </w:r>
      <w:proofErr w:type="spellStart"/>
      <w:r>
        <w:t>centred</w:t>
      </w:r>
      <w:proofErr w:type="spellEnd"/>
      <w:r>
        <w:t xml:space="preserve"> SD1×SD2 ellipse rotated by +45° plus the identity line </w:t>
      </w:r>
      <w:r>
        <w:rPr>
          <w:i/>
          <w:iCs/>
        </w:rPr>
        <w:t>RRₙ₊₁ = RRₙ</w:t>
      </w:r>
      <w:r>
        <w:t xml:space="preserve"> for visual reference. By construction the well-known relationship </w:t>
      </w:r>
      <w:r>
        <w:rPr>
          <w:rFonts w:ascii="Consolas" w:eastAsia="Consolas" w:hAnsi="Consolas" w:cs="Consolas"/>
          <w:sz w:val="20"/>
          <w:szCs w:val="20"/>
        </w:rPr>
        <w:t>SD1 = RMSSD/√2</w:t>
      </w:r>
      <w:r>
        <w:t xml:space="preserve"> is preserved exactly.</w:t>
      </w:r>
    </w:p>
    <w:p w14:paraId="75F804B6" w14:textId="77777777" w:rsidR="00F72BA1" w:rsidRDefault="00000000">
      <w:pPr>
        <w:pStyle w:val="Heading1"/>
      </w:pPr>
      <w:r>
        <w:t>4. DFA α₁</w:t>
      </w:r>
    </w:p>
    <w:p w14:paraId="46D9B12E" w14:textId="77777777" w:rsidR="00F72BA1" w:rsidRDefault="00000000">
      <w:pPr>
        <w:spacing w:after="140"/>
        <w:jc w:val="both"/>
      </w:pPr>
      <w:r>
        <w:t xml:space="preserve">DFA α₁ is computed over n = </w:t>
      </w:r>
      <w:proofErr w:type="gramStart"/>
      <w:r>
        <w:t>4..</w:t>
      </w:r>
      <w:proofErr w:type="gramEnd"/>
      <w:r>
        <w:t xml:space="preserve">16 beats by default — Peng (1995)'s short-range range. The implementation builds the integrated profile </w:t>
      </w:r>
      <w:r>
        <w:rPr>
          <w:i/>
          <w:iCs/>
        </w:rPr>
        <w:t>y(k) = Σᵢ≤ₖ (x(</w:t>
      </w:r>
      <w:proofErr w:type="spellStart"/>
      <w:r>
        <w:rPr>
          <w:i/>
          <w:iCs/>
        </w:rPr>
        <w:t>i</w:t>
      </w:r>
      <w:proofErr w:type="spellEnd"/>
      <w:r>
        <w:rPr>
          <w:i/>
          <w:iCs/>
        </w:rPr>
        <w:t>) − mean(x))</w:t>
      </w:r>
      <w:r>
        <w:t xml:space="preserve">, splits it into non-overlapping windows of length n, fits a linear local trend in each window, and rms-averages the residuals to obtain F(n). The slope of </w:t>
      </w:r>
      <w:r>
        <w:rPr>
          <w:i/>
          <w:iCs/>
        </w:rPr>
        <w:t>log F(n)</w:t>
      </w:r>
      <w:r>
        <w:t xml:space="preserve"> against </w:t>
      </w:r>
      <w:r>
        <w:rPr>
          <w:i/>
          <w:iCs/>
        </w:rPr>
        <w:t>log n</w:t>
      </w:r>
      <w:r>
        <w:t xml:space="preserve"> is α₁.</w:t>
      </w:r>
    </w:p>
    <w:p w14:paraId="286EFD51" w14:textId="77777777" w:rsidR="00F72BA1" w:rsidRDefault="00000000">
      <w:pPr>
        <w:spacing w:after="140"/>
        <w:jc w:val="both"/>
      </w:pPr>
      <w:r>
        <w:lastRenderedPageBreak/>
        <w:t xml:space="preserve">Interpreted in control-system language: α₁ ≈ 1 corresponds to a healthy 1/f regulator with structured, scale-invariant residuals; α₁ → 0.5 means the residuals look like white noise (the controller has lost </w:t>
      </w:r>
      <w:proofErr w:type="spellStart"/>
      <w:r>
        <w:t>organisation</w:t>
      </w:r>
      <w:proofErr w:type="spellEnd"/>
      <w:r>
        <w:t>); α₁ → 1.5 indicates Brownian drift (the controller has lost authority). The fitted line in the log-log plot is drawn over the same scale range that was used to fit α₁ — so visual deviations from the line at the endpoints are diagnostic of whether the assumed scaling regime actually holds for the given recording.</w:t>
      </w:r>
    </w:p>
    <w:p w14:paraId="44F8CA77" w14:textId="77777777" w:rsidR="00F72BA1" w:rsidRDefault="00000000">
      <w:pPr>
        <w:pStyle w:val="Heading1"/>
      </w:pPr>
      <w:r>
        <w:t>5. Extensions</w:t>
      </w:r>
    </w:p>
    <w:p w14:paraId="177C205C" w14:textId="77777777" w:rsidR="00F72BA1" w:rsidRDefault="00000000">
      <w:pPr>
        <w:spacing w:after="140"/>
        <w:jc w:val="both"/>
      </w:pPr>
      <w:r>
        <w:t xml:space="preserve">If your Polar export contains ectopic-beat markers in a separate column, the simplest extension is to AND them into the </w:t>
      </w:r>
      <w:r>
        <w:rPr>
          <w:rFonts w:ascii="Consolas" w:eastAsia="Consolas" w:hAnsi="Consolas" w:cs="Consolas"/>
          <w:sz w:val="20"/>
          <w:szCs w:val="20"/>
        </w:rPr>
        <w:t>keep</w:t>
      </w:r>
      <w:r>
        <w:t xml:space="preserve"> mask in the artifact-rejection block — everything downstream is agnostic to where the NN series came from. For multi-day recordings, splitting the file into per-segment runs (e.g., per sleep cycle or per circadian quartile) and aggregating the results gives a much clearer picture than a single global computation, because both Welch and DFA assume local stationarity that does not hold over many hours.</w:t>
      </w:r>
    </w:p>
    <w:p w14:paraId="0FF216D5" w14:textId="77777777" w:rsidR="00F72BA1" w:rsidRDefault="00000000">
      <w:pPr>
        <w:pStyle w:val="Heading1"/>
      </w:pPr>
      <w:r>
        <w:t>6. Reference HRV bands</w:t>
      </w:r>
    </w:p>
    <w:p w14:paraId="55629FB3" w14:textId="77777777" w:rsidR="00F72BA1" w:rsidRDefault="00000000">
      <w:pPr>
        <w:spacing w:after="140"/>
        <w:jc w:val="both"/>
      </w:pPr>
      <w:r>
        <w:t>The implementation uses the Task Force (1996) band definitions:</w:t>
      </w:r>
    </w:p>
    <w:p w14:paraId="43958A51" w14:textId="77777777" w:rsidR="00F72BA1"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VLF :</w:t>
      </w:r>
      <w:proofErr w:type="gramEnd"/>
      <w:r>
        <w:rPr>
          <w:rFonts w:ascii="Consolas" w:eastAsia="Consolas" w:hAnsi="Consolas" w:cs="Consolas"/>
          <w:sz w:val="20"/>
          <w:szCs w:val="20"/>
        </w:rPr>
        <w:t xml:space="preserve"> 0.0033 – </w:t>
      </w:r>
      <w:proofErr w:type="gramStart"/>
      <w:r>
        <w:rPr>
          <w:rFonts w:ascii="Consolas" w:eastAsia="Consolas" w:hAnsi="Consolas" w:cs="Consolas"/>
          <w:sz w:val="20"/>
          <w:szCs w:val="20"/>
        </w:rPr>
        <w:t>0.04  Hz</w:t>
      </w:r>
      <w:proofErr w:type="gramEnd"/>
    </w:p>
    <w:p w14:paraId="5AE81BAB" w14:textId="77777777" w:rsidR="00F72BA1"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LF  :</w:t>
      </w:r>
      <w:proofErr w:type="gramEnd"/>
      <w:r>
        <w:rPr>
          <w:rFonts w:ascii="Consolas" w:eastAsia="Consolas" w:hAnsi="Consolas" w:cs="Consolas"/>
          <w:sz w:val="20"/>
          <w:szCs w:val="20"/>
        </w:rPr>
        <w:t xml:space="preserve"> 0.04   – </w:t>
      </w:r>
      <w:proofErr w:type="gramStart"/>
      <w:r>
        <w:rPr>
          <w:rFonts w:ascii="Consolas" w:eastAsia="Consolas" w:hAnsi="Consolas" w:cs="Consolas"/>
          <w:sz w:val="20"/>
          <w:szCs w:val="20"/>
        </w:rPr>
        <w:t>0.15  Hz</w:t>
      </w:r>
      <w:proofErr w:type="gramEnd"/>
    </w:p>
    <w:p w14:paraId="157A4B96" w14:textId="77777777" w:rsidR="00F72BA1"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HF  :</w:t>
      </w:r>
      <w:proofErr w:type="gramEnd"/>
      <w:r>
        <w:rPr>
          <w:rFonts w:ascii="Consolas" w:eastAsia="Consolas" w:hAnsi="Consolas" w:cs="Consolas"/>
          <w:sz w:val="20"/>
          <w:szCs w:val="20"/>
        </w:rPr>
        <w:t xml:space="preserve"> 0.15   – </w:t>
      </w:r>
      <w:proofErr w:type="gramStart"/>
      <w:r>
        <w:rPr>
          <w:rFonts w:ascii="Consolas" w:eastAsia="Consolas" w:hAnsi="Consolas" w:cs="Consolas"/>
          <w:sz w:val="20"/>
          <w:szCs w:val="20"/>
        </w:rPr>
        <w:t>0.40  Hz</w:t>
      </w:r>
      <w:proofErr w:type="gramEnd"/>
    </w:p>
    <w:p w14:paraId="0FB27284" w14:textId="77777777" w:rsidR="00F72BA1" w:rsidRDefault="00000000">
      <w:pPr>
        <w:spacing w:after="140"/>
        <w:jc w:val="both"/>
      </w:pPr>
      <w:r>
        <w:t xml:space="preserve">And the conventional time-domain set: SDNN, RMSSD, pNN50, mean RR, mean HR. Note that </w:t>
      </w:r>
      <w:r>
        <w:rPr>
          <w:rFonts w:ascii="Consolas" w:eastAsia="Consolas" w:hAnsi="Consolas" w:cs="Consolas"/>
          <w:sz w:val="20"/>
          <w:szCs w:val="20"/>
        </w:rPr>
        <w:t>LF/HF</w:t>
      </w:r>
      <w:r>
        <w:t xml:space="preserve"> is reported for completeness only — its interpretation as a </w:t>
      </w:r>
      <w:proofErr w:type="spellStart"/>
      <w:r>
        <w:t>sympathovagal</w:t>
      </w:r>
      <w:proofErr w:type="spellEnd"/>
      <w:r>
        <w:t xml:space="preserve"> index is no longer considered defensible (see, e.g., Billman 2013).</w:t>
      </w:r>
    </w:p>
    <w:p w14:paraId="4BDFEE32" w14:textId="77777777" w:rsidR="00F72BA1" w:rsidRDefault="00000000">
      <w:pPr>
        <w:spacing w:before="320"/>
        <w:jc w:val="center"/>
      </w:pPr>
      <w:r>
        <w:rPr>
          <w:i/>
          <w:iCs/>
          <w:color w:val="777777"/>
        </w:rPr>
        <w:t>— End of notes —</w:t>
      </w:r>
    </w:p>
    <w:sectPr w:rsidR="00F72BA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5D207" w14:textId="77777777" w:rsidR="005C7B93" w:rsidRDefault="005C7B93">
      <w:r>
        <w:separator/>
      </w:r>
    </w:p>
  </w:endnote>
  <w:endnote w:type="continuationSeparator" w:id="0">
    <w:p w14:paraId="3A6E31B8" w14:textId="77777777" w:rsidR="005C7B93" w:rsidRDefault="005C7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13E1" w14:textId="77777777" w:rsidR="00F72BA1" w:rsidRDefault="00000000">
    <w:pPr>
      <w:jc w:val="center"/>
    </w:pPr>
    <w:r>
      <w:t xml:space="preserve">HRV Analysis Notes — Page </w:t>
    </w:r>
    <w:r>
      <w:fldChar w:fldCharType="begin"/>
    </w:r>
    <w:r>
      <w:instrText>PAGE</w:instrText>
    </w:r>
    <w:r>
      <w:fldChar w:fldCharType="separate"/>
    </w:r>
    <w:r w:rsidR="00E051EC">
      <w:rPr>
        <w:noProof/>
      </w:rPr>
      <w:t>1</w:t>
    </w:r>
    <w:r>
      <w:fldChar w:fldCharType="end"/>
    </w:r>
    <w:r>
      <w:t xml:space="preserve"> of </w:t>
    </w:r>
    <w:r>
      <w:fldChar w:fldCharType="begin"/>
    </w:r>
    <w:r>
      <w:instrText>NUMPAGES</w:instrText>
    </w:r>
    <w:r>
      <w:fldChar w:fldCharType="separate"/>
    </w:r>
    <w:r w:rsidR="00E051E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A99F0" w14:textId="77777777" w:rsidR="005C7B93" w:rsidRDefault="005C7B93">
      <w:r>
        <w:separator/>
      </w:r>
    </w:p>
  </w:footnote>
  <w:footnote w:type="continuationSeparator" w:id="0">
    <w:p w14:paraId="5E9A2941" w14:textId="77777777" w:rsidR="005C7B93" w:rsidRDefault="005C7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23B1"/>
    <w:multiLevelType w:val="hybridMultilevel"/>
    <w:tmpl w:val="DEB43EA6"/>
    <w:lvl w:ilvl="0" w:tplc="D9E82C02">
      <w:start w:val="1"/>
      <w:numFmt w:val="bullet"/>
      <w:lvlText w:val="●"/>
      <w:lvlJc w:val="left"/>
      <w:pPr>
        <w:ind w:left="720" w:hanging="360"/>
      </w:pPr>
    </w:lvl>
    <w:lvl w:ilvl="1" w:tplc="A4BAF536">
      <w:start w:val="1"/>
      <w:numFmt w:val="bullet"/>
      <w:lvlText w:val="○"/>
      <w:lvlJc w:val="left"/>
      <w:pPr>
        <w:ind w:left="1440" w:hanging="360"/>
      </w:pPr>
    </w:lvl>
    <w:lvl w:ilvl="2" w:tplc="DD6C04F2">
      <w:start w:val="1"/>
      <w:numFmt w:val="bullet"/>
      <w:lvlText w:val="■"/>
      <w:lvlJc w:val="left"/>
      <w:pPr>
        <w:ind w:left="2160" w:hanging="360"/>
      </w:pPr>
    </w:lvl>
    <w:lvl w:ilvl="3" w:tplc="F852E462">
      <w:start w:val="1"/>
      <w:numFmt w:val="bullet"/>
      <w:lvlText w:val="●"/>
      <w:lvlJc w:val="left"/>
      <w:pPr>
        <w:ind w:left="2880" w:hanging="360"/>
      </w:pPr>
    </w:lvl>
    <w:lvl w:ilvl="4" w:tplc="441E8EDC">
      <w:start w:val="1"/>
      <w:numFmt w:val="bullet"/>
      <w:lvlText w:val="○"/>
      <w:lvlJc w:val="left"/>
      <w:pPr>
        <w:ind w:left="3600" w:hanging="360"/>
      </w:pPr>
    </w:lvl>
    <w:lvl w:ilvl="5" w:tplc="27F08D5E">
      <w:start w:val="1"/>
      <w:numFmt w:val="bullet"/>
      <w:lvlText w:val="■"/>
      <w:lvlJc w:val="left"/>
      <w:pPr>
        <w:ind w:left="4320" w:hanging="360"/>
      </w:pPr>
    </w:lvl>
    <w:lvl w:ilvl="6" w:tplc="C1D46B92">
      <w:start w:val="1"/>
      <w:numFmt w:val="bullet"/>
      <w:lvlText w:val="●"/>
      <w:lvlJc w:val="left"/>
      <w:pPr>
        <w:ind w:left="5040" w:hanging="360"/>
      </w:pPr>
    </w:lvl>
    <w:lvl w:ilvl="7" w:tplc="557CC9C2">
      <w:start w:val="1"/>
      <w:numFmt w:val="bullet"/>
      <w:lvlText w:val="●"/>
      <w:lvlJc w:val="left"/>
      <w:pPr>
        <w:ind w:left="5760" w:hanging="360"/>
      </w:pPr>
    </w:lvl>
    <w:lvl w:ilvl="8" w:tplc="C28E5472">
      <w:start w:val="1"/>
      <w:numFmt w:val="bullet"/>
      <w:lvlText w:val="●"/>
      <w:lvlJc w:val="left"/>
      <w:pPr>
        <w:ind w:left="6480" w:hanging="360"/>
      </w:pPr>
    </w:lvl>
  </w:abstractNum>
  <w:num w:numId="1" w16cid:durableId="292488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BA1"/>
    <w:rsid w:val="005C7B93"/>
    <w:rsid w:val="00B67233"/>
    <w:rsid w:val="00E051EC"/>
    <w:rsid w:val="00F72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24F508"/>
  <w15:docId w15:val="{691ECB8D-E41E-D140-9DC7-9F9A3C45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5A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HRV Analysis — MATLAB Implementation Notes</dc:title>
  <dc:creator>Claude</dc:creator>
  <cp:lastModifiedBy>Hans Strauch</cp:lastModifiedBy>
  <cp:revision>2</cp:revision>
  <dcterms:created xsi:type="dcterms:W3CDTF">2026-05-12T16:19:00Z</dcterms:created>
  <dcterms:modified xsi:type="dcterms:W3CDTF">2026-05-12T16:19:00Z</dcterms:modified>
</cp:coreProperties>
</file>