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TechNova Brand Guidelines</w:t>
      </w:r>
    </w:p>
    <w:p>
      <w:r>
        <w:t>The official company name is TechNova. Never write it as “Tech Nova” or “Technova”.</w:t>
      </w:r>
    </w:p>
    <w:p>
      <w:r>
        <w:t>Our tone is professional, friendly and clear; avoid exaggerated claims.</w:t>
      </w:r>
    </w:p>
    <w:p>
      <w:r>
        <w:t>The current promotion is a 20% discount, valid through 15 October 2026.</w:t>
      </w:r>
    </w:p>
    <w:p>
      <w:r>
        <w:t>Ranking claims such as “No. 1” require approved evidence before publication.</w:t>
      </w:r>
    </w:p>
    <w:p>
      <w:r>
        <w:t>Never use the word “cheap” in public content.</w:t>
      </w:r>
    </w:p>
    <w:p>
      <w:r>
        <w:t>The approved colour palette is #5B35F5, #1FBF8A, #14112B and #FFFFFF.</w:t>
      </w:r>
    </w:p>
    <w:p>
      <w:r>
        <w:t>Every image needs alt text, and text must meet a contrast ratio of at least 4.5:1.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