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Anchored</w:t>
      </w:r>
      <w:r>
        <w:t xml:space="preserve"> </w:t>
      </w:r>
      <w:r>
        <w:t xml:space="preserve">Multi-Omics</w:t>
      </w:r>
      <w:r>
        <w:t xml:space="preserve"> </w:t>
      </w:r>
      <w:r>
        <w:t xml:space="preserve">Integration</w:t>
      </w:r>
      <w:r>
        <w:t xml:space="preserve"> </w:t>
      </w:r>
      <w:r>
        <w:t xml:space="preserve">and</w:t>
      </w:r>
      <w:r>
        <w:t xml:space="preserve"> </w:t>
      </w:r>
      <w:r>
        <w:t xml:space="preserve">Knowledge-Anchored</w:t>
      </w:r>
      <w:r>
        <w:t xml:space="preserve"> </w:t>
      </w:r>
      <w:r>
        <w:t xml:space="preserve">Residual</w:t>
      </w:r>
      <w:r>
        <w:t xml:space="preserve"> </w:t>
      </w:r>
      <w:r>
        <w:t xml:space="preserve">Discovery</w:t>
      </w:r>
    </w:p>
    <w:p>
      <w:pPr>
        <w:pStyle w:val="Subtitle"/>
      </w:pPr>
      <w:r>
        <w:t xml:space="preserve">A</w:t>
      </w:r>
      <w:r>
        <w:t xml:space="preserve"> </w:t>
      </w:r>
      <w:r>
        <w:t xml:space="preserve">never-below-the-best-view</w:t>
      </w:r>
      <w:r>
        <w:t xml:space="preserve"> </w:t>
      </w:r>
      <w:r>
        <w:t xml:space="preserve">integrator,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tool</w:t>
      </w:r>
      <w:r>
        <w:t xml:space="preserve"> </w:t>
      </w:r>
      <w:r>
        <w:t xml:space="preserve">to</w:t>
      </w:r>
      <w:r>
        <w:t xml:space="preserve"> </w:t>
      </w:r>
      <w:r>
        <w:t xml:space="preserve">find</w:t>
      </w:r>
      <w:r>
        <w:t xml:space="preserve"> </w:t>
      </w:r>
      <w:r>
        <w:t xml:space="preserve">what</w:t>
      </w:r>
      <w:r>
        <w:t xml:space="preserve"> </w:t>
      </w:r>
      <w:r>
        <w:t xml:space="preserve">the</w:t>
      </w:r>
      <w:r>
        <w:t xml:space="preserve"> </w:t>
      </w:r>
      <w:r>
        <w:t xml:space="preserve">known</w:t>
      </w:r>
      <w:r>
        <w:t xml:space="preserve"> </w:t>
      </w:r>
      <w:r>
        <w:t xml:space="preserve">biology</w:t>
      </w:r>
      <w:r>
        <w:t xml:space="preserve"> </w:t>
      </w:r>
      <w:r>
        <w:t xml:space="preserve">misses</w:t>
      </w:r>
      <w:r>
        <w:t xml:space="preserve"> </w:t>
      </w:r>
      <w:r>
        <w:t xml:space="preserve">—</w:t>
      </w:r>
      <w:r>
        <w:t xml:space="preserve"> </w:t>
      </w:r>
      <w:r>
        <w:t xml:space="preserve">a</w:t>
      </w:r>
      <w:r>
        <w:t xml:space="preserve"> </w:t>
      </w:r>
      <w:r>
        <w:t xml:space="preserve">white</w:t>
      </w:r>
      <w:r>
        <w:t xml:space="preserve"> </w:t>
      </w:r>
      <w:r>
        <w:t xml:space="preserve">paper</w:t>
      </w:r>
    </w:p>
    <w:p>
      <w:pPr>
        <w:pStyle w:val="Author"/>
      </w:pPr>
      <w:r>
        <w:t xml:space="preserve">H.</w:t>
      </w:r>
      <w:r>
        <w:t xml:space="preserve"> </w:t>
      </w:r>
      <w:r>
        <w:t xml:space="preserve">Ryan</w:t>
      </w:r>
      <w:r>
        <w:t xml:space="preserve"> </w:t>
      </w:r>
      <w:r>
        <w:t xml:space="preserve">Kim</w:t>
      </w:r>
    </w:p>
    <w:p>
      <w:pPr>
        <w:pStyle w:val="Date"/>
      </w:pPr>
      <w:r>
        <w:t xml:space="preserve">2026</w:t>
      </w:r>
    </w:p>
    <w:p>
      <w:pPr>
        <w:pStyle w:val="Heading2"/>
      </w:pPr>
      <w:bookmarkStart w:id="20" w:name="executive-summary"/>
      <w:r>
        <w:t xml:space="preserve">Executive summary</w:t>
      </w:r>
      <w:bookmarkEnd w:id="20"/>
    </w:p>
    <w:p>
      <w:pPr>
        <w:pStyle w:val="FirstParagraph"/>
      </w:pPr>
      <w:r>
        <w:t xml:space="preserve">Combining many kinds of molecular data is widely assumed to improve cancer prediction, yet in practice a single</w:t>
      </w:r>
      <w:r>
        <w:t xml:space="preserve"> </w:t>
      </w:r>
      <w:r>
        <w:t xml:space="preserve">strong data type is hard to beat and naive fusion often does worse. This white paper presents an</w:t>
      </w:r>
      <w:r>
        <w:t xml:space="preserve"> </w:t>
      </w:r>
      <w:r>
        <w:rPr>
          <w:b/>
        </w:rPr>
        <w:t xml:space="preserve">anchored</w:t>
      </w:r>
      <w:r>
        <w:rPr>
          <w:b/>
        </w:rPr>
        <w:t xml:space="preserve"> </w:t>
      </w:r>
      <w:r>
        <w:rPr>
          <w:b/>
        </w:rPr>
        <w:t xml:space="preserve">integrator</w:t>
      </w:r>
      <w:r>
        <w:t xml:space="preserve">: it starts from established biological knowledge — a known high-performing data type, or a fixed,</w:t>
      </w:r>
      <w:r>
        <w:t xml:space="preserve"> </w:t>
      </w:r>
      <w:r>
        <w:t xml:space="preserve">zero-parameter gene signature — and admits genome-wide data only as a non-negative gated residual, so the model</w:t>
      </w:r>
      <w:r>
        <w:t xml:space="preserve"> </w:t>
      </w:r>
      <w:r>
        <w:t xml:space="preserve">is</w:t>
      </w:r>
      <w:r>
        <w:t xml:space="preserve"> </w:t>
      </w:r>
      <w:r>
        <w:rPr>
          <w:i/>
        </w:rPr>
        <w:t xml:space="preserve">provably never below its anchor</w:t>
      </w:r>
      <w:r>
        <w:t xml:space="preserve"> </w:t>
      </w:r>
      <w:r>
        <w:t xml:space="preserve">and improves on it only where another view carries orthogonal signal.</w:t>
      </w:r>
    </w:p>
    <w:p>
      <w:pPr>
        <w:pStyle w:val="BodyText"/>
      </w:pPr>
      <w:r>
        <w:t xml:space="preserve">Three ideas follow from that one move. First, mining the</w:t>
      </w:r>
      <w:r>
        <w:t xml:space="preserve"> </w:t>
      </w:r>
      <w:r>
        <w:rPr>
          <w:b/>
        </w:rPr>
        <w:t xml:space="preserve">residual</w:t>
      </w:r>
      <w:r>
        <w:t xml:space="preserve"> </w:t>
      </w:r>
      <w:r>
        <w:t xml:space="preserve">(what the anchor cannot explain) turns the</w:t>
      </w:r>
      <w:r>
        <w:t xml:space="preserve"> </w:t>
      </w:r>
      <w:r>
        <w:t xml:space="preserve">integrator into a discovery engine — a targeted search for the biology the known prior misses. Second, running</w:t>
      </w:r>
      <w:r>
        <w:t xml:space="preserve"> </w:t>
      </w:r>
      <w:r>
        <w:t xml:space="preserve">it</w:t>
      </w:r>
      <w:r>
        <w:t xml:space="preserve"> </w:t>
      </w:r>
      <w:r>
        <w:rPr>
          <w:b/>
        </w:rPr>
        <w:t xml:space="preserve">in reverse</w:t>
      </w:r>
      <w:r>
        <w:t xml:space="preserve"> </w:t>
      </w:r>
      <w:r>
        <w:t xml:space="preserve">lets a hypothesis be tested against the prior and labelled novel, already-explained, or</w:t>
      </w:r>
      <w:r>
        <w:t xml:space="preserve"> </w:t>
      </w:r>
      <w:r>
        <w:t xml:space="preserve">absent. Third, the framework makes</w:t>
      </w:r>
      <w:r>
        <w:t xml:space="preserve"> </w:t>
      </w:r>
      <w:r>
        <w:rPr>
          <w:b/>
        </w:rPr>
        <w:t xml:space="preserve">transportability</w:t>
      </w:r>
      <w:r>
        <w:t xml:space="preserve"> </w:t>
      </w:r>
      <w:r>
        <w:t xml:space="preserve">explicit: it shows precisely when, and why, the same</w:t>
      </w:r>
      <w:r>
        <w:t xml:space="preserve"> </w:t>
      </w:r>
      <w:r>
        <w:t xml:space="preserve">biological signal looks novel in one cohort and redundant in another — often a property of the measurement</w:t>
      </w:r>
      <w:r>
        <w:t xml:space="preserve"> </w:t>
      </w:r>
      <w:r>
        <w:t xml:space="preserve">technology rather than the biology. The result is a discovery engine that is honest about what is new and what</w:t>
      </w:r>
      <w:r>
        <w:t xml:space="preserve"> </w:t>
      </w:r>
      <w:r>
        <w:t xml:space="preserve">the known biology already explains.</w:t>
      </w:r>
    </w:p>
    <w:p>
      <w:pPr>
        <w:pStyle w:val="Heading2"/>
      </w:pPr>
      <w:bookmarkStart w:id="21" w:name="X350846b8dc4324e64d2817c67d4dbcaa8aceaf2"/>
      <w:r>
        <w:t xml:space="preserve">1. The problem: more data is not automatically better</w:t>
      </w:r>
      <w:bookmarkEnd w:id="21"/>
    </w:p>
    <w:p>
      <w:pPr>
        <w:pStyle w:val="FirstParagraph"/>
      </w:pPr>
      <w:r>
        <w:t xml:space="preserve">The prevailing instinct in bioinformatics is to gather more — more scans, deeper sequencing, more molecular</w:t>
      </w:r>
      <w:r>
        <w:t xml:space="preserve"> </w:t>
      </w:r>
      <w:r>
        <w:t xml:space="preserve">layers — on the assumption that fusing them yields clearer answers. The data say otherwise. A large benchmark</w:t>
      </w:r>
      <w:r>
        <w:t xml:space="preserve"> </w:t>
      </w:r>
      <w:r>
        <w:t xml:space="preserve">across 14 cancers found that naively concatenating data types most often</w:t>
      </w:r>
      <w:r>
        <w:t xml:space="preserve"> </w:t>
      </w:r>
      <w:r>
        <w:rPr>
          <w:i/>
        </w:rPr>
        <w:t xml:space="preserve">hurt</w:t>
      </w:r>
      <w:r>
        <w:t xml:space="preserve"> </w:t>
      </w:r>
      <w:r>
        <w:t xml:space="preserve">survival prediction: stacking</w:t>
      </w:r>
      <w:r>
        <w:t xml:space="preserve"> </w:t>
      </w:r>
      <w:r>
        <w:t xml:space="preserve">layers adds statistical variance that drowns the clear signal in a strong modality, and the model spends its</w:t>
      </w:r>
      <w:r>
        <w:t xml:space="preserve"> </w:t>
      </w:r>
      <w:r>
        <w:t xml:space="preserve">capacity fitting noise. The honest objective is therefore not</w:t>
      </w:r>
      <w:r>
        <w:t xml:space="preserve"> </w:t>
      </w:r>
      <w:r>
        <w:t xml:space="preserve">“</w:t>
      </w:r>
      <w:r>
        <w:t xml:space="preserve">always fuse,</w:t>
      </w:r>
      <w:r>
        <w:t xml:space="preserve">”</w:t>
      </w:r>
      <w:r>
        <w:t xml:space="preserve"> </w:t>
      </w:r>
      <w:r>
        <w:t xml:space="preserve">but</w:t>
      </w:r>
      <w:r>
        <w:t xml:space="preserve"> </w:t>
      </w:r>
      <w:r>
        <w:rPr>
          <w:i/>
        </w:rPr>
        <w:t xml:space="preserve">never do worse than the best</w:t>
      </w:r>
      <w:r>
        <w:rPr>
          <w:i/>
        </w:rPr>
        <w:t xml:space="preserve"> </w:t>
      </w:r>
      <w:r>
        <w:rPr>
          <w:i/>
        </w:rPr>
        <w:t xml:space="preserve">single view, and improve on it only where another view carries signal the leader cannot.</w:t>
      </w:r>
    </w:p>
    <w:p>
      <w:pPr>
        <w:pStyle w:val="BodyText"/>
      </w:pPr>
      <w:r>
        <w:t xml:space="preserve">A kitchen analogy from the companion audio captures it: a great broth does not come from tipping every leftover</w:t>
      </w:r>
      <w:r>
        <w:t xml:space="preserve"> </w:t>
      </w:r>
      <w:r>
        <w:t xml:space="preserve">into the pot; you start from a strong foundation and add an ingredient only if it genuinely improves the</w:t>
      </w:r>
      <w:r>
        <w:t xml:space="preserve"> </w:t>
      </w:r>
      <w:r>
        <w:t xml:space="preserve">flavour.</w:t>
      </w:r>
    </w:p>
    <w:p>
      <w:pPr>
        <w:pStyle w:val="Heading2"/>
      </w:pPr>
      <w:bookmarkStart w:id="22" w:name="the-method-anchor-gate-mine-the-residual"/>
      <w:r>
        <w:t xml:space="preserve">2. The method: anchor, gate, mine the residual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Anchor</w:t>
      </w:r>
      <w:r>
        <w:t xml:space="preserve"> </w:t>
      </w:r>
      <w:r>
        <w:t xml:space="preserve">on the empirically strongest modality, or on a fixed</w:t>
      </w:r>
      <w:r>
        <w:t xml:space="preserve"> </w:t>
      </w:r>
      <w:r>
        <w:rPr>
          <w:b/>
        </w:rPr>
        <w:t xml:space="preserve">zero-parameter</w:t>
      </w:r>
      <w:r>
        <w:t xml:space="preserve"> </w:t>
      </w:r>
      <w:r>
        <w:t xml:space="preserve">prior — a textbook</w:t>
      </w:r>
      <w:r>
        <w:t xml:space="preserve"> </w:t>
      </w:r>
      <w:r>
        <w:t xml:space="preserve">gene-signature score that has had</w:t>
      </w:r>
      <w:r>
        <w:t xml:space="preserve"> </w:t>
      </w:r>
      <w:r>
        <w:rPr>
          <w:i/>
        </w:rPr>
        <w:t xml:space="preserve">no</w:t>
      </w:r>
      <w:r>
        <w:t xml:space="preserve"> </w:t>
      </w:r>
      <w:r>
        <w:t xml:space="preserve">training on the current dataset.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Gate.</w:t>
      </w:r>
      <w:r>
        <w:t xml:space="preserve"> </w:t>
      </w:r>
      <w:r>
        <w:t xml:space="preserve">Admit secondary data as</w:t>
      </w:r>
      <w:r>
        <w:t xml:space="preserve"> </w:t>
      </w:r>
      <w:r>
        <w:rPr>
          <w:rStyle w:val="VerbatimChar"/>
        </w:rPr>
        <w:t xml:space="preserve">logit(anchor) + β·secondary</w:t>
      </w:r>
      <w:r>
        <w:t xml:space="preserve">, with the weight</w:t>
      </w:r>
      <w:r>
        <w:t xml:space="preserve"> </w:t>
      </w:r>
      <w:r>
        <w:rPr>
          <w:rStyle w:val="VerbatimChar"/>
        </w:rPr>
        <w:t xml:space="preserve">β ≥ 0</w:t>
      </w:r>
      <w:r>
        <w:t xml:space="preserve"> </w:t>
      </w:r>
      <w:r>
        <w:t xml:space="preserve">chosen on held-out</w:t>
      </w:r>
      <w:r>
        <w:t xml:space="preserve"> </w:t>
      </w:r>
      <w:r>
        <w:t xml:space="preserve">data. If the new layer is redundant or noisy, the gate stays shut (</w:t>
      </w:r>
      <w:r>
        <w:rPr>
          <w:rStyle w:val="VerbatimChar"/>
        </w:rPr>
        <w:t xml:space="preserve">β = 0</w:t>
      </w:r>
      <w:r>
        <w:t xml:space="preserve">). This guarantees the model is</w:t>
      </w:r>
      <w:r>
        <w:t xml:space="preserve"> </w:t>
      </w:r>
      <w:r>
        <w:t xml:space="preserve">never below its anchor and yields the framework’s golden rule:</w:t>
      </w:r>
      <w:r>
        <w:t xml:space="preserve"> </w:t>
      </w:r>
      <w:r>
        <w:rPr>
          <w:i/>
        </w:rPr>
        <w:t xml:space="preserve">never below the best single view.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Mine the residual.</w:t>
      </w:r>
      <w:r>
        <w:t xml:space="preserve"> </w:t>
      </w:r>
      <w:r>
        <w:t xml:space="preserve">Rank features by partial correlation with the outcome while controlling for the</w:t>
      </w:r>
      <w:r>
        <w:t xml:space="preserve"> </w:t>
      </w:r>
      <w:r>
        <w:t xml:space="preserve">anchor, surfacing</w:t>
      </w:r>
      <w:r>
        <w:t xml:space="preserve"> </w:t>
      </w:r>
      <w:r>
        <w:rPr>
          <w:b/>
        </w:rPr>
        <w:t xml:space="preserve">anchor-orthogonal</w:t>
      </w:r>
      <w:r>
        <w:t xml:space="preserve"> </w:t>
      </w:r>
      <w:r>
        <w:t xml:space="preserve">axes, with a matched-random-panel noise control and held-out /</w:t>
      </w:r>
      <w:r>
        <w:t xml:space="preserve"> </w:t>
      </w:r>
      <w:r>
        <w:t xml:space="preserve">permutation verification.</w:t>
      </w:r>
    </w:p>
    <w:p>
      <w:pPr>
        <w:pStyle w:val="FirstParagraph"/>
      </w:pPr>
      <w:r>
        <w:t xml:space="preserve">On TCGA breast cancer, blind anchor selection routed correctly (methylation for methylation-defined clusters,</w:t>
      </w:r>
      <w:r>
        <w:t xml:space="preserve"> </w:t>
      </w:r>
      <w:r>
        <w:t xml:space="preserve">RNA for PAM50 calls), never falling below the leader; a constructed positive control (signal invisible to RNA)</w:t>
      </w:r>
      <w:r>
        <w:t xml:space="preserve"> </w:t>
      </w:r>
      <w:r>
        <w:t xml:space="preserve">engaged the gate for +0.047 AUROC. The companion explainer frames the gate as a veteran clinician’s established</w:t>
      </w:r>
      <w:r>
        <w:t xml:space="preserve"> </w:t>
      </w:r>
      <w:r>
        <w:t xml:space="preserve">knowledge, with genome-wide data an eager newcomer allowed to speak only when it adds something genuinely new.</w:t>
      </w:r>
    </w:p>
    <w:p>
      <w:pPr>
        <w:pStyle w:val="Heading2"/>
      </w:pPr>
      <w:bookmarkStart w:id="23" w:name="Xac88e5a6a74fe189bcbaecb72aa4227b99aec2f"/>
      <w:r>
        <w:t xml:space="preserve">3. Discovery: a verified basal/keratinization axis</w:t>
      </w:r>
      <w:bookmarkEnd w:id="23"/>
    </w:p>
    <w:p>
      <w:pPr>
        <w:pStyle w:val="FirstParagraph"/>
      </w:pPr>
      <w:r>
        <w:t xml:space="preserve">Luminal A vs B breast cancer is, by convention, a proliferation distinction. A</w:t>
      </w:r>
      <w:r>
        <w:t xml:space="preserve"> </w:t>
      </w:r>
      <w:r>
        <w:rPr>
          <w:b/>
        </w:rPr>
        <w:t xml:space="preserve">20-gene proliferation index</w:t>
      </w:r>
      <w:r>
        <w:rPr>
          <w:b/>
        </w:rPr>
        <w:t xml:space="preserve"> </w:t>
      </w:r>
      <w:r>
        <w:rPr>
          <w:b/>
        </w:rPr>
        <w:t xml:space="preserve">(zero trained parameters)</w:t>
      </w:r>
      <w:r>
        <w:t xml:space="preserve"> </w:t>
      </w:r>
      <w:r>
        <w:t xml:space="preserve">reaches AUROC</w:t>
      </w:r>
      <w:r>
        <w:t xml:space="preserve"> </w:t>
      </w:r>
      <w:r>
        <w:rPr>
          <w:b/>
        </w:rPr>
        <w:t xml:space="preserve">0.919</w:t>
      </w:r>
      <w:r>
        <w:t xml:space="preserve"> </w:t>
      </w:r>
      <w:r>
        <w:t xml:space="preserve">— close to a fully trained 1,500-gene model (0.942) — and</w:t>
      </w:r>
      <w:r>
        <w:t xml:space="preserve"> </w:t>
      </w:r>
      <w:r>
        <w:t xml:space="preserve">gating genome-wide data onto this fixed prior reaches</w:t>
      </w:r>
      <w:r>
        <w:t xml:space="preserve"> </w:t>
      </w:r>
      <w:r>
        <w:rPr>
          <w:b/>
        </w:rPr>
        <w:t xml:space="preserve">0.947</w:t>
      </w:r>
      <w:r>
        <w:t xml:space="preserve">, the cleanest super-additive gain in the study.</w:t>
      </w:r>
      <w:r>
        <w:t xml:space="preserve"> </w:t>
      </w:r>
      <w:r>
        <w:t xml:space="preserve">Strikingly, a textbook rule with no training nearly matches a 1,500-gene model; the framework is, in effect,</w:t>
      </w:r>
      <w:r>
        <w:t xml:space="preserve"> </w:t>
      </w:r>
      <w:r>
        <w:t xml:space="preserve">teaching the model to read the textbook first so its compute hunts only for what is unknown.</w:t>
      </w:r>
    </w:p>
    <w:p>
      <w:pPr>
        <w:pStyle w:val="BodyText"/>
      </w:pPr>
      <w:r>
        <w:t xml:space="preserve">Mining that prior’s residual surfaces a</w:t>
      </w:r>
      <w:r>
        <w:t xml:space="preserve"> </w:t>
      </w:r>
      <w:r>
        <w:rPr>
          <w:b/>
        </w:rPr>
        <w:t xml:space="preserve">basal / squamous-lineage axis</w:t>
      </w:r>
      <w:r>
        <w:t xml:space="preserve"> </w:t>
      </w:r>
      <w:r>
        <w:t xml:space="preserve">(KRT5/14/17/6B, TP63, DSG3/DSC3,</w:t>
      </w:r>
      <w:r>
        <w:t xml:space="preserve"> </w:t>
      </w:r>
      <w:r>
        <w:t xml:space="preserve">SOX10, COL17A1, KLK5/7/8; keratinization, Reactome p ≈ 8×10⁻¹¹), verified by held-out replication (10/10),</w:t>
      </w:r>
      <w:r>
        <w:t xml:space="preserve"> </w:t>
      </w:r>
      <w:r>
        <w:t xml:space="preserve">recurrence of the core panel (10/10), and collapse under permuted labels. It reproduces externally in METABRIC</w:t>
      </w:r>
      <w:r>
        <w:t xml:space="preserve"> </w:t>
      </w:r>
      <w:r>
        <w:t xml:space="preserve">(Δ +0.036; 20/30 gene overlap, hypergeometric p ≈ 7×10⁻²⁷), is confirmed in the independent SCAN-B cohort</w:t>
      </w:r>
      <w:r>
        <w:t xml:space="preserve"> </w:t>
      </w:r>
      <w:r>
        <w:t xml:space="preserve">(Section 6), and recovers the same squamous/keratinization program in TCGA lung cancer (LUAD vs LUSC; 10/30</w:t>
      </w:r>
      <w:r>
        <w:t xml:space="preserve"> </w:t>
      </w:r>
      <w:r>
        <w:t xml:space="preserve">overlap, p ≈ 3×10⁻¹⁶) — the same genes in a different organ.</w:t>
      </w:r>
    </w:p>
    <w:p>
      <w:pPr>
        <w:pStyle w:val="Heading2"/>
      </w:pPr>
      <w:bookmarkStart w:id="24" w:name="X40276c6a4cac12393fc9827e14ae50e26d95f18"/>
      <w:r>
        <w:t xml:space="preserve">4. Generalisation across anchors, diseases, and feature types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 second knowledge anchor (HER2).</w:t>
      </w:r>
      <w:r>
        <w:t xml:space="preserve"> </w:t>
      </w:r>
      <w:r>
        <w:t xml:space="preserve">Anchoring on the ERBB2 amplicon (incomplete in TCGA, 0.752) discovers</w:t>
      </w:r>
      <w:r>
        <w:t xml:space="preserve"> </w:t>
      </w:r>
      <w:r>
        <w:t xml:space="preserve">a verified neuroendocrine/secretory + immune axis (Δ +0.054); it does not reproduce in METABRIC because the</w:t>
      </w:r>
      <w:r>
        <w:t xml:space="preserve"> </w:t>
      </w:r>
      <w:r>
        <w:t xml:space="preserve">amplicon anchor is near-complete there (0.997), leaving no residual — an interpretable negative.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 specificity control (ER).</w:t>
      </w:r>
      <w:r>
        <w:t xml:space="preserve"> </w:t>
      </w:r>
      <w:r>
        <w:t xml:space="preserve">Anchoring ER status on a complete ER/luminal signature (0.938) discovers</w:t>
      </w:r>
      <w:r>
        <w:t xml:space="preserve"> </w:t>
      </w:r>
      <w:r>
        <w:t xml:space="preserve">nothing (Δ −0.001): the method refuses to manufacture an axis when the prior already suffices — an honest</w:t>
      </w:r>
      <w:r>
        <w:t xml:space="preserve"> </w:t>
      </w:r>
      <w:r>
        <w:t xml:space="preserve">negative, the opposite of a hallucination.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 different disease and feature type (NSCLC immunotherapy).</w:t>
      </w:r>
      <w:r>
        <w:t xml:space="preserve"> </w:t>
      </w:r>
      <w:r>
        <w:t xml:space="preserve">Anchored on the textbook biomarker tumour</w:t>
      </w:r>
      <w:r>
        <w:t xml:space="preserve"> </w:t>
      </w:r>
      <w:r>
        <w:t xml:space="preserve">mutational burden (TMB) and given mutation/clinical features, the residual independently recovers the field’s</w:t>
      </w:r>
      <w:r>
        <w:t xml:space="preserve"> </w:t>
      </w:r>
      <w:r>
        <w:t xml:space="preserve">other established biomarkers — PD-L1 (orthogonal to TMB), and EGFR and STK11 mutation (resistance) — Δ +0.061</w:t>
      </w:r>
      <w:r>
        <w:t xml:space="preserve"> </w:t>
      </w:r>
      <w:r>
        <w:t xml:space="preserve">vs +0.006 for random panels (p = 0.038).</w:t>
      </w:r>
    </w:p>
    <w:p>
      <w:pPr>
        <w:pStyle w:val="Heading2"/>
      </w:pPr>
      <w:bookmarkStart w:id="25" w:name="X38c6d1636d3c0ed2acfb2e28cbe4b53ab48c747"/>
      <w:r>
        <w:t xml:space="preserve">5. Hypothesis-as-anchor: confirm, explain-away, or refute</w:t>
      </w:r>
      <w:bookmarkEnd w:id="25"/>
    </w:p>
    <w:p>
      <w:pPr>
        <w:pStyle w:val="FirstParagraph"/>
      </w:pPr>
      <w:r>
        <w:t xml:space="preserve">Run in reverse, a candidate hypothesis is gated onto the textbook anchor’s residual for a three-way verdict —</w:t>
      </w:r>
      <w:r>
        <w:t xml:space="preserve"> </w:t>
      </w:r>
      <w:r>
        <w:rPr>
          <w:b/>
        </w:rPr>
        <w:t xml:space="preserve">SUPPORTED</w:t>
      </w:r>
      <w:r>
        <w:t xml:space="preserve"> </w:t>
      </w:r>
      <w:r>
        <w:t xml:space="preserve">(adds beyond the prior),</w:t>
      </w:r>
      <w:r>
        <w:t xml:space="preserve"> </w:t>
      </w:r>
      <w:r>
        <w:rPr>
          <w:b/>
        </w:rPr>
        <w:t xml:space="preserve">EXPLAINED_BY_TEXTBOOK</w:t>
      </w:r>
      <w:r>
        <w:t xml:space="preserve"> </w:t>
      </w:r>
      <w:r>
        <w:t xml:space="preserve">(predicts alone but redundant once the prior</w:t>
      </w:r>
      <w:r>
        <w:t xml:space="preserve"> </w:t>
      </w:r>
      <w:r>
        <w:t xml:space="preserve">is controlled), or</w:t>
      </w:r>
      <w:r>
        <w:t xml:space="preserve"> </w:t>
      </w:r>
      <w:r>
        <w:rPr>
          <w:b/>
        </w:rPr>
        <w:t xml:space="preserve">REFUTED</w:t>
      </w:r>
      <w:r>
        <w:t xml:space="preserve"> </w:t>
      </w:r>
      <w:r>
        <w:t xml:space="preserve">— operationalising a mathematical form of peer review. A gate-free</w:t>
      </w:r>
      <w:r>
        <w:t xml:space="preserve"> </w:t>
      </w:r>
      <w:r>
        <w:rPr>
          <w:b/>
        </w:rPr>
        <w:t xml:space="preserve">commonality</w:t>
      </w:r>
      <w:r>
        <w:rPr>
          <w:b/>
        </w:rPr>
        <w:t xml:space="preserve"> </w:t>
      </w:r>
      <w:r>
        <w:rPr>
          <w:b/>
        </w:rPr>
        <w:t xml:space="preserve">decomposition</w:t>
      </w:r>
      <w:r>
        <w:t xml:space="preserve"> </w:t>
      </w:r>
      <w:r>
        <w:t xml:space="preserve">(after Tonidandel &amp; LeBreton) then partitions a hypothesis’s explained variance into the part</w:t>
      </w:r>
      <w:r>
        <w:t xml:space="preserve"> </w:t>
      </w:r>
      <w:r>
        <w:rPr>
          <w:i/>
        </w:rPr>
        <w:t xml:space="preserve">unique</w:t>
      </w:r>
      <w:r>
        <w:t xml:space="preserve"> </w:t>
      </w:r>
      <w:r>
        <w:t xml:space="preserve">to it versus the part</w:t>
      </w:r>
      <w:r>
        <w:t xml:space="preserve"> </w:t>
      </w:r>
      <w:r>
        <w:rPr>
          <w:i/>
        </w:rPr>
        <w:t xml:space="preserve">shared</w:t>
      </w:r>
      <w:r>
        <w:t xml:space="preserve"> </w:t>
      </w:r>
      <w:r>
        <w:t xml:space="preserve">with the anchor, and a mediation split shows how much of its effect runs</w:t>
      </w:r>
      <w:r>
        <w:t xml:space="preserve"> </w:t>
      </w:r>
      <w:r>
        <w:t xml:space="preserve">through the anchor. This yields a label —</w:t>
      </w:r>
      <w:r>
        <w:t xml:space="preserve"> </w:t>
      </w:r>
      <w:r>
        <w:rPr>
          <w:b/>
        </w:rPr>
        <w:t xml:space="preserve">NOVEL</w:t>
      </w:r>
      <w:r>
        <w:t xml:space="preserve">,</w:t>
      </w:r>
      <w:r>
        <w:t xml:space="preserve"> </w:t>
      </w:r>
      <w:r>
        <w:rPr>
          <w:b/>
        </w:rPr>
        <w:t xml:space="preserve">REDUNDANT</w:t>
      </w:r>
      <w:r>
        <w:t xml:space="preserve"> </w:t>
      </w:r>
      <w:r>
        <w:t xml:space="preserve">(collinear), or</w:t>
      </w:r>
      <w:r>
        <w:t xml:space="preserve"> </w:t>
      </w:r>
      <w:r>
        <w:rPr>
          <w:b/>
        </w:rPr>
        <w:t xml:space="preserve">INERT</w:t>
      </w:r>
      <w:r>
        <w:t xml:space="preserve"> </w:t>
      </w:r>
      <w:r>
        <w:t xml:space="preserve">— that separates a</w:t>
      </w:r>
      <w:r>
        <w:t xml:space="preserve"> </w:t>
      </w:r>
      <w:r>
        <w:t xml:space="preserve">signal that is</w:t>
      </w:r>
      <w:r>
        <w:t xml:space="preserve"> </w:t>
      </w:r>
      <w:r>
        <w:rPr>
          <w:i/>
        </w:rPr>
        <w:t xml:space="preserve">absent</w:t>
      </w:r>
      <w:r>
        <w:t xml:space="preserve"> </w:t>
      </w:r>
      <w:r>
        <w:t xml:space="preserve">from one that is merely</w:t>
      </w:r>
      <w:r>
        <w:t xml:space="preserve"> </w:t>
      </w:r>
      <w:r>
        <w:rPr>
          <w:i/>
        </w:rPr>
        <w:t xml:space="preserve">redundant</w:t>
      </w:r>
      <w:r>
        <w:t xml:space="preserve">. A 50-set hallmark screen is self-validating:</w:t>
      </w:r>
      <w:r>
        <w:t xml:space="preserve"> </w:t>
      </w:r>
      <w:r>
        <w:t xml:space="preserve">proliferation-type hallmarks add ≈ 0 beyond the proliferation anchor, while estrogen-response programs are the</w:t>
      </w:r>
      <w:r>
        <w:t xml:space="preserve"> </w:t>
      </w:r>
      <w:r>
        <w:t xml:space="preserve">supported orthogonal hits.</w:t>
      </w:r>
    </w:p>
    <w:p>
      <w:pPr>
        <w:pStyle w:val="Heading2"/>
      </w:pPr>
      <w:bookmarkStart w:id="26" w:name="Xea5f9002c761583e5abadaa053e58e9bfa3685f"/>
      <w:r>
        <w:t xml:space="preserve">6. Transportability: what fails to reproduce, and why</w:t>
      </w:r>
      <w:bookmarkEnd w:id="26"/>
    </w:p>
    <w:p>
      <w:pPr>
        <w:pStyle w:val="FirstParagraph"/>
      </w:pPr>
      <w:r>
        <w:t xml:space="preserve">The framework’s diagnostic contribution is to explain non-reproduction rather than merely report it. The</w:t>
      </w:r>
      <w:r>
        <w:t xml:space="preserve"> </w:t>
      </w:r>
      <w:r>
        <w:t xml:space="preserve">estrogen-response hypothesis is</w:t>
      </w:r>
      <w:r>
        <w:t xml:space="preserve"> </w:t>
      </w:r>
      <w:r>
        <w:rPr>
          <w:b/>
        </w:rPr>
        <w:t xml:space="preserve">NOVEL</w:t>
      </w:r>
      <w:r>
        <w:t xml:space="preserve"> </w:t>
      </w:r>
      <w:r>
        <w:t xml:space="preserve">in TCGA (unique R² = 0.038) but</w:t>
      </w:r>
      <w:r>
        <w:t xml:space="preserve"> </w:t>
      </w:r>
      <w:r>
        <w:rPr>
          <w:b/>
        </w:rPr>
        <w:t xml:space="preserve">REDUNDANT</w:t>
      </w:r>
      <w:r>
        <w:t xml:space="preserve"> </w:t>
      </w:r>
      <w:r>
        <w:t xml:space="preserve">in METABRIC (redundancy</w:t>
      </w:r>
      <w:r>
        <w:t xml:space="preserve"> </w:t>
      </w:r>
      <w:r>
        <w:t xml:space="preserve">= 1.00, 96 % mediated through proliferation) — collinear, not absent. A controlled sweep (hold both marginal</w:t>
      </w:r>
      <w:r>
        <w:t xml:space="preserve"> </w:t>
      </w:r>
      <w:r>
        <w:t xml:space="preserve">effects fixed, vary only the anchor–hypothesis correlation) reproduces this: the same ER effect is 100 % NOVEL</w:t>
      </w:r>
      <w:r>
        <w:t xml:space="preserve"> </w:t>
      </w:r>
      <w:r>
        <w:t xml:space="preserve">at TCGA’s correlation (+0.19) yet collapses into a collinear/suppression valley at METABRIC’s (−0.17). A second</w:t>
      </w:r>
      <w:r>
        <w:t xml:space="preserve"> </w:t>
      </w:r>
      <w:r>
        <w:t xml:space="preserve">endpoint, HER2, confirms specificity (INERT in TCGA, REDUNDANT in METABRIC).</w:t>
      </w:r>
    </w:p>
    <w:p>
      <w:pPr>
        <w:pStyle w:val="BodyText"/>
      </w:pPr>
      <w:r>
        <w:t xml:space="preserve">Across five endpoints and four columns — TCGA RNA-seq; TCGA Agilent (the</w:t>
      </w:r>
      <w:r>
        <w:t xml:space="preserve"> </w:t>
      </w:r>
      <w:r>
        <w:rPr>
          <w:i/>
        </w:rPr>
        <w:t xml:space="preserve">same patients</w:t>
      </w:r>
      <w:r>
        <w:t xml:space="preserve">, different platform);</w:t>
      </w:r>
      <w:r>
        <w:t xml:space="preserve"> </w:t>
      </w:r>
      <w:r>
        <w:t xml:space="preserve">METABRIC (independent microarray); and SCAN-B (independent RNA-seq, ~3,400 tumours) — three endpoints transport</w:t>
      </w:r>
      <w:r>
        <w:t xml:space="preserve"> </w:t>
      </w:r>
      <w:r>
        <w:t xml:space="preserve">and two do not: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 (anchor → hypothesis)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TCGA RNA-seq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TCGA Agilent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METABRIC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SCAN-B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Transports?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Basal vs rest (basal → immune)</w:t>
            </w:r>
          </w:p>
        </w:tc>
        <w:tc>
          <w:p>
            <w:pPr>
              <w:pStyle w:val="Compact"/>
              <w:jc w:val="left"/>
            </w:pPr>
            <w:r>
              <w:t xml:space="preserve">NOVEL</w:t>
            </w:r>
          </w:p>
        </w:tc>
        <w:tc>
          <w:p>
            <w:pPr>
              <w:pStyle w:val="Compact"/>
              <w:jc w:val="left"/>
            </w:pPr>
            <w:r>
              <w:t xml:space="preserve">NOVEL</w:t>
            </w:r>
          </w:p>
        </w:tc>
        <w:tc>
          <w:p>
            <w:pPr>
              <w:pStyle w:val="Compact"/>
              <w:jc w:val="left"/>
            </w:pPr>
            <w:r>
              <w:t xml:space="preserve">NOVEL</w:t>
            </w:r>
          </w:p>
        </w:tc>
        <w:tc>
          <w:p>
            <w:pPr>
              <w:pStyle w:val="Compact"/>
              <w:jc w:val="left"/>
            </w:pPr>
            <w:r>
              <w:t xml:space="preserve">NOVEL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 status (ER → proliferation)</w:t>
            </w:r>
          </w:p>
        </w:tc>
        <w:tc>
          <w:p>
            <w:pPr>
              <w:pStyle w:val="Compact"/>
              <w:jc w:val="left"/>
            </w:pPr>
            <w:r>
              <w:t xml:space="preserve">NOVEL</w:t>
            </w:r>
          </w:p>
        </w:tc>
        <w:tc>
          <w:p>
            <w:pPr>
              <w:pStyle w:val="Compact"/>
              <w:jc w:val="left"/>
            </w:pPr>
            <w:r>
              <w:t xml:space="preserve">NOVEL</w:t>
            </w:r>
          </w:p>
        </w:tc>
        <w:tc>
          <w:p>
            <w:pPr>
              <w:pStyle w:val="Compact"/>
              <w:jc w:val="left"/>
            </w:pPr>
            <w:r>
              <w:t xml:space="preserve">NOVEL</w:t>
            </w:r>
          </w:p>
        </w:tc>
        <w:tc>
          <w:p>
            <w:pPr>
              <w:pStyle w:val="Compact"/>
              <w:jc w:val="left"/>
            </w:pPr>
            <w:r>
              <w:t xml:space="preserve">NOVEL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HER2-subtype vs rest (amplicon → immune)</w:t>
            </w:r>
          </w:p>
        </w:tc>
        <w:tc>
          <w:p>
            <w:pPr>
              <w:pStyle w:val="Compact"/>
              <w:jc w:val="left"/>
            </w:pPr>
            <w:r>
              <w:t xml:space="preserve">NOVEL</w:t>
            </w:r>
          </w:p>
        </w:tc>
        <w:tc>
          <w:p>
            <w:pPr>
              <w:pStyle w:val="Compact"/>
              <w:jc w:val="left"/>
            </w:pPr>
            <w:r>
              <w:t xml:space="preserve">NOVEL</w:t>
            </w:r>
          </w:p>
        </w:tc>
        <w:tc>
          <w:p>
            <w:pPr>
              <w:pStyle w:val="Compact"/>
              <w:jc w:val="left"/>
            </w:pPr>
            <w:r>
              <w:t xml:space="preserve">NOVEL</w:t>
            </w:r>
          </w:p>
        </w:tc>
        <w:tc>
          <w:p>
            <w:pPr>
              <w:pStyle w:val="Compact"/>
              <w:jc w:val="left"/>
            </w:pPr>
            <w:r>
              <w:t xml:space="preserve">NOVEL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LumA vs LumB (proliferation → ER)</w:t>
            </w:r>
          </w:p>
        </w:tc>
        <w:tc>
          <w:p>
            <w:pPr>
              <w:pStyle w:val="Compact"/>
              <w:jc w:val="left"/>
            </w:pPr>
            <w:r>
              <w:t xml:space="preserve">NOVEL</w:t>
            </w:r>
          </w:p>
        </w:tc>
        <w:tc>
          <w:p>
            <w:pPr>
              <w:pStyle w:val="Compact"/>
              <w:jc w:val="left"/>
            </w:pPr>
            <w:r>
              <w:t xml:space="preserve">REDUNDANT</w:t>
            </w:r>
          </w:p>
        </w:tc>
        <w:tc>
          <w:p>
            <w:pPr>
              <w:pStyle w:val="Compact"/>
              <w:jc w:val="left"/>
            </w:pPr>
            <w:r>
              <w:t xml:space="preserve">REDUNDANT</w:t>
            </w:r>
          </w:p>
        </w:tc>
        <w:tc>
          <w:p>
            <w:pPr>
              <w:pStyle w:val="Compact"/>
              <w:jc w:val="left"/>
            </w:pPr>
            <w:r>
              <w:t xml:space="preserve">NOVEL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HER2 status (amplicon → ER)</w:t>
            </w:r>
          </w:p>
        </w:tc>
        <w:tc>
          <w:p>
            <w:pPr>
              <w:pStyle w:val="Compact"/>
              <w:jc w:val="left"/>
            </w:pPr>
            <w:r>
              <w:t xml:space="preserve">INERT</w:t>
            </w:r>
          </w:p>
        </w:tc>
        <w:tc>
          <w:p>
            <w:pPr>
              <w:pStyle w:val="Compact"/>
              <w:jc w:val="left"/>
            </w:pPr>
            <w:r>
              <w:t xml:space="preserve">INERT</w:t>
            </w:r>
          </w:p>
        </w:tc>
        <w:tc>
          <w:p>
            <w:pPr>
              <w:pStyle w:val="Compact"/>
              <w:jc w:val="left"/>
            </w:pPr>
            <w:r>
              <w:t xml:space="preserve">REDUNDANT</w:t>
            </w:r>
          </w:p>
        </w:tc>
        <w:tc>
          <w:p>
            <w:pPr>
              <w:pStyle w:val="Compact"/>
              <w:jc w:val="left"/>
            </w:pPr>
            <w:r>
              <w:t xml:space="preserve">NOVEL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Luminal A/B the label tracks</w:t>
      </w:r>
      <w:r>
        <w:t xml:space="preserve"> </w:t>
      </w:r>
      <w:r>
        <w:rPr>
          <w:b/>
        </w:rPr>
        <w:t xml:space="preserve">measurement technology</w:t>
      </w:r>
      <w:r>
        <w:t xml:space="preserve">: corr(proliferation, ER) is positive on both</w:t>
      </w:r>
      <w:r>
        <w:t xml:space="preserve"> </w:t>
      </w:r>
      <w:r>
        <w:t xml:space="preserve">RNA-seq cohorts (+0.19, +0.10 → NOVEL) and negative on both microarrays (−0.10, −0.17 → REDUNDANT), flipping</w:t>
      </w:r>
      <w:r>
        <w:t xml:space="preserve"> </w:t>
      </w:r>
      <w:r>
        <w:t xml:space="preserve">even on the</w:t>
      </w:r>
      <w:r>
        <w:t xml:space="preserve"> </w:t>
      </w:r>
      <w:r>
        <w:rPr>
          <w:i/>
        </w:rPr>
        <w:t xml:space="preserve">same</w:t>
      </w:r>
      <w:r>
        <w:t xml:space="preserve"> </w:t>
      </w:r>
      <w:r>
        <w:t xml:space="preserve">TCGA patients between their RNA-seq and Agilent measurements. As the companion media puts it,</w:t>
      </w:r>
      <w:r>
        <w:t xml:space="preserve"> </w:t>
      </w:r>
      <w:r>
        <w:t xml:space="preserve">the same tumour viewed through</w:t>
      </w:r>
      <w:r>
        <w:t xml:space="preserve"> </w:t>
      </w:r>
      <w:r>
        <w:t xml:space="preserve">“</w:t>
      </w:r>
      <w:r>
        <w:t xml:space="preserve">RNA-seq glasses</w:t>
      </w:r>
      <w:r>
        <w:t xml:space="preserve">”</w:t>
      </w:r>
      <w:r>
        <w:t xml:space="preserve"> </w:t>
      </w:r>
      <w:r>
        <w:t xml:space="preserve">versus</w:t>
      </w:r>
      <w:r>
        <w:t xml:space="preserve"> </w:t>
      </w:r>
      <w:r>
        <w:t xml:space="preserve">“</w:t>
      </w:r>
      <w:r>
        <w:t xml:space="preserve">microarray glasses</w:t>
      </w:r>
      <w:r>
        <w:t xml:space="preserve">”</w:t>
      </w:r>
      <w:r>
        <w:t xml:space="preserve"> </w:t>
      </w:r>
      <w:r>
        <w:t xml:space="preserve">casts an opposite statistical</w:t>
      </w:r>
      <w:r>
        <w:t xml:space="preserve"> </w:t>
      </w:r>
      <w:r>
        <w:t xml:space="preserve">shadow — so a model can end up</w:t>
      </w:r>
      <w:r>
        <w:t xml:space="preserve"> </w:t>
      </w:r>
      <w:r>
        <w:rPr>
          <w:i/>
        </w:rPr>
        <w:t xml:space="preserve">learning the platform, not the patient</w:t>
      </w:r>
      <w:r>
        <w:t xml:space="preserve">. Genuinely anchor-orthogonal axes</w:t>
      </w:r>
      <w:r>
        <w:t xml:space="preserve"> </w:t>
      </w:r>
      <w:r>
        <w:t xml:space="preserve">(basal→immune; ER-status→proliferation) are immune to this and transport across both platform and cohort.</w:t>
      </w:r>
    </w:p>
    <w:p>
      <w:pPr>
        <w:pStyle w:val="Heading2"/>
      </w:pPr>
      <w:bookmarkStart w:id="27" w:name="implications-and-conclusion"/>
      <w:r>
        <w:t xml:space="preserve">7. Implications and conclusion</w:t>
      </w:r>
      <w:bookmarkEnd w:id="27"/>
    </w:p>
    <w:p>
      <w:pPr>
        <w:pStyle w:val="FirstParagraph"/>
      </w:pPr>
      <w:r>
        <w:t xml:space="preserve">Predictive gains over a strong anchor are modest by design; the value is</w:t>
      </w:r>
      <w:r>
        <w:t xml:space="preserve"> </w:t>
      </w:r>
      <w:r>
        <w:rPr>
          <w:b/>
        </w:rPr>
        <w:t xml:space="preserve">routing and discovery</w:t>
      </w:r>
      <w:r>
        <w:t xml:space="preserve"> </w:t>
      </w:r>
      <w:r>
        <w:t xml:space="preserve">plus</w:t>
      </w:r>
      <w:r>
        <w:t xml:space="preserve"> </w:t>
      </w:r>
      <w:r>
        <w:rPr>
          <w:b/>
        </w:rPr>
        <w:t xml:space="preserve">diagnostic honesty</w:t>
      </w:r>
      <w:r>
        <w:t xml:space="preserve">. The framework reports honest negatives (the basal axis marks lineage identity, not</w:t>
      </w:r>
      <w:r>
        <w:t xml:space="preserve"> </w:t>
      </w:r>
      <w:r>
        <w:t xml:space="preserve">survival, in the studied cohort), scales efficiently (485,577 methylation probes vs ER status in ~24 s,</w:t>
      </w:r>
      <w:r>
        <w:t xml:space="preserve"> </w:t>
      </w:r>
      <w:r>
        <w:t xml:space="preserve">recovering the canonical</w:t>
      </w:r>
      <w:r>
        <w:t xml:space="preserve"> </w:t>
      </w:r>
      <w:r>
        <w:rPr>
          <w:i/>
        </w:rPr>
        <w:t xml:space="preserve">PGR</w:t>
      </w:r>
      <w:r>
        <w:t xml:space="preserve"> </w:t>
      </w:r>
      <w:r>
        <w:t xml:space="preserve">gene), and shows that external reproducibility tracks biological coherence:</w:t>
      </w:r>
      <w:r>
        <w:t xml:space="preserve"> </w:t>
      </w:r>
      <w:r>
        <w:t xml:space="preserve">pathway-enriched, anchor-orthogonal axes reproduce across cohorts, platforms, and cancers, while collinear,</w:t>
      </w:r>
      <w:r>
        <w:t xml:space="preserve"> </w:t>
      </w:r>
      <w:r>
        <w:t xml:space="preserve">measurement-dependent signals do not — and the framework now says which is which.</w:t>
      </w:r>
    </w:p>
    <w:p>
      <w:pPr>
        <w:pStyle w:val="BodyText"/>
      </w:pPr>
      <w:r>
        <w:t xml:space="preserve">The broader caution lands beyond any single result: if a calibrated model’s verdict can flip with the assay,</w:t>
      </w:r>
      <w:r>
        <w:t xml:space="preserve"> </w:t>
      </w:r>
      <w:r>
        <w:t xml:space="preserve">some apparent replication failures across the literature may be platform artefacts rather than biological</w:t>
      </w:r>
      <w:r>
        <w:t xml:space="preserve"> </w:t>
      </w:r>
      <w:r>
        <w:t xml:space="preserve">disagreements. An anchored, residual-aware frame gives a rigorous way to tell the two apart.</w:t>
      </w:r>
    </w:p>
    <w:p>
      <w:pPr>
        <w:pStyle w:val="BodyText"/>
      </w:pPr>
      <w:r>
        <w:rPr>
          <w:b/>
        </w:rPr>
        <w:t xml:space="preserve">Limitations.</w:t>
      </w:r>
      <w:r>
        <w:t xml:space="preserve"> </w:t>
      </w:r>
      <w:r>
        <w:t xml:space="preserve">Gains over a strong anchor are modest (the value is routing/discovery/diagnosis, not large</w:t>
      </w:r>
      <w:r>
        <w:t xml:space="preserve"> </w:t>
      </w:r>
      <w:r>
        <w:t xml:space="preserve">AUROC wins); discovered axes are candidate</w:t>
      </w:r>
      <w:r>
        <w:t xml:space="preserve"> </w:t>
      </w:r>
      <w:r>
        <w:rPr>
          <w:i/>
        </w:rPr>
        <w:t xml:space="preserve">biological</w:t>
      </w:r>
      <w:r>
        <w:t xml:space="preserve"> </w:t>
      </w:r>
      <w:r>
        <w:t xml:space="preserve">programs, not validated clinical biomarkers (the basal</w:t>
      </w:r>
      <w:r>
        <w:t xml:space="preserve"> </w:t>
      </w:r>
      <w:r>
        <w:t xml:space="preserve">axis marks lineage, not prognosis); results are conditional on the chosen anchor (a near-complete anchor leaves</w:t>
      </w:r>
      <w:r>
        <w:t xml:space="preserve"> </w:t>
      </w:r>
      <w:r>
        <w:t xml:space="preserve">no residual by construction); validation is breast-centric plus two cross-domain demonstrations, with</w:t>
      </w:r>
      <w:r>
        <w:t xml:space="preserve"> </w:t>
      </w:r>
      <w:r>
        <w:t xml:space="preserve">assay-dependent hypothesis-screen labels and untested single-cell/proteomic anchors; and this is a single-author</w:t>
      </w:r>
      <w:r>
        <w:t xml:space="preserve"> </w:t>
      </w:r>
      <w:r>
        <w:t xml:space="preserve">methods study on public data, without prospective or wet-lab validation.</w:t>
      </w:r>
    </w:p>
    <w:p>
      <w:pPr>
        <w:pStyle w:val="BodyText"/>
      </w:pPr>
      <w:r>
        <w:rPr>
          <w:i/>
        </w:rPr>
        <w:t xml:space="preserve">Core philosophy: anchor on established biology and let a gate decide, honestly, whether genome-wide data beats</w:t>
      </w:r>
      <w:r>
        <w:rPr>
          <w:i/>
        </w:rPr>
        <w:t xml:space="preserve"> </w:t>
      </w:r>
      <w:r>
        <w:rPr>
          <w:i/>
        </w:rPr>
        <w:t xml:space="preserve">it — and when a hypothesis fails to add, say whether it is novel-elsewhere, merely redundant, or truly absent.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appendix-a-results-at-a-glance"/>
      <w:r>
        <w:t xml:space="preserve">Appendix A — Results at a glance</w:t>
      </w:r>
      <w:bookmarkEnd w:id="28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 / 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Anchor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Anchor AUROC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Residual gain (ΔAUROC)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Discovered axis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External 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Label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Luminal A vs B</w:t>
            </w:r>
          </w:p>
        </w:tc>
        <w:tc>
          <w:p>
            <w:pPr>
              <w:pStyle w:val="Compact"/>
              <w:jc w:val="left"/>
            </w:pPr>
            <w:r>
              <w:t xml:space="preserve">20-gene proliferation</w:t>
            </w:r>
          </w:p>
        </w:tc>
        <w:tc>
          <w:p>
            <w:pPr>
              <w:pStyle w:val="Compact"/>
              <w:jc w:val="left"/>
            </w:pPr>
            <w:r>
              <w:t xml:space="preserve">0.919</w:t>
            </w:r>
          </w:p>
        </w:tc>
        <w:tc>
          <w:p>
            <w:pPr>
              <w:pStyle w:val="Compact"/>
              <w:jc w:val="left"/>
            </w:pPr>
            <w:r>
              <w:t xml:space="preserve">+0.029</w:t>
            </w:r>
          </w:p>
        </w:tc>
        <w:tc>
          <w:p>
            <w:pPr>
              <w:pStyle w:val="Compact"/>
              <w:jc w:val="left"/>
            </w:pPr>
            <w:r>
              <w:t xml:space="preserve">basal/keratinization (KRT5/14/17/6B, TP63, DSG3/DSC3, SOX10, COL17A1, KLK5/7/8)</w:t>
            </w:r>
          </w:p>
        </w:tc>
        <w:tc>
          <w:p>
            <w:pPr>
              <w:pStyle w:val="Compact"/>
              <w:jc w:val="left"/>
            </w:pPr>
            <w:r>
              <w:t xml:space="preserve">METABRIC Δ+0.036; lung 10/30; SCAN-B confirmed</w:t>
            </w:r>
          </w:p>
        </w:tc>
        <w:tc>
          <w:p>
            <w:pPr>
              <w:pStyle w:val="Compact"/>
              <w:jc w:val="left"/>
            </w:pPr>
            <w:r>
              <w:t xml:space="preserve">NOVEL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HER2 status</w:t>
            </w:r>
          </w:p>
        </w:tc>
        <w:tc>
          <w:p>
            <w:pPr>
              <w:pStyle w:val="Compact"/>
              <w:jc w:val="left"/>
            </w:pPr>
            <w:r>
              <w:t xml:space="preserve">ERBB2 amplicon</w:t>
            </w:r>
          </w:p>
        </w:tc>
        <w:tc>
          <w:p>
            <w:pPr>
              <w:pStyle w:val="Compact"/>
              <w:jc w:val="left"/>
            </w:pPr>
            <w:r>
              <w:t xml:space="preserve">0.752</w:t>
            </w:r>
          </w:p>
        </w:tc>
        <w:tc>
          <w:p>
            <w:pPr>
              <w:pStyle w:val="Compact"/>
              <w:jc w:val="left"/>
            </w:pPr>
            <w:r>
              <w:t xml:space="preserve">+0.054</w:t>
            </w:r>
          </w:p>
        </w:tc>
        <w:tc>
          <w:p>
            <w:pPr>
              <w:pStyle w:val="Compact"/>
              <w:jc w:val="left"/>
            </w:pPr>
            <w:r>
              <w:t xml:space="preserve">neuroendocrine/secretory + immune</w:t>
            </w:r>
          </w:p>
        </w:tc>
        <w:tc>
          <w:p>
            <w:pPr>
              <w:pStyle w:val="Compact"/>
              <w:jc w:val="left"/>
            </w:pPr>
            <w:r>
              <w:t xml:space="preserve">not in METABRIC (anchor near-complete 0.997)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 status</w:t>
            </w:r>
          </w:p>
        </w:tc>
        <w:tc>
          <w:p>
            <w:pPr>
              <w:pStyle w:val="Compact"/>
              <w:jc w:val="left"/>
            </w:pPr>
            <w:r>
              <w:t xml:space="preserve">ER/luminal signature</w:t>
            </w:r>
          </w:p>
        </w:tc>
        <w:tc>
          <w:p>
            <w:pPr>
              <w:pStyle w:val="Compact"/>
              <w:jc w:val="left"/>
            </w:pPr>
            <w:r>
              <w:t xml:space="preserve">0.938</w:t>
            </w:r>
          </w:p>
        </w:tc>
        <w:tc>
          <w:p>
            <w:pPr>
              <w:pStyle w:val="Compact"/>
              <w:jc w:val="left"/>
            </w:pPr>
            <w:r>
              <w:t xml:space="preserve">−0.001</w:t>
            </w:r>
          </w:p>
        </w:tc>
        <w:tc>
          <w:p>
            <w:pPr>
              <w:pStyle w:val="Compact"/>
              <w:jc w:val="left"/>
            </w:pPr>
            <w:r>
              <w:t xml:space="preserve">none (specificity control)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INERT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NSCLC anti-PD-1 benefit</w:t>
            </w:r>
          </w:p>
        </w:tc>
        <w:tc>
          <w:p>
            <w:pPr>
              <w:pStyle w:val="Compact"/>
              <w:jc w:val="left"/>
            </w:pPr>
            <w:r>
              <w:t xml:space="preserve">TMB</w:t>
            </w:r>
          </w:p>
        </w:tc>
        <w:tc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p>
            <w:pPr>
              <w:pStyle w:val="Compact"/>
              <w:jc w:val="left"/>
            </w:pPr>
            <w:r>
              <w:t xml:space="preserve">+0.061</w:t>
            </w:r>
          </w:p>
        </w:tc>
        <w:tc>
          <w:p>
            <w:pPr>
              <w:pStyle w:val="Compact"/>
              <w:jc w:val="left"/>
            </w:pPr>
            <w:r>
              <w:t xml:space="preserve">PD-L1; EGFR/STK11 mutation</w:t>
            </w:r>
          </w:p>
        </w:tc>
        <w:tc>
          <w:p>
            <w:pPr>
              <w:pStyle w:val="Compact"/>
              <w:jc w:val="left"/>
            </w:pPr>
            <w:r>
              <w:t xml:space="preserve">recovers established biomarkers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Heading2"/>
      </w:pPr>
      <w:bookmarkStart w:id="29" w:name="Xd8038d09250f3e145ff38c2cbd26a3e8c412779"/>
      <w:r>
        <w:t xml:space="preserve">Appendix B — Companion media (NotebookLM Studio, transcribed)</w:t>
      </w:r>
      <w:bookmarkEnd w:id="29"/>
    </w:p>
    <w:p>
      <w:pPr>
        <w:pStyle w:val="FirstParagraph"/>
      </w:pPr>
      <w:r>
        <w:t xml:space="preserve">Both generated from the same manuscript source and, on transcription, faithful to it (automatic-speech</w:t>
      </w:r>
      <w:r>
        <w:t xml:space="preserve"> </w:t>
      </w:r>
      <w:r>
        <w:t xml:space="preserve">slips corrected: PD-L1, STK11, LeBreton, gene names). Full transcripts accompany this paper.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Audio overview</w:t>
      </w:r>
      <w:r>
        <w:t xml:space="preserve"> </w:t>
      </w:r>
      <w:r>
        <w:t xml:space="preserve">(~24 min, two-host deep dive): data-overload imagery; the broth analogy; the gate as a</w:t>
      </w:r>
      <w:r>
        <w:t xml:space="preserve"> </w:t>
      </w:r>
      <w:r>
        <w:t xml:space="preserve">“</w:t>
      </w:r>
      <w:r>
        <w:t xml:space="preserve">taste test at the door</w:t>
      </w:r>
      <w:r>
        <w:t xml:space="preserve">”</w:t>
      </w:r>
      <w:r>
        <w:t xml:space="preserve">; the basal discovery and its METABRIC/lung/NSCLC validation; the ER specificity</w:t>
      </w:r>
      <w:r>
        <w:t xml:space="preserve"> </w:t>
      </w:r>
      <w:r>
        <w:t xml:space="preserve">control as an honest negative; and the transportability trap (the proliferation–ER correlation flipping sign</w:t>
      </w:r>
      <w:r>
        <w:t xml:space="preserve"> </w:t>
      </w:r>
      <w:r>
        <w:t xml:space="preserve">on the</w:t>
      </w:r>
      <w:r>
        <w:t xml:space="preserve"> </w:t>
      </w:r>
      <w:r>
        <w:rPr>
          <w:i/>
        </w:rPr>
        <w:t xml:space="preserve">same patients</w:t>
      </w:r>
      <w:r>
        <w:t xml:space="preserve"> </w:t>
      </w:r>
      <w:r>
        <w:t xml:space="preserve">across RNA-seq vs microarray, framed as two coloured glasses).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Explainer video</w:t>
      </w:r>
      <w:r>
        <w:t xml:space="preserve"> </w:t>
      </w:r>
      <w:r>
        <w:t xml:space="preserve">(~7.6 min), five parts — the multi-omics myth, the knowledge anchor, mining the residual,</w:t>
      </w:r>
      <w:r>
        <w:t xml:space="preserve"> </w:t>
      </w:r>
      <w:r>
        <w:t xml:space="preserve">cross-cancer discoveries, and the platform trap; memorable framings include</w:t>
      </w:r>
      <w:r>
        <w:t xml:space="preserve"> </w:t>
      </w:r>
      <w:r>
        <w:t xml:space="preserve">“</w:t>
      </w:r>
      <w:r>
        <w:t xml:space="preserve">never below the best single</w:t>
      </w:r>
      <w:r>
        <w:t xml:space="preserve"> </w:t>
      </w:r>
      <w:r>
        <w:t xml:space="preserve">view,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search engine for the dark matter of the tumour’s biology,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learning the platform, not the</w:t>
      </w:r>
      <w:r>
        <w:t xml:space="preserve"> </w:t>
      </w:r>
      <w:r>
        <w:t xml:space="preserve">patient.</w:t>
      </w:r>
      <w:r>
        <w:t xml:space="preserve">”</w:t>
      </w:r>
    </w:p>
    <w:p>
      <w:pPr>
        <w:pStyle w:val="Heading2"/>
      </w:pPr>
      <w:bookmarkStart w:id="30" w:name="appendix-c-data-and-code"/>
      <w:r>
        <w:t xml:space="preserve">Appendix C — Data and code</w:t>
      </w:r>
      <w:bookmarkEnd w:id="30"/>
    </w:p>
    <w:p>
      <w:pPr>
        <w:pStyle w:val="FirstParagraph"/>
      </w:pPr>
      <w:r>
        <w:t xml:space="preserve">All data are public and de-identified: TCGA (BRCA RNA-seq and Agilent, LUAD, LUSC, HNSC) via UCSC Xena;</w:t>
      </w:r>
      <w:r>
        <w:t xml:space="preserve"> </w:t>
      </w:r>
      <w:r>
        <w:t xml:space="preserve">METABRIC and the NSCLC anti-PD-1 cohort via cBioPortal; SCAN-B via GEO accession GSE96058. Code, reproduce</w:t>
      </w:r>
      <w:r>
        <w:t xml:space="preserve"> </w:t>
      </w:r>
      <w:r>
        <w:t xml:space="preserve">runners, recorded metrics, unit tests and CI guards live in the</w:t>
      </w:r>
      <w:r>
        <w:t xml:space="preserve"> </w:t>
      </w:r>
      <w:r>
        <w:rPr>
          <w:rStyle w:val="VerbatimChar"/>
        </w:rPr>
        <w:t xml:space="preserve">omniomics</w:t>
      </w:r>
      <w:r>
        <w:t xml:space="preserve"> </w:t>
      </w:r>
      <w:r>
        <w:t xml:space="preserve">repository; the formal manuscript</w:t>
      </w:r>
      <w:r>
        <w:t xml:space="preserve"> </w:t>
      </w:r>
      <w:r>
        <w:t xml:space="preserve">and preprint accompany this white paper.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Anchored Multi-Omics Integration and Knowledge-Anchored Residual Discovery</dc:title>
  <dc:creator>H. Ryan Kim</dc:creator>
  <cp:keywords/>
  <dcterms:created xsi:type="dcterms:W3CDTF">2026-06-20T21:25:40Z</dcterms:created>
  <dcterms:modified xsi:type="dcterms:W3CDTF">2026-06-20T21:25:40Z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A never-below-the-best-view integrator, and a tool to find what the known biology misses — a white paper</vt:lpwstr>
  </property>
</Properties>
</file>