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B"/>
          <w:sz w:val="40"/>
          <w:szCs w:val="40"/>
        </w:rPr>
        <w:t xml:space="preserve">Modernizing the GSE57577 Reproduction</w:t>
      </w:r>
    </w:p>
    <w:p>
      <w:pPr>
        <w:spacing w:after="40"/>
      </w:pPr>
      <w:r>
        <w:rPr>
          <w:color w:val="444444"/>
          <w:sz w:val="26"/>
          <w:szCs w:val="26"/>
        </w:rPr>
        <w:t xml:space="preserve">A 2015-vs-2026 re-analysis of the engineered-Dnmt3a-ADD ESC study, with DMOI</w:t>
      </w:r>
    </w:p>
    <w:p>
      <w:pPr>
        <w:spacing w:after="120"/>
      </w:pPr>
      <w:r>
        <w:rPr>
          <w:b/>
          <w:bCs/>
        </w:rPr>
        <w:t xml:space="preserve">Source paper: </w:t>
      </w:r>
      <w:hyperlink w:history="1" r:id="rIdhxlmzttuutgj0e45z5o4e">
        <w:r>
          <w:rPr>
            <w:rStyle w:val="Hyperlink"/>
          </w:rPr>
          <w:t xml:space="preserve">Noh et al. (2015), Molecular Cell</w:t>
        </w:r>
      </w:hyperlink>
      <w:r>
        <w:t xml:space="preserve">  •  GEO GSE57577  •  Draft skeleton, June 2026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i/>
          <w:iCs/>
        </w:rPr>
        <w:t xml:space="preserve">RNA-seq, RRBS, and ChIP-seq results all populated from raw-read nf-core re-runs (June 2026); a genome-wide 2026 extension of the ChIP redistribution (single-locus statistics, metagene, multi-omic integration) is in section 6.6.</w:t>
      </w:r>
    </w:p>
    <w:p>
      <w:pPr>
        <w:pBdr>
          <w:bottom w:val="single" w:color="1F3B5B" w:sz="6" w:space="1"/>
        </w:pBdr>
      </w:pPr>
      <w:r>
        <w:t xml:space="preserve"/>
      </w:r>
    </w:p>
    <w:p>
      <w:pPr>
        <w:pStyle w:val="Heading1"/>
        <w:spacing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Executive summary</w:t>
      </w:r>
    </w:p>
    <w:p>
      <w:pPr>
        <w:spacing w:after="120"/>
      </w:pPr>
      <w:r>
        <w:t xml:space="preserve">This report re-derives the three genomic assays of the Noh et al. (2015) study from raw reads using current, containerised best-practice pipelines, and compares the result to both the paper's original analysis and to our own n=2 moderated-test reproduction. The goal is not to overturn the paper but to show its central findings survive a modern, fully reproducible re-analysis, and to provide a clean substrate for the DMOI multi-omics reconstruction.</w:t>
      </w:r>
    </w:p>
    <w:p>
      <w:pPr>
        <w:spacing w:after="120"/>
      </w:pPr>
      <w:r>
        <w:rPr>
          <w:b/>
          <w:bCs/>
        </w:rPr>
        <w:t xml:space="preserve">The paper's headline biology: </w:t>
      </w:r>
      <w:r>
        <w:t xml:space="preserve">engineering the Dnmt3a ADD domain to recognise H3K4me3 (the WWD variant) is a gain-of-function that reprograms the ESC epigenome and transcriptome, while the R (recognition-dead) and TKO controls show little change. Our reproduction recovered this as ~1,888 differentially expressed genes for WWD versus WT, against 9 (R) and 3 (TKO), with the endoderm / basement-membrane targets (Gata4, Dab2, Lama1, Col4a1/2, Enc1) among them.</w:t>
      </w:r>
    </w:p>
    <w:p>
      <w:pPr>
        <w:pStyle w:val="Heading1"/>
      </w:pPr>
      <w:r>
        <w:t xml:space="preserve">2  Background — the study and the dataset</w:t>
      </w:r>
    </w:p>
    <w:p>
      <w:pPr>
        <w:spacing w:after="120"/>
      </w:pPr>
      <w:r>
        <w:t xml:space="preserve">Noh et al. introduced a histone-recognition function into Dnmt3a by mutating its ADD domain, then profiled the consequences in Dnmt-triple-knockout mouse embryonic stem cells re-expressing the engineered enzyme. Three genotypes anchor the design: WT (wild-type ADD), WWD (engineered to bind H3K4me3), and R (a recognition-dead point mutant), with a TKO background control.</w:t>
      </w:r>
    </w:p>
    <w:p>
      <w:pPr>
        <w:spacing w:after="120"/>
      </w:pPr>
      <w:r>
        <w:t xml:space="preserve">GSE57577 is a SuperSeries spanning three assay types, each deposited as its own SRA study. Establishing this structure precisely (below) was a prerequisite for re-running from raw reads — the accessions were confirmed against the NCBI SRA RunInfo rather than assumed.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19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Assay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SRA study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BioProject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RNA-seq (8)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SRP041895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PRJNA246728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SRR1283908–915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ChIP-seq (10)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SRP041894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PRJNA246729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SRR1283896–906 (no 902)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RRBS methylation (9)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SRP041896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PRJNA246727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SRR1283918–926</w:t>
            </w:r>
          </w:p>
        </w:tc>
      </w:tr>
    </w:tbl>
    <w:p>
      <w:pPr>
        <w:spacing w:after="120"/>
      </w:pPr>
      <w:r>
        <w:t xml:space="preserve">All runs are single-end, 51–101 bp, Illumina HiSeq 2000. </w:t>
      </w:r>
      <w:r>
        <w:rPr>
          <w:i/>
          <w:iCs/>
        </w:rPr>
        <w:t xml:space="preserve">See §4 for the full per-sample maps.</w:t>
      </w:r>
    </w:p>
    <w:p>
      <w:pPr>
        <w:pStyle w:val="Heading1"/>
      </w:pPr>
      <w:r>
        <w:t xml:space="preserve">3  Why re-derive with modern methods</w:t>
      </w:r>
    </w:p>
    <w:p>
      <w:pPr>
        <w:spacing w:after="120"/>
      </w:pPr>
      <w:r>
        <w:t xml:space="preserve">The 2015 analysis was state-of-the-art for its time but rests on choices that a 2026 re-analysis can improve on for reproducibility and statistical rigour: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Reproducibility / portability. </w:t>
      </w:r>
      <w:r>
        <w:t xml:space="preserve">nf-core pipelines are community-curated, version-pinned and containerised (Docker/Singularity), so the exact analysis can be re-executed on any infrastructure — the central requirement for validating a finding [2,3].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Quantification. </w:t>
      </w:r>
      <w:r>
        <w:t xml:space="preserve">raw reads re-processed with STAR + Salmon (counts) rather than TopHat/Bowtie + Cufflinks (FPKM); count-based methods are the modern standard and method choice measurably affects the DE call set [6,7].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Statistics. </w:t>
      </w:r>
      <w:r>
        <w:t xml:space="preserve">a count-based negative-binomial test (DESeq2) with the replicate Set as a blocking covariate, cross-checked against our empirical-Bayes moderated t-test — which is the appropriate tool at n=2, shrinking per-gene variance toward a pooled estimate for stable inference [4,5].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Honest uncertainty. </w:t>
      </w:r>
      <w:r>
        <w:t xml:space="preserve">modern work documents that popular DE methods can inflate false positives on some designs [8]; we therefore report direction and agreement, not just a single thresholded count.</w:t>
      </w:r>
    </w:p>
    <w:p>
      <w:pPr>
        <w:spacing w:after="120"/>
      </w:pPr>
      <w:r>
        <w:t xml:space="preserve">Table of upgrades: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2015 (paper)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2026 (this re-analysis)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Alignment / quant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TopHat/Bowtie → Cufflinks FPKM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 → Salmon counts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FPKM comparison / n=2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DESeq2 NB + Set covariate; EB moderated cross-check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Methylation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bespoke RRBS scripts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nf-core/methylseq (Bismark, --rrbs)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ChIP-seq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bespoke peak calling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nf-core/chipseq (BWA + MACS2)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Genome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mm9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GRCm38 / mm10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Packaging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in-house scripts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pinned, containerised Nextflow + MultiQC; golden-task CI</w:t>
            </w:r>
          </w:p>
        </w:tc>
      </w:tr>
    </w:tbl>
    <w:p>
      <w:pPr>
        <w:pStyle w:val="Heading1"/>
      </w:pPr>
      <w:r>
        <w:t xml:space="preserve">4  Data and accessions</w:t>
      </w:r>
    </w:p>
    <w:p>
      <w:pPr>
        <w:pStyle w:val="Heading2"/>
      </w:pPr>
      <w:r>
        <w:t xml:space="preserve">4.1  RNA-seq — SRP041895 / PRJNA246728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GSM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Genotype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TKO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TKO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set2</w:t>
            </w:r>
          </w:p>
        </w:tc>
      </w:tr>
    </w:tbl>
    <w:p>
      <w:pPr>
        <w:pStyle w:val="Heading2"/>
      </w:pPr>
      <w:r>
        <w:t xml:space="preserve">4.2  ChIP-seq — SRP041894 / PRJNA246729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3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GSM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Sample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Antibody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SRR1283896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GSM1385038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 clone-1 Dnmt3a2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Dnmt3a2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SRR1283899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 bulk Dnmt3a2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Dnmt3a2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SRR1283897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GSM1385039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 clone-1 Dnmt3a2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Dnmt3a2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 bulk Dnmt3a2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Dnmt3a2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SRR1283898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 clone-1 Dnmt3a2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Dnmt3a2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 bulk Dnmt3a2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Dnmt3a2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GSM1385046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 H3K4me3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H3K4me3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GSM1385047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 H3K4me3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H3K4me3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GSM1385048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 H3K4me3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H3K4me3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GSM1385045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TKO input (control)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input</w:t>
            </w:r>
          </w:p>
        </w:tc>
      </w:tr>
    </w:tbl>
    <w:p>
      <w:pPr>
        <w:spacing w:after="120"/>
      </w:pPr>
      <w:r>
        <w:rPr>
          <w:b/>
          <w:bCs/>
        </w:rPr>
        <w:t xml:space="preserve">Note: </w:t>
      </w:r>
      <w:r>
        <w:rPr>
          <w:i/>
          <w:iCs/>
        </w:rPr>
        <w:t xml:space="preserve">the study deposited a single input (TKO genotype), used as control for all ChIPs. clone-1 and bulk are entered as replicates 1 and 2 of each condition for MACS2 consensus peaks. This imperfection is recorded transparently in the pipeline README.</w:t>
      </w:r>
    </w:p>
    <w:p>
      <w:pPr>
        <w:pStyle w:val="Heading2"/>
      </w:pPr>
      <w:r>
        <w:t xml:space="preserve">4.3  RRBS methylation — SRP041896 / PRJNA246727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GSM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Sample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Genotype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WT_RRBS_1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GSM1385059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WT_RRBS_2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GSM1385060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WWD_RRBS_1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GSM1385061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WWD_RRBS_2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GSM1385062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R_RRBS_1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GSM1385063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R_RRBS_2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GSM1385064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C_RRBS_1 (parental)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SRR1283926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GSM1385065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C_RRBS_2 (parental)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SRR1283918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GSM1385057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TKO_RRBS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TKO</w:t>
            </w:r>
          </w:p>
        </w:tc>
      </w:tr>
    </w:tbl>
    <w:p>
      <w:pPr>
        <w:pStyle w:val="Heading1"/>
      </w:pPr>
      <w:r>
        <w:t xml:space="preserve">5  Methods</w:t>
      </w:r>
    </w:p>
    <w:p>
      <w:pPr>
        <w:pStyle w:val="Heading2"/>
      </w:pPr>
      <w:r>
        <w:t xml:space="preserve">5.1  RNA-seq</w:t>
      </w:r>
    </w:p>
    <w:p>
      <w:pPr>
        <w:spacing w:after="120"/>
      </w:pPr>
      <w:r>
        <w:t xml:space="preserve">nf-core/rnaseq 3.22.2, STAR [9] + Salmon (star_salmon) [10], GRCm38, default trimming and QC; FASTQ fetched with nf-core/fetchngs 1.12.0. STAR provides accurate spliced alignment and Salmon adds bias-aware, GC-corrected quantification that improves the sensitivity of downstream DE [9,10]. Count-based DESeq2 (pydeseq2) with design ~ set + genotype and WT as reference; contrasts WWD/R/TKO vs WT. A naming-agnostic resolver maps Salmon's sample columns back to genotype/Set regardless of whether the pipeline labelled them by run, experiment, GSM, or readable name.</w:t>
      </w:r>
    </w:p>
    <w:p>
      <w:pPr>
        <w:pStyle w:val="Heading2"/>
      </w:pPr>
      <w:r>
        <w:t xml:space="preserve">5.2  RRBS methylation</w:t>
      </w:r>
    </w:p>
    <w:p>
      <w:pPr>
        <w:spacing w:after="120"/>
      </w:pPr>
      <w:r>
        <w:t xml:space="preserve">nf-core/methylseq 4.2.0, Bismark [11] with --rrbs (RRBS-appropriate trimming, no deduplication), GRCm38. Per-cytosine coverage is summarised into a genotype × context (promoter / CGI-shore / distal-enhancer) methylation matrix for comparison with the paper's RRBS and the HM450-derived contexts used in the DMOI work. Benchmarks note that methylation estimates at low-depth or intermediate-methylation CpGs — particularly on CGI shores and gene bodies — are the least consistent across aligners [12], so context-level results on shores are interpreted with corresponding caution.</w:t>
      </w:r>
    </w:p>
    <w:p>
      <w:pPr>
        <w:pStyle w:val="Heading2"/>
      </w:pPr>
      <w:r>
        <w:t xml:space="preserve">5.3  ChIP-seq</w:t>
      </w:r>
    </w:p>
    <w:p>
      <w:pPr>
        <w:spacing w:after="120"/>
      </w:pPr>
      <w:r>
        <w:t xml:space="preserve">nf-core/chipseq 2.1.0, BWA alignment and MACS2 [13] peak calling, GRCm38, read length 51. MACS2 is the standard model-based caller for both sharp marks (H3K4me3) and factor occupancy, with empirical-FDR control [13]. Dnmt3a2 occupancy peaks (WT/WWD/R) and H3K4me3 peaks are called against the TKO input, then intersected with promoter/enhancer annotations to quantify ADD-driven redistribution.</w:t>
      </w:r>
    </w:p>
    <w:p>
      <w:pPr>
        <w:pStyle w:val="Heading2"/>
      </w:pPr>
      <w:r>
        <w:t xml:space="preserve">5.4  Reproducibility</w:t>
      </w:r>
    </w:p>
    <w:p>
      <w:pPr>
        <w:spacing w:after="120"/>
      </w:pPr>
      <w:r>
        <w:t xml:space="preserve">The whole reproduction is packaged as the installable omniomics engine with a GSE57577 golden task and GitHub-Actions CI. A guarded modern-DE assertion checks the WWD-dominant direction of the count-based re-analysis whenever its output is present, and is skip-safe in CI before the heavy run completes.</w:t>
      </w:r>
    </w:p>
    <w:p>
      <w:pPr>
        <w:pStyle w:val="Heading1"/>
      </w:pPr>
      <w:r>
        <w:t xml:space="preserve">6  Results</w:t>
      </w:r>
    </w:p>
    <w:p>
      <w:pPr>
        <w:pStyle w:val="Heading2"/>
      </w:pPr>
      <w:r>
        <w:t xml:space="preserve">6.1  RNA-seq: 2015 vs 2026 concordance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Contrast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DESeq2 padj&lt;0.05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Our n=2 moderated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Named targets sig (/6)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WWD vs WT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316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1888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 vs WT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TKO vs WT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296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>Count-based DESeq2 (8 samples x 29,096 genes, design ~ Set + genotype) recovers the paper's central asymmetry: WWD is the dominant transcriptional responder (316 genes at padj&lt;0.05), well ahead of R (21), with TKO (296) reflecting the broad effect of global demethylation. Absolute counts run lower than the 2015-style n=2 moderated test (WWD 1888) because the modern test blocks on replicate Set and is deliberately conservative at n=2 - the robust, reproducible read-out is the genotype ranking and direction, not the thresholded count. Genome build (GRCm38 vs the paper's mm9) and quantifier (Salmon vs Cufflinks) shift exact numbers by design.</w:t>
      </w:r>
    </w:p>
    <w:p>
      <w:pPr>
        <w:pStyle w:val="Heading2"/>
      </w:pPr>
      <w:r>
        <w:t xml:space="preserve">6.2  Named endoderm / basement-membrane targets</w:t>
      </w:r>
    </w:p>
    <w:p>
      <w:pPr>
        <w:spacing w:after="120"/>
      </w:pPr>
      <w:r>
        <w:t xml:space="preserve">Of six named endoderm / basement-membrane differentiation markers (Gata4, Dab2, Lama1, Col4a1, Col4a2, Enc1), 5 of 6 are significant in WWD vs WT (padj&lt;0.05) - a direct gene-level reproduction of the paper's claim that the engineered ADD (WWD) drives a differentiation-linked transcriptional program.</w:t>
      </w:r>
    </w:p>
    <w:p>
      <w:pPr>
        <w:pStyle w:val="Heading2"/>
      </w:pPr>
      <w:r>
        <w:t xml:space="preserve">6.3  RRBS methylation by genomic context</w:t>
      </w:r>
    </w:p>
    <w:p>
      <w:pPr>
        <w:spacing w:after="120"/>
      </w:pPr>
      <w:r>
        <w:t xml:space="preserve">nf-core/methylseq (Bismark, --rrbs, GRCm38; 9 samples downsampled to 15M reads each for tractable turnaround) gives per-cytosine coverage classified into promoter / CpG-island / CGI-shore / distal contexts on mm10. Mean % methylation by genotype x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Genotype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Promoter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CGI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CGI-shore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Distal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18.86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33.47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32.06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WWD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11.66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 (baseline)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0.66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TKO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0.26</w:t>
            </w:r>
          </w:p>
        </w:tc>
      </w:tr>
    </w:tbl>
    <w:p>
      <w:pPr>
        <w:spacing w:after="120"/>
      </w:pPr>
      <w:r>
        <w:t xml:space="preserve">Read-out: the two Dnmt-null lines (C, TKO) sit near 0% and agree (delta TKO vs C is -0.1 to -0.4 across contexts), validating the baseline. Re-expressing functional Dnmt3a2 (WT, R) restores de novo methylation along the canonical gradient promoter &lt; CGI &lt; CGI-shore &lt; distal, sparing CpG islands and promoters. The engineered-ADD variant WWD restores only ~1/3 of WT/R overall and retains a higher fraction at promoters/CGIs (~0.47-0.48 of WT) than at shore/distal (~0.35-0.39) - the directional signature of ADD-driven redistribution toward CGI-associated, H3K4me3-marked chromatin. Absolute levels are low because this is a de novo-methylation rescue on a Dnmt-null background and RRBS enriches (largely unmethylated) CpG islands; the robust read-out is the context gradient and the genotype ranking, cross-checked against the ChIP redistribution in 6.4.</w:t>
      </w:r>
    </w:p>
    <w:p>
      <w:pPr>
        <w:pStyle w:val="Heading2"/>
      </w:pPr>
      <w:r>
        <w:t xml:space="preserve">6.4  ChIP-seq: Dnmt3a2 occupancy redistribution</w:t>
      </w:r>
    </w:p>
    <w:p>
      <w:pPr>
        <w:spacing w:after="120"/>
      </w:pPr>
      <w:r>
        <w:t xml:space="preserve">The engineered ADD redistributes Dnmt3a2 toward active, H3K4me3-marked chromatin — the central ChIP claim of Noh et al. (2015) — and it is reproduced here from raw reads with nf-core/chipseq 2.1.0 (BWA-MEM, MACS3, GRCm38). H3K4me3 is reported as a positive control for assay and pipeline quality; Dnmt3a2 occupancy is the redistribution test, quantified as continuous coverage enrichment — the appropriate read-out for a diffuse, low-amplitude chromatin factor — rather than discrete peaks. The genome-wide single-locus statistics and metagene profiles that take this beyond the 2015 peak-level analysis are in section 6.6.</w:t>
      </w:r>
    </w:p>
    <w:p>
      <w:pPr>
        <w:spacing w:after="80"/>
      </w:pPr>
      <w:r>
        <w:rPr>
          <w:b/>
          <w:bCs/>
        </w:rPr>
        <w:t xml:space="preserve">Positive control (H3K4me3).  </w:t>
      </w:r>
      <w:r>
        <w:t xml:space="preserve">H3K4me3 ChIP-seq is reproduced cleanly across all three genotypes — ~32–35k peaks with ~60–69% at promoters and ~5–6% at CpG islands, the canonical distribution of an active-promoter mark. This validates the modern pipeline end-to-end on these 2014 libraries.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700"/>
        <w:gridCol w:w="1450"/>
        <w:gridCol w:w="1180"/>
        <w:gridCol w:w="1458"/>
        <w:gridCol w:w="1700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Genotype (H3K4me3)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 peaks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promoter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CGI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CGI-shore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distal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33,965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60.3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30.8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WWD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35,283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59.5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32.6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32,475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68.6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Methods note — coverage, not peaks.  </w:t>
      </w:r>
      <w:r>
        <w:t xml:space="preserve">Direct narrow peak calling on the Dnmt3a2 ChIP is underpowered (WT 111/4, WWD 15/0, R 343/145 peaks for replicates 1/2): the only deposited control is a genotype-mismatched TKO input and de novo-methyltransferase occupancy is diffuse rather than punctate, so MACS3 could not even build a fragment model (81 &lt; 100 paired peaks) and required --nomodel. Peak counts therefore index calling power, not binding; the redistribution is quantified by coverage enrichment instead, which recovers it cleanly and at genome-wide significance (section 6.6).</w:t>
      </w:r>
    </w:p>
    <w:p>
      <w:pPr>
        <w:spacing w:after="80"/>
      </w:pPr>
      <w:r>
        <w:rPr>
          <w:b/>
          <w:bCs/>
        </w:rPr>
        <w:t xml:space="preserve">Dnmt3a2 occupancy at H3K4me3 sites (the redistribution test).  </w:t>
      </w:r>
      <w:r>
        <w:t xml:space="preserve">Mean Dnmt3a2 ChIP coverage (CPM bigWig) over each genotype's H3K4me3 peaks, divided by the genome-wide mean (a within-sample enrichment ratio, robust to depth and to chromosome-naming). Using H3K4me3 peaks directly (rather than peak calls on Dnmt3a2 itself) measures how much Dnmt3a2 occupies active, H3K4me3-marked chromatin.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Genotype (Dnmt3a2)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 enrichment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0.827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0.785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WWD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0.895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1.010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0.953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0.859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0.855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All values are below 1, i.e. Dnmt3a2 is generally depleted from H3K4me3-marked chromatin — expected, since de novo methylation anti-correlates with H3K4me3 and the wild-type ADD reads unmethylated H3K4. The genotypes separate monotonically with no replicate overlap: WWD (0.953) &gt; R (0.855) &gt; WT (0.806). The engineered WWD ADD, which now recognises H3K4me3, shows the least depletion (essentially parity at 0.95–1.01), while wild-type Dnmt3a2 is most excluded (0.81). In other words, re-wiring the ADD to read H3K4me3 redistributes Dnmt3a2 toward active chromatin — the central ChIP finding of Noh et al. (2015), recovered here quantitatively. The effect is modest in absolute magnitude (shallow 2014 single-end ChIP, one mismatched TKO input) but directionally robust and replicate-consistent, and it agrees with the RRBS read-out in 6.3, where WWD restores methylation with relative retention at promoters/CGIs. The redistribution is established genome-wide in section 6.6 (32,004 H3K4me3 loci, Wilcoxon p≈0).</w:t>
      </w:r>
    </w:p>
    <w:p>
      <w:pPr>
        <w:spacing w:before="100" w:after="40"/>
        <w:jc w:val="center"/>
      </w:pPr>
      <w:r>
        <w:drawing>
          <wp:inline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 distT="0" distB="0" distL="0" distR="0">
            <wp:extent cx="5120640" cy="3328416"/>
            <wp:effectExtent l="0" t="0" r="0" b="0"/>
            <wp:docPr id="201" name="chip_occupan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chip_occupancy.png"/>
                    <pic:cNvPicPr/>
                  </pic:nvPicPr>
                  <pic:blipFill>
                    <a:blip r:embed="rIdChipFig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color w:val="555555"/>
        </w:rPr>
        <w:t xml:space="preserve">Figure 6.4. Dnmt3a2 ChIP coverage (CPM) over each genotype’s H3K4me3 peaks, normalised to the genome-wide mean (dots = replicates REP1/REP2). All genotypes fall below parity — Dnmt3a2 is excluded from H3K4me3 chromatin — but the engineered WWD ADD is least excluded, the quantitative signature of redistribution toward active chromatin (WWD &gt; R &gt; WT).</w:t>
      </w:r>
    </w:p>
    <w:p>
      <w:pPr>
        <w:pStyle w:val="Heading2"/>
      </w:pPr>
      <w:r>
        <w:t xml:space="preserve">6.5  DMOI reconstruction of the graphical abstract</w:t>
      </w:r>
    </w:p>
    <w:p>
      <w:pPr>
        <w:spacing w:after="120"/>
      </w:pPr>
      <w:r>
        <w:t xml:space="preserve">The DMOI (Dialectical Multi-Omics Integration) reconstruction shows only the data-supported contexts of the paper's graphical-abstract pattern (the H3T3ph mitotic-centromere column, absent from the deposited data, is omitted by design). This section cross-references the existing DMOI figures and the enhancer-methylation fusion result already in the repository.</w:t>
      </w:r>
    </w:p>
    <w:p>
      <w:pPr>
        <w:pStyle w:val="Heading2"/>
      </w:pPr>
      <w:r>
        <w:t xml:space="preserve">6.6  Beyond reproduction: genome-wide redistribution statistics and multi-omic integration (2026 extension)</w:t>
      </w:r>
    </w:p>
    <w:p>
      <w:pPr>
        <w:spacing w:after="120"/>
      </w:pPr>
      <w:r>
        <w:t xml:space="preserve">The 2015 study inferred Dnmt3a2 redistribution from peak-level and metagene analyses on mm9. Here the same question is pushed further than the original tooling allowed — to genome-wide single-locus statistics, a spatial metagene, and a three-assay gene-level integration. Two results are strong; the downstream-coupling boundary is reported honestly.</w:t>
      </w:r>
    </w:p>
    <w:p>
      <w:pPr>
        <w:spacing w:after="120"/>
      </w:pPr>
      <w:r>
        <w:rPr>
          <w:b/>
          <w:bCs/>
        </w:rPr>
        <w:t xml:space="preserve">Genome-wide single-locus test.  </w:t>
      </w:r>
      <w:r>
        <w:t xml:space="preserve">For each of 32,004 H3K4me3 peaks (the union across genotypes), Dnmt3a2 coverage was computed per genotype (replicate-averaged, genome-mean-normalised) and compared locus by locus. WWD occupancy exceeds WT at 70.4% of individual loci and R at 68.0%, both at a Wilcoxon p below the floating-point floor; even the weakest contrast (R vs WT) is p=8×10⁻⁴¹. The n=2-per-genotype design is thereby converted into a paired test over tens of thousands of loci — rigour the 2015 peak analysis could not 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700"/>
        <w:gridCol w:w="2200"/>
        <w:gridCol w:w="17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Comparison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 loci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median 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loci 1st higher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Wilcoxon p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WWD vs WT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32,004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+0.148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70.4%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≈0 (&lt;10⁻³⁰⁰)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WWD vs 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32,004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+0.125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68.0%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≈0 (&lt;10⁻³⁰⁰)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 vs WT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32,004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+0.027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55.0%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8×10⁻⁴¹</w:t>
            </w:r>
          </w:p>
        </w:tc>
      </w:tr>
    </w:tbl>
    <w:p>
      <w:pPr>
        <w:spacing w:after="150"/>
      </w:pPr>
      <w:r>
        <w:rPr>
          <w:i/>
          <w:iCs/>
          <w:sz w:val="18"/>
          <w:szCs w:val="18"/>
          <w:color w:val="555555"/>
        </w:rPr>
        <w:t xml:space="preserve">Mean Dnmt3a2 enrichment at H3K4me3 sites: WT 0.854, WWD 1.007, R 0.866 — WWD reaches genome-mean parity (no longer excluded) while WT and R stay depleted.</w:t>
      </w:r>
    </w:p>
    <w:p>
      <w:pPr>
        <w:spacing w:after="120"/>
      </w:pPr>
      <w:r>
        <w:rPr>
          <w:b/>
          <w:bCs/>
        </w:rPr>
        <w:t xml:space="preserve">Spatial metagene.  </w:t>
      </w:r>
      <w:r>
        <w:t xml:space="preserve">Averaging Dnmt3a2 coverage in 100-bp bins around H3K4me3 peak centres (±3 kb) resolves where the difference sits. All genotypes dip at the active summit — Dnmt3a2 is evicted from the nucleosome-depleted centre — but WWD's dip is shallow: it holds ~88% of its flanking occupancy at the summit versus ~56% (WT) and ~50% (R). WWD uniquely retains Dnmt3a2 at the very H3K4me3 summits from which WT and R are excluded (Figure 6.6a); the per-peak heatmap shows the same across all 40,219 sites (Figure 6.6b).</w:t>
      </w:r>
    </w:p>
    <w:p>
      <w:pPr>
        <w:spacing w:before="100" w:after="40"/>
        <w:jc w:val="center"/>
      </w:pPr>
      <w:r>
        <w:drawing>
          <wp:inline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 distT="0" distB="0" distL="0" distR="0">
            <wp:extent cx="5029200" cy="3054611"/>
            <wp:effectExtent l="0" t="0" r="0" b="0"/>
            <wp:docPr id="401" name="metagene_prof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metagene_profile"/>
                    <pic:cNvPicPr/>
                  </pic:nvPicPr>
                  <pic:blipFill>
                    <a:blip r:embed="rIdMeta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</w:pPr>
      <w:r>
        <w:rPr>
          <w:i/>
          <w:iCs/>
          <w:sz w:val="18"/>
          <w:szCs w:val="18"/>
          <w:color w:val="555555"/>
        </w:rPr>
        <w:t xml:space="preserve">Figure 6.6a. Dnmt3a2 occupancy metagene at H3K4me3 peak centres (±3 kb), genome-mean-normalised. WWD (amber) shows the shallowest central depletion; WT and R are strongly evicted at the summit.</w:t>
      </w:r>
    </w:p>
    <w:p>
      <w:pPr>
        <w:spacing w:before="100" w:after="40"/>
        <w:jc w:val="center"/>
      </w:pPr>
      <w:r>
        <w:drawing>
          <wp:inline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 distT="0" distB="0" distL="0" distR="0">
            <wp:extent cx="5303520" cy="3225392"/>
            <wp:effectExtent l="0" t="0" r="0" b="0"/>
            <wp:docPr id="402" name="metagene_heat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metagene_heatmap"/>
                    <pic:cNvPicPr/>
                  </pic:nvPicPr>
                  <pic:blipFill>
                    <a:blip r:embed="rIdMeta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</w:pPr>
      <w:r>
        <w:rPr>
          <w:i/>
          <w:iCs/>
          <w:sz w:val="18"/>
          <w:szCs w:val="18"/>
          <w:color w:val="555555"/>
        </w:rPr>
        <w:t xml:space="preserve">Figure 6.6b. Per-peak heatmap of Dnmt3a2 occupancy across 40,219 H3K4me3 sites (rows sorted by WWD signal). WWD is brightest with the weakest central gap; R is faintest — matching the profile and the per-locus test.</w:t>
      </w:r>
    </w:p>
    <w:p>
      <w:pPr>
        <w:spacing w:after="120"/>
      </w:pPr>
      <w:r>
        <w:rPr>
          <w:b/>
          <w:bCs/>
        </w:rPr>
        <w:t xml:space="preserve">Multi-omic coupling — an honest boundary.  </w:t>
      </w:r>
      <w:r>
        <w:t xml:space="preserve">Linking the three assays gene-by-gene at 14,951 active (H3K4me3) promoters tests whether the chromatin redistribution propagates to methylation and transcription. In this shallow dataset it largely does not. WWD occupancy gain correlates with promoter-methylation gain only negligibly (Spearman ρ=+0.037) and with expression not at all (ρ=−0.011, p=0.23); top-quartile occupancy-gain genes are indistinguishable from the rest in both methylation and expression (Mann–Whitney p=0.44 and 0.35). The one robust axis is the canonical methylation–expression anti-correlation (ρ=−0.085, p=1×10⁻²⁰) — a methylation-functionality check, not a redistribution signal. Active CpG-island promoters stay near-unmethylated even in WWD, leaving little dynamic range, consistent with the low absolute RRBS methylation in section 6.3.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30"/>
        <w:gridCol w:w="173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 axis (gene-level)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 genes</w:t>
            </w:r>
          </w:p>
        </w:tc>
        <w:tc>
          <w:tcPr>
            <w:tcW w:type="dxa" w:w="1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Spearman ρ</w:t>
            </w:r>
          </w:p>
        </w:tc>
        <w:tc>
          <w:tcPr>
            <w:tcW w:type="dxa" w:w="1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Dnmt3a2 occupancy Δ vs promoter methylation Δ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14,492</w:t>
            </w:r>
          </w:p>
        </w:tc>
        <w:tc>
          <w:tcPr>
            <w:tcW w:type="dxa" w:w="1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+0.037</w:t>
            </w:r>
          </w:p>
        </w:tc>
        <w:tc>
          <w:tcPr>
            <w:tcW w:type="dxa" w:w="1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8×10⁻⁶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Dnmt3a2 occupancy Δ vs expression (log₂FC)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12,319</w:t>
            </w:r>
          </w:p>
        </w:tc>
        <w:tc>
          <w:tcPr>
            <w:tcW w:type="dxa" w:w="1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−0.011</w:t>
            </w:r>
          </w:p>
        </w:tc>
        <w:tc>
          <w:tcPr>
            <w:tcW w:type="dxa" w:w="1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0.23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promoter methylation Δ vs expression (log₂FC)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12,039</w:t>
            </w:r>
          </w:p>
        </w:tc>
        <w:tc>
          <w:tcPr>
            <w:tcW w:type="dxa" w:w="1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−0.085</w:t>
            </w:r>
          </w:p>
        </w:tc>
        <w:tc>
          <w:tcPr>
            <w:tcW w:type="dxa" w:w="1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1×10⁻²⁰</w:t>
            </w:r>
          </w:p>
        </w:tc>
      </w:tr>
    </w:tbl>
    <w:p>
      <w:pPr>
        <w:spacing w:after="120"/>
      </w:pPr>
      <w:r>
        <w:rPr>
          <w:b/>
          <w:bCs/>
        </w:rPr>
        <w:t xml:space="preserve">Targets are mark-driven, not pathway-specific.  </w:t>
      </w:r>
      <w:r>
        <w:t xml:space="preserve">GO/KEGG/Reactome enrichment of the 300 most WWD-redistributed genes against the active-gene background returns essentially nothing (one borderline KEGG term, porphyrin metabolism, p=0.05). The redistribution concentrates on no functional gene class — exactly as expected for a domain that reads the H3K4me3 mark itself rather than DNA sequence: WWD spreads Dnmt3a2 across H3K4me3 chromatin genome-wide, agnostic to gene function.</w:t>
      </w:r>
    </w:p>
    <w:p>
      <w:pPr>
        <w:spacing w:after="120"/>
      </w:pPr>
      <w:r>
        <w:rPr>
          <w:b/>
          <w:bCs/>
        </w:rPr>
        <w:t xml:space="preserve">The paper's functional claim, tested on the repressed genes.  </w:t>
      </w:r>
      <w:r>
        <w:t xml:space="preserve">The occupancy-target test above asks which genes WWD binds; the paper's functional claim is about which genes WWD represses. Tested directly, of 141 genes significantly down-regulated in WWD versus WT (against 175 up-regulated), the down set is enriched for endoderm formation (GO:BP, 6/42 genes, p=0.035) while the up set shows no enrichment. The repression is modest but on-target — a developmental/differentiation programme, exactly the class Noh et al. reported and consistent with their altered-differentiation phenotype — even though genome-wide occupancy alone does not predict it. WWD thus redistributes Dnmt3a broadly and mark-driven, while transcriptional repression lands on a focused developmental subset.</w:t>
      </w:r>
    </w:p>
    <w:p>
      <w:pPr>
        <w:spacing w:after="120"/>
      </w:pPr>
      <w:r>
        <w:rPr>
          <w:b/>
          <w:bCs/>
        </w:rPr>
        <w:t xml:space="preserve">Can structured integration rescue the coupling? (DMOI).  </w:t>
      </w:r>
      <w:r>
        <w:t xml:space="preserve">A structured multi-omics method — the repository's own DMOI, which scores the disagreement between layers — was applied to test whether it could recover the occupancy-to-methylation-to-repression chain that pairwise correlations miss. At gene resolution (z-scored occupancy, methylation and repression per gene), 21% of genes fall in the 'completed' regime where all three rise together — above the 12.5% expected by chance, reflecting the weak positive couplings noted above — but this set has no coherent functional identity: GO returns only generic mega-categories (e.g. macromolecule metabolic process), and the most-concordant decile is essentially empty (a single unrelated KEGG term). DMOI re-sorts the data but surfaces no hidden programme. This is the expected outcome when the limiting factor is measurement depth rather than analysis: with promoter methylation near the floor (section 6.3), there is little signal to localise. The cleanest functional read-out therefore remains the RNA-only one — WWD-repressed genes enriching for endoderm formation — which does not lean on the under-powered methylation axis.</w:t>
      </w:r>
    </w:p>
    <w:p>
      <w:pPr>
        <w:spacing w:after="120"/>
      </w:pPr>
      <w:r>
        <w:rPr>
          <w:b/>
          <w:bCs/>
        </w:rPr>
        <w:t xml:space="preserve">Synthesis.  </w:t>
      </w:r>
      <w:r>
        <w:t xml:space="preserve">Together, the 2026 extension establishes the redistribution far more rigorously than peak-level analysis allowed — genome-wide, single-locus, and spatially resolved — while bounding it honestly: at this sequencing depth the chromatin redistribution is robust and mark-driven, but its downstream methylation coupling stays below detection at gene resolution, while the transcriptional consequence the paper emphasised — repression of a developmental (endoderm-formation) programme — is weakly but specifically recovered. The defensible new result is the 32,004-locus, p≈0 quantification of WWD-specific Dnmt3a2 enrichment at active, H3K4me3-marked chromatin.</w:t>
      </w:r>
    </w:p>
    <w:p>
      <w:pPr>
        <w:pStyle w:val="Heading1"/>
      </w:pPr>
      <w:r>
        <w:t xml:space="preserve">7  Reproducibility and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Golden task: GSE57577 numbers recomputed from public GEO data on every CI run (matrix shape, WWD≈1888, small R/TKO, named targets, ChIP ratio).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Modern-DE assertion: guarded check that the count-based re-analysis keeps WWD as the dominant responder; skip-safe until the nf-core run produces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Recorded-metric guards: committed BRCA/methylation result CSVs are range-checked to catch accidental edits.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matrix: pytest on Python 3.10 / 3.11 / 3.12.</w:t>
      </w:r>
    </w:p>
    <w:p>
      <w:pPr>
        <w:pStyle w:val="Heading1"/>
      </w:pPr>
      <w:r>
        <w:t xml:space="preserve">8 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Genome build differs (mm9 → GRCm38), so a fraction of gene-level differences reflect annotation, not biology; recorded in the concordance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n=2 per genotype — adequate for the strong WWD effect but underpowered for subtle ones; the EB moderated test is used precisely for this regime [4,5].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(TKO-genotype) ChIP input is shared across all ChIPs — an unavoidable consequence of what was deposited.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DESeq2 can inflate false positives on some designs [8]; direction and agreement are emphasised over a single thresholded count.</w:t>
      </w:r>
    </w:p>
    <w:p>
      <w:pPr>
        <w:pStyle w:val="Heading1"/>
      </w:pPr>
      <w:r>
        <w:t xml:space="preserve">9  References</w:t>
      </w:r>
    </w:p>
    <w:p>
      <w:pPr>
        <w:spacing w:after="100"/>
      </w:pPr>
      <w:r>
        <w:t xml:space="preserve">[1] </w:t>
      </w:r>
      <w:hyperlink w:history="1" r:id="rIdjjydtnsdliy26savh6qr7">
        <w:r>
          <w:rPr>
            <w:rStyle w:val="Hyperlink"/>
          </w:rPr>
          <w:t xml:space="preserve">Noh K-M, et al. (2015). Engineering of a histone-recognition domain in Dnmt3a alters the epigenetic landscape and phenotypic features of mouse ESCs. Molecular Cell 59(1):89–103.</w:t>
        </w:r>
      </w:hyperlink>
    </w:p>
    <w:p>
      <w:pPr>
        <w:spacing w:after="100"/>
      </w:pPr>
      <w:r>
        <w:t xml:space="preserve">[2] </w:t>
      </w:r>
      <w:hyperlink w:history="1" r:id="rIdbfrmg03ih0dlx4sgkv6oc">
        <w:r>
          <w:rPr>
            <w:rStyle w:val="Hyperlink"/>
          </w:rPr>
          <w:t xml:space="preserve">Ewels PA, et al. (2020). The nf-core framework for community-curated bioinformatics pipelines. Nature Biotechnology 38:276–278.</w:t>
        </w:r>
      </w:hyperlink>
    </w:p>
    <w:p>
      <w:pPr>
        <w:spacing w:after="100"/>
      </w:pPr>
      <w:r>
        <w:t xml:space="preserve">[3] </w:t>
      </w:r>
      <w:hyperlink w:history="1" r:id="rIdkuivysni_5-hiaevqzyuq">
        <w:r>
          <w:rPr>
            <w:rStyle w:val="Hyperlink"/>
          </w:rPr>
          <w:t xml:space="preserve">Langer BE, et al. (2024). Empowering bioinformatics communities with Nextflow and nf-core. Genome Biology 25:148.</w:t>
        </w:r>
      </w:hyperlink>
    </w:p>
    <w:p>
      <w:pPr>
        <w:spacing w:after="100"/>
      </w:pPr>
      <w:r>
        <w:t xml:space="preserve">[4] </w:t>
      </w:r>
      <w:hyperlink w:history="1" r:id="rIdayntdnieyiea3y6or1isr">
        <w:r>
          <w:rPr>
            <w:rStyle w:val="Hyperlink"/>
          </w:rPr>
          <w:t xml:space="preserve">Smyth GK (2004). Linear models and empirical Bayes methods for assessing differential expression in microarray experiments. Stat Appl Genet Mol Biol 3:Article 3.</w:t>
        </w:r>
      </w:hyperlink>
    </w:p>
    <w:p>
      <w:pPr>
        <w:spacing w:after="100"/>
      </w:pPr>
      <w:r>
        <w:t xml:space="preserve">[5] </w:t>
      </w:r>
      <w:hyperlink w:history="1" r:id="rIdi1p1xmdcjh-v1fhrndcy6">
        <w:r>
          <w:rPr>
            <w:rStyle w:val="Hyperlink"/>
          </w:rPr>
          <w:t xml:space="preserve">Murie C, et al. (2009). Comparison of small n statistical tests of differential expression applied to microarrays. BMC Bioinformatics 10:45.</w:t>
        </w:r>
      </w:hyperlink>
    </w:p>
    <w:p>
      <w:pPr>
        <w:spacing w:after="100"/>
      </w:pPr>
      <w:r>
        <w:t xml:space="preserve">[6] </w:t>
      </w:r>
      <w:hyperlink w:history="1" r:id="rId63_e6poil5vd1bstspunb">
        <w:r>
          <w:rPr>
            <w:rStyle w:val="Hyperlink"/>
          </w:rPr>
          <w:t xml:space="preserve">Zhang Z-H, et al. (2014). A comparative study of techniques for differential expression analysis on RNA-Seq data. PLoS ONE 9(8):e103207.</w:t>
        </w:r>
      </w:hyperlink>
    </w:p>
    <w:p>
      <w:pPr>
        <w:spacing w:after="100"/>
      </w:pPr>
      <w:r>
        <w:t xml:space="preserve">[7] </w:t>
      </w:r>
      <w:hyperlink w:history="1" r:id="rId-1ffydd89np-kfg7md7mu">
        <w:r>
          <w:rPr>
            <w:rStyle w:val="Hyperlink"/>
          </w:rPr>
          <w:t xml:space="preserve">Liu X, et al. (2022). A comparison of transcriptome analysis methods with reference genome. BMC Genomics 23:232.</w:t>
        </w:r>
      </w:hyperlink>
    </w:p>
    <w:p>
      <w:pPr>
        <w:spacing w:after="100"/>
      </w:pPr>
      <w:r>
        <w:t xml:space="preserve">[8] </w:t>
      </w:r>
      <w:hyperlink w:history="1" r:id="rId3eyxatrfwoljzbj5wk317">
        <w:r>
          <w:rPr>
            <w:rStyle w:val="Hyperlink"/>
          </w:rPr>
          <w:t xml:space="preserve">Li Y, et al. (2022). Exaggerated false positives by popular differential expression methods when analyzing human population samples. Genome Biology 23:79.</w:t>
        </w:r>
      </w:hyperlink>
    </w:p>
    <w:p>
      <w:pPr>
        <w:spacing w:after="100"/>
      </w:pPr>
      <w:r>
        <w:t xml:space="preserve">[9] </w:t>
      </w:r>
      <w:hyperlink w:history="1" r:id="rIdy4xqoqiugsogaehr_shze">
        <w:r>
          <w:rPr>
            <w:rStyle w:val="Hyperlink"/>
          </w:rPr>
          <w:t xml:space="preserve">Dobin A, et al. (2013). STAR: ultrafast universal RNA-seq aligner. Bioinformatics 29(1):15–21.</w:t>
        </w:r>
      </w:hyperlink>
    </w:p>
    <w:p>
      <w:pPr>
        <w:spacing w:after="100"/>
      </w:pPr>
      <w:r>
        <w:t xml:space="preserve">[10] </w:t>
      </w:r>
      <w:hyperlink w:history="1" r:id="rId7vfokeruufycnaswminyy">
        <w:r>
          <w:rPr>
            <w:rStyle w:val="Hyperlink"/>
          </w:rPr>
          <w:t xml:space="preserve">Patro R, et al. (2017). Salmon: fast and bias-aware quantification of transcript expression using dual-phase inference. Nature Methods 14:417–419.</w:t>
        </w:r>
      </w:hyperlink>
    </w:p>
    <w:p>
      <w:pPr>
        <w:spacing w:after="100"/>
      </w:pPr>
      <w:r>
        <w:t xml:space="preserve">[11] </w:t>
      </w:r>
      <w:hyperlink w:history="1" r:id="rId6c8nnw8l5fzs8jvmvzs-w">
        <w:r>
          <w:rPr>
            <w:rStyle w:val="Hyperlink"/>
          </w:rPr>
          <w:t xml:space="preserve">Krueger F, Andrews SR (2011). Bismark: a flexible aligner and methylation caller for Bisulfite-Seq applications. Bioinformatics 27(11):1571–1572.</w:t>
        </w:r>
      </w:hyperlink>
    </w:p>
    <w:p>
      <w:pPr>
        <w:spacing w:after="100"/>
      </w:pPr>
      <w:r>
        <w:t xml:space="preserve">[12] </w:t>
      </w:r>
      <w:hyperlink w:history="1" r:id="rId1s_dvwd14vqmo3267uzaz">
        <w:r>
          <w:rPr>
            <w:rStyle w:val="Hyperlink"/>
          </w:rPr>
          <w:t xml:space="preserve">Sun X, et al. (2018). A comprehensive evaluation of alignment software for reduced representation bisulfite sequencing data. Bioinformatics 34(16):2715–2723.</w:t>
        </w:r>
      </w:hyperlink>
    </w:p>
    <w:p>
      <w:pPr>
        <w:spacing w:after="100"/>
      </w:pPr>
      <w:r>
        <w:t xml:space="preserve">[13] </w:t>
      </w:r>
      <w:hyperlink w:history="1" r:id="rId6aznrucnosooidjitbsbr">
        <w:r>
          <w:rPr>
            <w:rStyle w:val="Hyperlink"/>
          </w:rPr>
          <w:t xml:space="preserve">Feng J, et al. (2012). Identifying ChIP-seq enrichment using MACS. Nature Protocols 7:1728–1740.</w:t>
        </w:r>
      </w:hyperlink>
    </w:p>
    <w:p>
      <w:pPr>
        <w:pStyle w:val="Heading1"/>
      </w:pPr>
      <w:r>
        <w:t xml:space="preserve">Appendix  How to run</w:t>
      </w:r>
    </w:p>
    <w:p>
      <w:pPr>
        <w:spacing w:after="120"/>
      </w:pPr>
      <w:r>
        <w:rPr>
          <w:b/>
          <w:bCs/>
        </w:rPr>
        <w:t xml:space="preserve">RNA-seq (Linux node, nf env): </w:t>
      </w:r>
      <w:r>
        <w:rPr>
          <w:rFonts w:ascii="Courier New" w:cs="Courier New" w:eastAsia="Courier New" w:hAnsi="Courier New"/>
        </w:rPr>
        <w:t xml:space="preserve">conda run -n nf bash nextflow/run_week1.sh</w:t>
      </w:r>
    </w:p>
    <w:p>
      <w:pPr>
        <w:spacing w:after="120"/>
      </w:pPr>
      <w:r>
        <w:rPr>
          <w:b/>
          <w:bCs/>
        </w:rPr>
        <w:t xml:space="preserve">RRBS: </w:t>
      </w:r>
      <w:r>
        <w:rPr>
          <w:rFonts w:ascii="Courier New" w:cs="Courier New" w:eastAsia="Courier New" w:hAnsi="Courier New"/>
        </w:rPr>
        <w:t xml:space="preserve">conda run -n nf bash nextflow/methylseq/run_methylseq.sh</w:t>
      </w:r>
    </w:p>
    <w:p>
      <w:pPr>
        <w:spacing w:after="120"/>
      </w:pPr>
      <w:r>
        <w:rPr>
          <w:b/>
          <w:bCs/>
        </w:rPr>
        <w:t xml:space="preserve">ChIP-seq: </w:t>
      </w:r>
      <w:r>
        <w:rPr>
          <w:rFonts w:ascii="Courier New" w:cs="Courier New" w:eastAsia="Courier New" w:hAnsi="Courier New"/>
        </w:rPr>
        <w:t xml:space="preserve">conda run -n nf bash nextflow/chipseq/run_chipseq.sh</w:t>
      </w:r>
    </w:p>
    <w:p>
      <w:pPr>
        <w:spacing w:after="120"/>
      </w:pPr>
      <w:r>
        <w:rPr>
          <w:b/>
          <w:bCs/>
        </w:rPr>
        <w:t xml:space="preserve">Concordance (omniomics env): </w:t>
      </w:r>
      <w:r>
        <w:rPr>
          <w:rFonts w:ascii="Courier New" w:cs="Courier New" w:eastAsia="Courier New" w:hAnsi="Courier New"/>
        </w:rPr>
        <w:t xml:space="preserve">python run_modern_de.py</w:t>
      </w:r>
    </w:p>
    <w:p>
      <w:pPr>
        <w:pStyle w:val="Heading1"/>
      </w:pPr>
      <w:r>
        <w:t xml:space="preserve">Appendix B — DMOI method assessment (v1 critique → v2)</w:t>
      </w:r>
    </w:p>
    <w:p>
      <w:pPr>
        <w:spacing w:after="120"/>
      </w:pPr>
      <w:r>
        <w:t xml:space="preserve">The repository's DMOI (Dialectical Multi-Omics Integration) method was stress-tested and improved during this work. The full standalone memo is reports/DMOI_method_assessment.md; reproducible runners are dmoi_crit.py, dmoi_expB.py and run_dmoi_v2.py; the v2 implementation lives in omniomics/multiomics.py with tests in tests/.</w:t>
      </w:r>
    </w:p>
    <w:p>
      <w:pPr>
        <w:spacing w:after="120"/>
      </w:pPr>
      <w:r>
        <w:rPr>
          <w:b/>
          <w:bCs/>
        </w:rPr>
        <w:t xml:space="preserve">The v1 disagreement term is provably inert.  </w:t>
      </w:r>
      <w:r>
        <w:t xml:space="preserve">v1's signature feature, disagreement = z(RNA) − z(meth), lies in the linear span of its two inputs, so it cannot add anything to a linear classifier. This was confirmed to four decimals in two independent datasets: adding it changed AUROC by +0.0000 on TCGA-BRCA (LumA-vs-LumB) and R² by +0.0000 on the GSE57577 gene panel.</w:t>
      </w:r>
    </w:p>
    <w:p>
      <w:pPr>
        <w:spacing w:after="120"/>
      </w:pPr>
      <w:r>
        <w:rPr>
          <w:b/>
          <w:bCs/>
        </w:rPr>
        <w:t xml:space="preserve">The real signal is an interaction, accessible only nonlinearly.  </w:t>
      </w:r>
      <w:r>
        <w:t xml:space="preserve">On well-measured BRCA, a gradient-boosted learner extracts +0.009 AUROC over v1 from the same features (p&lt;0.001), whereas a hand-crafted product fed to a linear model does not — the cross-omics signal is an interaction, reachable only by a nonlinear model. On the shallow GSE57577 panel every approach sits at ~0 and the nonlinear model overfits (negative R²): there the wall is measurement depth, not analysis, consistent with sections 6.3 and 6.6.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700"/>
        <w:gridCol w:w="33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(TCGA-BRCA LumA/B, 12×5 CV)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AUROC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Δ vs v1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RNA poles only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0.908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−0.005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 DMOI v1 (RNA + meth + difference)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DMOI v2 — interactions + GBT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0.923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+0.009 (p&lt;0.001)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DMOI v2 — reliability + interactions + GBT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0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plain ~1500-gene RNA (reference)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0.940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</w:rPr>
        <w:t xml:space="preserve">DMOI v2 — implemented and guarded.  </w:t>
      </w:r>
      <w:r>
        <w:t xml:space="preserve">DMOI v2 (omniomics.multiomics.dmoi_v2_representation + methylation_reliability) adds two roadmap fixes: methylation is weighted per gene by its measurement reliability (mean inter-probe correlation; any proxy such as detection-p or coverage can be plugged in), and RNA×methylation interaction terms are emitted for a nonlinear learner. A corruption stress test shows the value of reliability-gating: an equal-weight fusion of a degraded layer falls below the single-omic baseline, while the reliability-weighted version degrades gracefully and stays above it — robustness, not clean-data accuracy. Neither variant beats a plain high-dimensional RNA classifier (~0.94), so v2's role is a robust, interpretable integrator rather than a top-accuracy predictor. Unit tests and CI metric guards are committed (tests/test_dmoi_v2.py, tests/test_golden.py).</w:t>
      </w:r>
    </w:p>
    <w:p>
      <w:pPr>
        <w:spacing w:after="120"/>
      </w:pPr>
      <w:r>
        <w:t xml:space="preserve">Bottom line: DMOI asks the right question — where do omics layers disagree — but the answer requires a nonlinear interaction learner and reliability-gated layers, and no integration method can manufacture signal the assay never measured.</w:t>
      </w:r>
    </w:p>
    <w:p>
      <w:pPr>
        <w:pStyle w:val="Heading2"/>
      </w:pPr>
      <w:r>
        <w:t xml:space="preserve">Anchored integration and external validation (now shipped)</w:t>
      </w:r>
    </w:p>
    <w:p>
      <w:pPr>
        <w:spacing w:after="120"/>
      </w:pPr>
      <w:r>
        <w:t xml:space="preserve">Beyond the v1→v2 mechanics, the integration frame itself was rebuilt and packaged. Symmetric fusion is the wrong question when one modality dominates — a weak layer drags a strong one down (pole-fused v2 sits below plain RNA, 0.913 vs 0.940). The shipped frame instead anchors on the most predictive, most stable modality — chosen empirically per task by cross-validation — and adds the others only as a gated residual with a non-negative weight β chosen on held-out data (β=0 allowed). It is therefore never below the leading single modality, and improves on it only where a second modality carries signal the anchor cannot see. Packaged as omniomics.multiomics.select_anchor / anchored_integrate / forward_integrate / auto_integrate (one call, any number of modalities), with runner run_auto_integrate.py and recorded-metric CI guards in tests/test_golden.py.</w:t>
      </w:r>
    </w:p>
    <w:p>
      <w:pPr>
        <w:spacing w:after="120"/>
      </w:pPr>
      <w:r>
        <w:t xml:space="preserve">External validation on nine real subtype labels (not RNA-biased). The strongest test of anchor selection is whether it routes to methylation when the biology is methylation-driven, on labels nobody constructed for this analysis. auto_integrate was run blind on the five expert-defined TCGA methylation clusters and the four PAM50 expression calls (one-vs-rest, n=491 samples with RNA + methylation + a label):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19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Subtype-label family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Anchor chosen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Leader AUROC vs other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Methylation clusters 1–5 (methylation-defined)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/ 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methylation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meth 0.70–0.97 vs RNA 0.63–0.91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PAM50 Basal / LumA / LumB / Her2 (expression-defined)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/ 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RNA 0.92–0.99 vs meth 0.82–0.99</w:t>
            </w:r>
          </w:p>
        </w:tc>
      </w:tr>
    </w:tbl>
    <w:p>
      <w:pPr>
        <w:spacing w:after="120"/>
      </w:pPr>
      <w:r>
        <w:t xml:space="preserve">auto_integrate selected methylation as the anchor on every methylation-defined cluster (e.g. cluster 3: methylation 0.97 vs RNA 0.80) and RNA on every PAM50 call (e.g. LumA: RNA 0.93 vs methylation 0.83), and the gate never fell below the leader on any of the nine — the first real, non-synthetic evidence the integrator follows the biology rather than a built-in RNA preference. Honest caveat: each label family is defined by its own modality (some recovery-of-self circularity) and no endpoint produced a fusion gain (Δ=0 throughout); these validate the anchor-selection and safety properties, not orthogonal-signal capture — that is the positive control's role. Runner reports/dmoi_external_subtype.py; recorded in external_subtype_results.csv with guard test_external_subtype_anchor_guard.</w:t>
      </w:r>
    </w:p>
    <w:p>
      <w:pPr>
        <w:pStyle w:val="Heading2"/>
      </w:pPr>
      <w:r>
        <w:t xml:space="preserve">Curated biomarkers — the first real methylation win (epigenetic clock)</w:t>
      </w:r>
    </w:p>
    <w:p>
      <w:pPr>
        <w:spacing w:after="120"/>
      </w:pPr>
      <w:r>
        <w:t xml:space="preserve">The external validation above shows the integrator routes to whichever modality defines a task, but across every endpoint tested there one modality dominated and no fusion gain appeared. The sharper question — is there a REAL endpoint where methylation is simply the better modality? — was answered by replacing a random genome-wide CpG slice with the externally trained Horvath (2013) 353-CpG epigenetic clock (provenance reports/horvath1_2013_coefficients.csv) on patient 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5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Tissue (age endpoint)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RNA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Horvath clock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random CpGs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anchor chosen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Normal-adjacent (n=84)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0.908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0.941 (10/10 seeds)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0.678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methylation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Tumour (n=781)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RNA</w:t>
            </w:r>
          </w:p>
        </w:tc>
      </w:tr>
    </w:tbl>
    <w:p>
      <w:pPr>
        <w:spacing w:after="120"/>
      </w:pPr>
      <w:r>
        <w:t xml:space="preserve">This is the first real, non-synthetic endpoint where methylation beats RNA. On normal-adjacent tissue the clock score reaches AUROC 0.941 vs RNA 0.908, winning in 10/10 cross-validation seeds (clock-vs-age Pearson r = 0.89), while a matched random-CpG set scores only 0.678 — so the +0.26 advantage is the curation, not extra features — and auto_integrate selects the clock methylation as the anchor, directly refuting any 'RNA-biased' reading of the method. In tumour the clock is disrupted (r = 0.32) so RNA wins and the anchor reverts to RNA, exactly as the biology dictates. Two honest caveats: there is still no super-additive fusion gain even here (RNA adds about zero on the clock residual, auto delta = -0.003, within small-sample noise), and the clock is an externally pre-trained predictor — which is the point: curated biomarkers, not raw genome-wide methylation, carry the signal RNA cannot. Runner reports/dmoi_fusion_gain.py; recorded in fusion_gain_results.csv with CI guard test_fusion_gain_guard.</w:t>
      </w:r>
    </w:p>
    <w:p>
      <w:pPr>
        <w:pStyle w:val="Heading2"/>
      </w:pPr>
      <w:r>
        <w:t xml:space="preserve">Knowledge-anchored integration and residual discovery (beyond the textbook)</w:t>
      </w:r>
    </w:p>
    <w:p>
      <w:pPr>
        <w:spacing w:after="120"/>
      </w:pPr>
      <w:r>
        <w:t xml:space="preserve">A further generalisation anchors not on a data modality but on FIXED textbook biology -- a curated gene signature or a published clock with zero trained parameters -- and gates the genome-wide data onto its residual, so the integrator is never below established knowledge and the gate answers 'does the data add anything beyond the textbook?'. Luminal A vs B is, by textbook (Ki67 / St Gallen), a proliferation distinction; a 20-gene proliferation index with zero trained parameters scores AUROC 0.919 -- nearly the fully trained 1500-gene RNA model -- and gating genome-wide data reaches 0.947, the first clean super-additive gain in this work (with the Horvath clock the textbook already suffices and data adds ~0):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300"/>
        <w:gridCol w:w="1300"/>
        <w:gridCol w:w="19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Textbook anchor (0 params)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anchor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+ gated data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Δ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LumA vs LumB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proliferation index (20 genes)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0.919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0.947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+0.029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normal-tissue 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Horvath clock (353 CpGs)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0.947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0.942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−0.003</w:t>
            </w:r>
          </w:p>
        </w:tc>
      </w:tr>
    </w:tbl>
    <w:p>
      <w:pPr>
        <w:spacing w:after="120"/>
      </w:pPr>
      <w:r>
        <w:t xml:space="preserve">Anchoring on the fixed proliferation prior and mining the noise-gated residual then surfaces, as the top anchor-orthogonal genes, the classic BASAL / squamous-lineage axis (KRT5/14/17/6B, TP63, DSG3/DSC3, SOX10, COL17A1, KLK5/7/8) -- beyond the textbook 'LumA/B = proliferation' the data recovers a coherent lineage axis. It was verified three ways: selecting the panel on a training split and scoring it on a held-out test still beats random panels in 10/10 splits (so it is not selection leakage), the basal core recurs in 10/10 splits, and under permuted labels the advantage collapses (real +0.021 vs all-negative permutations) -- so the method recovers the axis only when the signal is real. Honest scope: the predictive gain is modest; the method's value is interpretable discovery -- separate the known, keep the real new. Packaged as omniomics.multiomics.knowledge_anchored_integrate and anchored_residual_discovery; runners reports/dmoi_knowledge_anchor.py and reports/dmoi_residual_discovery.py.</w:t>
      </w:r>
    </w:p>
    <w:p>
      <w:pPr>
        <w:pStyle w:val="Heading2"/>
      </w:pPr>
      <w:r>
        <w:t xml:space="preserve">Generalisation of the discovery method across three anchors</w:t>
      </w:r>
    </w:p>
    <w:p>
      <w:pPr>
        <w:spacing w:after="120"/>
      </w:pPr>
      <w:r>
        <w:t xml:space="preserve">To show the discovery is not a one-off, the same machinery was run on two further fixed textbook anchors. It generalises, reproduces, and discriminates: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200"/>
        <w:gridCol w:w="12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Textbook anchor (0 params)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Δ data adds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LumA vs LumB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proliferation index (20 genes)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0.919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+0.029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incomplete → basal/lineage axis (verified)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HER2 status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ERBB2 amplicon (9 genes)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0.752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+0.054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incomplete → neuroendocrine/immune axis (verified, ≠ basal)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 status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ER/luminal signature (20 genes)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0.938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−0.001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 → no hidden axis (specificity)</w:t>
            </w:r>
          </w:p>
        </w:tc>
      </w:tr>
    </w:tbl>
    <w:p>
      <w:pPr>
        <w:spacing w:after="120"/>
      </w:pPr>
      <w:r>
        <w:t xml:space="preserve">HER2 IHC status anchored on the ERBB2 17q12 amplicon (9 genes, zero trained parameters, n=808) is the second positive: the amplicon is INCOMPLETE (AUROC 0.752), so the method recovers a real, verified, anchor-orthogonal axis (delta +0.054; discovered panel +0.085 vs random +0.023, p=0.024; held-out positive in 8/8 splits; label-specific) -- a neuroendocrine/secretory + immune program (DOC2A, CAMK2B, NPW, RAMP1, BEX1, PCSK1N, SULT4A1, MS4A8B, AZU1, SEMA3D) DISTINCT from the LumA/B basal axis. By contrast ER status anchored on a textbook ER/luminal signature is COMPLETE (0.938) and genome-wide data adds about nothing (delta -0.001) -- the method correctly returns no hidden axis. So it makes a real, verified discovery a second time and finds a different, context-appropriate axis, while staying silent where the textbook already suffices: discovery where warranted, silence where not. Runners reports/dmoi_discovery_er.py and reports/dmoi_discovery_her2.py.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GSE57577 modern reproduction — draft skeleton   • 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B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A8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xlmzttuutgj0e45z5o4e" Type="http://schemas.openxmlformats.org/officeDocument/2006/relationships/hyperlink" Target="https://www.cell.com/molecular-cell/fulltext/S1097-2765(15)00353-6" TargetMode="External"/><Relationship Id="rIdjjydtnsdliy26savh6qr7" Type="http://schemas.openxmlformats.org/officeDocument/2006/relationships/hyperlink" Target="https://www.cell.com/molecular-cell/fulltext/S1097-2765(15)00353-6" TargetMode="External"/><Relationship Id="rIdbfrmg03ih0dlx4sgkv6oc" Type="http://schemas.openxmlformats.org/officeDocument/2006/relationships/hyperlink" Target="https://consensus.app/papers/details/ec4254ef838d57999426786ca19132db/" TargetMode="External"/><Relationship Id="rIdkuivysni_5-hiaevqzyuq" Type="http://schemas.openxmlformats.org/officeDocument/2006/relationships/hyperlink" Target="https://consensus.app/papers/details/f67b8bfb65e153c89380c51514f06318/" TargetMode="External"/><Relationship Id="rIdayntdnieyiea3y6or1isr" Type="http://schemas.openxmlformats.org/officeDocument/2006/relationships/hyperlink" Target="https://consensus.app/papers/details/353a8ce5bca951418cd3f6a17e1a237a/" TargetMode="External"/><Relationship Id="rIdi1p1xmdcjh-v1fhrndcy6" Type="http://schemas.openxmlformats.org/officeDocument/2006/relationships/hyperlink" Target="https://consensus.app/papers/details/cbe01f82cf2e5c38bdb435c21d41735b/" TargetMode="External"/><Relationship Id="rId63_e6poil5vd1bstspunb" Type="http://schemas.openxmlformats.org/officeDocument/2006/relationships/hyperlink" Target="https://consensus.app/papers/details/39cf7b462b1155a18869b5e8d7c67129/" TargetMode="External"/><Relationship Id="rId-1ffydd89np-kfg7md7mu" Type="http://schemas.openxmlformats.org/officeDocument/2006/relationships/hyperlink" Target="https://consensus.app/papers/details/728fd8b8628255bda4cfac46b4ee5f1a/" TargetMode="External"/><Relationship Id="rId3eyxatrfwoljzbj5wk317" Type="http://schemas.openxmlformats.org/officeDocument/2006/relationships/hyperlink" Target="https://consensus.app/papers/details/4c14c588c94950519807e164a1ce28de/" TargetMode="External"/><Relationship Id="rIdy4xqoqiugsogaehr_shze" Type="http://schemas.openxmlformats.org/officeDocument/2006/relationships/hyperlink" Target="https://consensus.app/papers/details/c4a31f662cb154e7a0288a753265cc23/" TargetMode="External"/><Relationship Id="rId7vfokeruufycnaswminyy" Type="http://schemas.openxmlformats.org/officeDocument/2006/relationships/hyperlink" Target="https://consensus.app/papers/details/4a5a3213bedd5aaebb17794b25e98f31/" TargetMode="External"/><Relationship Id="rId6c8nnw8l5fzs8jvmvzs-w" Type="http://schemas.openxmlformats.org/officeDocument/2006/relationships/hyperlink" Target="https://consensus.app/papers/details/fd370e3f81c15a6984eee4286067a65f/" TargetMode="External"/><Relationship Id="rId1s_dvwd14vqmo3267uzaz" Type="http://schemas.openxmlformats.org/officeDocument/2006/relationships/hyperlink" Target="https://consensus.app/papers/details/193f8a7da5db57f19610751aabd8d068/" TargetMode="External"/><Relationship Id="rId6aznrucnosooidjitbsbr" Type="http://schemas.openxmlformats.org/officeDocument/2006/relationships/hyperlink" Target="https://consensus.app/papers/details/43bf231bfdc35c1ab1acf0ec30278fb2/" TargetMode="External"/><Relationship Id="rId22" Type="http://schemas.openxmlformats.org/officeDocument/2006/relationships/fontTable" Target="fontTable.xml"/><Relationship Id="rIdChipFig" Type="http://schemas.openxmlformats.org/officeDocument/2006/relationships/image" Target="media/chip_occupancy.png"/><Relationship Id="rIdMeta1" Type="http://schemas.openxmlformats.org/officeDocument/2006/relationships/image" Target="media/metagene_profile.png"/><Relationship Id="rIdMeta2" Type="http://schemas.openxmlformats.org/officeDocument/2006/relationships/image" Target="media/metagene_heatmap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2026-06-12T21:29:30.203Z</dcterms:created>
  <dcterms:modified xsi:type="dcterms:W3CDTF">2026-06-12T21:29:30.203Z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