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00" w:before="0" w:after="0"/>
        <w:ind w:firstLine="0"/>
        <w:jc w:val="center"/>
      </w:pPr>
      <w:r>
        <w:rPr>
          <w:rFonts w:ascii="Times New Roman" w:hAnsi="Times New Roman" w:eastAsia="宋体"/>
          <w:b/>
          <w:sz w:val="36"/>
        </w:rPr>
        <w:t>Electric AI Platform 数据库简表</w:t>
      </w:r>
    </w:p>
    <w:p/>
    <w:p>
      <w:pPr>
        <w:spacing w:lineRule="auto" w:line="300" w:before="0" w:after="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表3.1 数据库主要数据表设计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850"/>
            <w:vAlign w:val="center"/>
            <w:tcBorders>
              <w:top w:val="single" w:sz="8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spacing w:lineRule="auto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2268"/>
            <w:vAlign w:val="center"/>
            <w:tcBorders>
              <w:top w:val="single" w:sz="8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spacing w:lineRule="auto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表名</w:t>
            </w:r>
          </w:p>
        </w:tc>
        <w:tc>
          <w:tcPr>
            <w:tcW w:type="dxa" w:w="1701"/>
            <w:vAlign w:val="center"/>
            <w:tcBorders>
              <w:top w:val="single" w:sz="8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spacing w:lineRule="auto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中文名称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bottom w:val="single" w:sz="8" w:space="0" w:color="000000"/>
              <w:left w:val="nil"/>
              <w:right w:val="nil"/>
            </w:tcBorders>
          </w:tcPr>
          <w:p>
            <w:pPr>
              <w:spacing w:lineRule="auto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简要说明</w:t>
            </w:r>
          </w:p>
        </w:tc>
      </w:tr>
      <w:tr>
        <w:trPr>
          <w:trHeight w:hRule="atLeast" w:val="482"/>
        </w:trPr>
        <w:tc>
          <w:tcPr>
            <w:tcW w:type="dxa" w:w="85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auth_users</w:t>
            </w:r>
          </w:p>
        </w:tc>
        <w:tc>
          <w:tcPr>
            <w:tcW w:type="dxa" w:w="170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用户认证表</w:t>
            </w:r>
          </w:p>
        </w:tc>
        <w:tc>
          <w:tcPr>
            <w:tcW w:type="dxa" w:w="3969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用于保存平台登录用户的账号、密码摘要、显示名称和账户状态等基础认证信息。</w:t>
            </w:r>
          </w:p>
        </w:tc>
      </w:tr>
      <w:tr>
        <w:trPr>
          <w:trHeight w:hRule="atLeast" w:val="482"/>
        </w:trPr>
        <w:tc>
          <w:tcPr>
            <w:tcW w:type="dxa" w:w="85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model_registry</w:t>
            </w:r>
          </w:p>
        </w:tc>
        <w:tc>
          <w:tcPr>
            <w:tcW w:type="dxa" w:w="170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模型注册表</w:t>
            </w:r>
          </w:p>
        </w:tc>
        <w:tc>
          <w:tcPr>
            <w:tcW w:type="dxa" w:w="3969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用于维护生成模型与评分模型的名称、类型、服务归属、默认提示词和启用状态等元数据。</w:t>
            </w:r>
          </w:p>
        </w:tc>
      </w:tr>
      <w:tr>
        <w:trPr>
          <w:trHeight w:hRule="atLeast" w:val="482"/>
        </w:trPr>
        <w:tc>
          <w:tcPr>
            <w:tcW w:type="dxa" w:w="85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model_prompt_templates</w:t>
            </w:r>
          </w:p>
        </w:tc>
        <w:tc>
          <w:tcPr>
            <w:tcW w:type="dxa" w:w="170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提示词模板表</w:t>
            </w:r>
          </w:p>
        </w:tc>
        <w:tc>
          <w:tcPr>
            <w:tcW w:type="dxa" w:w="3969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用于保存不同业务场景下的正向提示词与反向提示词模板，便于快速复用。</w:t>
            </w:r>
          </w:p>
        </w:tc>
      </w:tr>
      <w:tr>
        <w:trPr>
          <w:trHeight w:hRule="atLeast" w:val="482"/>
        </w:trPr>
        <w:tc>
          <w:tcPr>
            <w:tcW w:type="dxa" w:w="85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task_jobs</w:t>
            </w:r>
          </w:p>
        </w:tc>
        <w:tc>
          <w:tcPr>
            <w:tcW w:type="dxa" w:w="170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任务主表</w:t>
            </w:r>
          </w:p>
        </w:tc>
        <w:tc>
          <w:tcPr>
            <w:tcW w:type="dxa" w:w="3969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用于统一记录图像生成与评分任务的类型、状态、执行阶段、提示词和任务载荷等信息。</w:t>
            </w:r>
          </w:p>
        </w:tc>
      </w:tr>
      <w:tr>
        <w:trPr>
          <w:trHeight w:hRule="atLeast" w:val="482"/>
        </w:trPr>
        <w:tc>
          <w:tcPr>
            <w:tcW w:type="dxa" w:w="85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asset_images</w:t>
            </w:r>
          </w:p>
        </w:tc>
        <w:tc>
          <w:tcPr>
            <w:tcW w:type="dxa" w:w="170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图像资产表</w:t>
            </w:r>
          </w:p>
        </w:tc>
        <w:tc>
          <w:tcPr>
            <w:tcW w:type="dxa" w:w="3969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用于保存任务输出的图像名称、文件路径、所属模型和生成状态等资产信息。</w:t>
            </w:r>
          </w:p>
        </w:tc>
      </w:tr>
      <w:tr>
        <w:trPr>
          <w:trHeight w:hRule="atLeast" w:val="482"/>
        </w:trPr>
        <w:tc>
          <w:tcPr>
            <w:tcW w:type="dxa" w:w="85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asset_image_prompts</w:t>
            </w:r>
          </w:p>
        </w:tc>
        <w:tc>
          <w:tcPr>
            <w:tcW w:type="dxa" w:w="170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图像提示词参数表</w:t>
            </w:r>
          </w:p>
        </w:tc>
        <w:tc>
          <w:tcPr>
            <w:tcW w:type="dxa" w:w="3969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用于记录单张图像对应的提示词内容、采样步数、随机种子和引导系数等生成参数。</w:t>
            </w:r>
          </w:p>
        </w:tc>
      </w:tr>
      <w:tr>
        <w:trPr>
          <w:trHeight w:hRule="atLeast" w:val="482"/>
        </w:trPr>
        <w:tc>
          <w:tcPr>
            <w:tcW w:type="dxa" w:w="85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asset_image_scores</w:t>
            </w:r>
          </w:p>
        </w:tc>
        <w:tc>
          <w:tcPr>
            <w:tcW w:type="dxa" w:w="170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图像评分结果表</w:t>
            </w:r>
          </w:p>
        </w:tc>
        <w:tc>
          <w:tcPr>
            <w:tcW w:type="dxa" w:w="3969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用于保存图像在视觉保真度、文本一致性、物理合理性和构图美观度等维度上的评分结果。</w:t>
            </w:r>
          </w:p>
        </w:tc>
      </w:tr>
      <w:tr>
        <w:trPr>
          <w:trHeight w:hRule="atLeast" w:val="482"/>
        </w:trPr>
        <w:tc>
          <w:tcPr>
            <w:tcW w:type="dxa" w:w="85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asset_image_score_explanations</w:t>
            </w:r>
          </w:p>
        </w:tc>
        <w:tc>
          <w:tcPr>
            <w:tcW w:type="dxa" w:w="170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图像评分解释表</w:t>
            </w:r>
          </w:p>
        </w:tc>
        <w:tc>
          <w:tcPr>
            <w:tcW w:type="dxa" w:w="3969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Rule="auto" w:line="300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用于保存图像评分解释结果、检查后图像路径以及结构化解释内容。</w:t>
            </w:r>
          </w:p>
        </w:tc>
      </w:tr>
      <w:tr>
        <w:trPr>
          <w:trHeight w:hRule="atLeast" w:val="482"/>
        </w:trPr>
        <w:tc>
          <w:tcPr>
            <w:tcW w:type="dxa" w:w="850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lineRule="auto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2268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lineRule="auto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audit_task_events</w:t>
            </w:r>
          </w:p>
        </w:tc>
        <w:tc>
          <w:tcPr>
            <w:tcW w:type="dxa" w:w="1701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lineRule="auto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任务审计事件表</w:t>
            </w:r>
          </w:p>
        </w:tc>
        <w:tc>
          <w:tcPr>
            <w:tcW w:type="dxa" w:w="3969"/>
            <w:vAlign w:val="center"/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lineRule="auto" w:line="300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用于记录任务执行过程中的事件类型、消息内容和扩展载荷，实现任务审计追踪。</w:t>
            </w:r>
          </w:p>
        </w:tc>
      </w:tr>
    </w:tbl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