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SOFTWARE REQUIREMENTS SPECIFICATION (SRS)</w:t>
        <w:br/>
        <w:t>&amp; PROJECT REQUIREMENTS DOCUMENT</w:t>
      </w:r>
    </w:p>
    <w:p>
      <w:pPr>
        <w:jc w:val="center"/>
      </w:pPr>
      <w:r>
        <w:rPr>
          <w:b/>
          <w:color w:val="4F46E5"/>
          <w:sz w:val="24"/>
        </w:rPr>
        <w:t>Vanguard: Retail Revenue &amp; Customer Decision Intelligence Platform</w:t>
        <w:br/>
        <w:t>IBM Project Submission Track: Data Analytics &amp; Applied AI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1F5F9"/>
          </w:tcPr>
          <w:p>
            <w:r>
              <w:rPr>
                <w:b/>
                <w:sz w:val="19"/>
              </w:rPr>
              <w:t>Project Name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19"/>
              </w:rPr>
              <w:t>Vanguard: Retail Decision Intelligence Platform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19"/>
              </w:rPr>
              <w:t>Track / Domain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19"/>
              </w:rPr>
              <w:t>IBM Applied Data Analytics &amp; Business Intelligence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19"/>
              </w:rPr>
              <w:t>Repository URL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19"/>
              </w:rPr>
              <w:t>https://github.com/hs-techlabs/ibm-project.git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19"/>
              </w:rPr>
              <w:t>Author / Organization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19"/>
              </w:rPr>
              <w:t>Himanshu Sharma (HS TechLabs)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19"/>
              </w:rPr>
              <w:t>Submission Status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19"/>
              </w:rPr>
              <w:t>Final Deliverable Release — Ready for Evaluation</w:t>
            </w:r>
          </w:p>
        </w:tc>
      </w:tr>
    </w:tbl>
    <w:p>
      <w:pPr>
        <w:spacing w:after="240"/>
      </w:pPr>
    </w:p>
    <w:p>
      <w:pPr>
        <w:pStyle w:val="Heading1"/>
      </w:pPr>
      <w:r>
        <w:t>1. Executive Summary &amp; Purpose</w:t>
      </w:r>
    </w:p>
    <w:p>
      <w:pPr>
        <w:spacing w:line="276" w:lineRule="auto"/>
      </w:pPr>
      <w:r>
        <w:t>This document defines the Software Requirements Specification (SRS) for Vanguard, an enterprise-grade Decision Intelligence Platform built upon 533,878 real-world transactions from the UCI Machine Learning Repository. Vanguard bridges raw transaction databases and executive boardroom governance by operationalizing the continuum: Data → Information → Insights → Decisions → Actions. This specification articulates all functional capabilities, non-functional constraints, technical stack dependencies, and execution prerequisites required for formal IBM project evaluation.</w:t>
      </w:r>
    </w:p>
    <w:p>
      <w:pPr>
        <w:pStyle w:val="Heading1"/>
      </w:pPr>
      <w:r>
        <w:t>2. Problem Statement &amp; Scope</w:t>
      </w:r>
    </w:p>
    <w:p>
      <w:pPr>
        <w:spacing w:line="276" w:lineRule="auto"/>
      </w:pPr>
      <w:r>
        <w:t>Multi-channel retail enterprises face escalating operational friction across cross-border freight, customer churn, return processing, and catalog inventory imbalances. Commercial leadership frequently operates with fragmented reporting lacking driver attribution and scenario simulation. Vanguard provides a unified, single-file executable architecture that answers six critical business questions: true net revenue after refunds, departmental margin velocity, RFM customer retention, international export arbitrage, SKU return risk, and pricing elasticity forecasting.</w:t>
      </w:r>
    </w:p>
    <w:p>
      <w:pPr>
        <w:pStyle w:val="Heading1"/>
      </w:pPr>
      <w:r>
        <w:t>3. Functional Requirements (FR)</w:t>
      </w:r>
    </w:p>
    <w:p>
      <w:pPr>
        <w:spacing w:after="80"/>
      </w:pPr>
      <w:r>
        <w:rPr>
          <w:b/>
          <w:color w:val="4F46E5"/>
        </w:rPr>
        <w:t xml:space="preserve">FR-01: Data Ingestion &amp; Sanitization: </w:t>
      </w:r>
      <w:r>
        <w:t>The system MUST ingest 533k+ transactions, filter non-retail administrative codes (POST, BANK CHARGES, etc.), isolate returns (InvoiceNo starting with 'C' or negative Quantity), reconcile guest accounts, and provide high-speed caching.</w:t>
      </w:r>
    </w:p>
    <w:p>
      <w:pPr>
        <w:spacing w:after="80"/>
      </w:pPr>
      <w:r>
        <w:rPr>
          <w:b/>
          <w:color w:val="4F46E5"/>
        </w:rPr>
        <w:t xml:space="preserve">FR-02: Executive Decision Cockpit: </w:t>
      </w:r>
      <w:r>
        <w:t>The system MUST display 6 core C-suite KPIs (Net Revenue, Gross Profit, Total Orders, AOV, Gross Margin %, and Return Rate %) with dynamic period-over-period delta badges and automated alert banners.</w:t>
      </w:r>
    </w:p>
    <w:p>
      <w:pPr>
        <w:spacing w:after="80"/>
      </w:pPr>
      <w:r>
        <w:rPr>
          <w:b/>
          <w:color w:val="4F46E5"/>
        </w:rPr>
        <w:t xml:space="preserve">FR-03: Revenue &amp; Sales Velocity Module: </w:t>
      </w:r>
      <w:r>
        <w:t>The system MUST render dual-axis monthly revenue versus order volume trends and an intraday weekday-by-hour order density heatmap.</w:t>
      </w:r>
    </w:p>
    <w:p>
      <w:pPr>
        <w:spacing w:after="80"/>
      </w:pPr>
      <w:r>
        <w:rPr>
          <w:b/>
          <w:color w:val="4F46E5"/>
        </w:rPr>
        <w:t xml:space="preserve">FR-04: Catalog &amp; Category Intelligence: </w:t>
      </w:r>
      <w:r>
        <w:t>The system MUST implement an automated 8-category department keyword taxonomy and compute cumulative Pareto 80/20 SKU curves.</w:t>
      </w:r>
    </w:p>
    <w:p>
      <w:pPr>
        <w:spacing w:after="80"/>
      </w:pPr>
      <w:r>
        <w:rPr>
          <w:b/>
          <w:color w:val="4F46E5"/>
        </w:rPr>
        <w:t xml:space="preserve">FR-05: Algorithmic RFM Customer Segmentation: </w:t>
      </w:r>
      <w:r>
        <w:t>The system MUST compute Recency (days), Frequency (order count), and Monetary (total spend) quintiles (1-5), classifying customers into Champions, Loyalists, Promising New, At-Risk, and Hibernating cohorts with exportable CSVs.</w:t>
      </w:r>
    </w:p>
    <w:p>
      <w:pPr>
        <w:spacing w:after="80"/>
      </w:pPr>
      <w:r>
        <w:rPr>
          <w:b/>
          <w:color w:val="4F46E5"/>
        </w:rPr>
        <w:t xml:space="preserve">FR-06: Corporate Risk &amp; Opportunity Engine: </w:t>
      </w:r>
      <w:r>
        <w:t>The system MUST quantify domestic geographic over-reliance (UK concentration) and size cross-border wholesale expansion opportunities.</w:t>
      </w:r>
    </w:p>
    <w:p>
      <w:pPr>
        <w:spacing w:after="80"/>
      </w:pPr>
      <w:r>
        <w:rPr>
          <w:b/>
          <w:color w:val="4F46E5"/>
        </w:rPr>
        <w:t xml:space="preserve">FR-07: Predictive Demand &amp; Price Elasticity Simulator: </w:t>
      </w:r>
      <w:r>
        <w:t>The system MUST execute Holt-Winters time-series forecasting with 95% confidence intervals and dynamic interactive sliders for price change (-20% to +30%) and COGS inflation (-10% to +20%).</w:t>
      </w:r>
    </w:p>
    <w:p>
      <w:pPr>
        <w:spacing w:after="80"/>
      </w:pPr>
      <w:r>
        <w:rPr>
          <w:b/>
          <w:color w:val="4F46E5"/>
        </w:rPr>
        <w:t xml:space="preserve">FR-08: Consolidated Single-File Delivery: </w:t>
      </w:r>
      <w:r>
        <w:t>The entire dashboard MUST run from a consolidated, standalone project.py script without external database setup.</w:t>
      </w:r>
    </w:p>
    <w:p>
      <w:pPr>
        <w:pStyle w:val="Heading1"/>
      </w:pPr>
      <w:r>
        <w:t>4. Non-Functional Requirements (NFR)</w:t>
      </w:r>
    </w:p>
    <w:p>
      <w:pPr>
        <w:spacing w:after="80"/>
      </w:pPr>
      <w:r>
        <w:rPr>
          <w:b/>
          <w:color w:val="0EA5E9"/>
        </w:rPr>
        <w:t xml:space="preserve">NFR-01: Performance &amp; Startup Latency: </w:t>
      </w:r>
      <w:r>
        <w:t>The application MUST launch and deserialize 533k rows in under 2 seconds using Apache PyArrow Snappy Parquet caching.</w:t>
      </w:r>
    </w:p>
    <w:p>
      <w:pPr>
        <w:spacing w:after="80"/>
      </w:pPr>
      <w:r>
        <w:rPr>
          <w:b/>
          <w:color w:val="0EA5E9"/>
        </w:rPr>
        <w:t xml:space="preserve">NFR-02: Portability &amp; Cross-Platform Compatibility: </w:t>
      </w:r>
      <w:r>
        <w:t>The software MUST run seamlessly across macOS, Linux, and Windows 10/11 with zero OS-specific dependencies.</w:t>
      </w:r>
    </w:p>
    <w:p>
      <w:pPr>
        <w:spacing w:after="80"/>
      </w:pPr>
      <w:r>
        <w:rPr>
          <w:b/>
          <w:color w:val="0EA5E9"/>
        </w:rPr>
        <w:t xml:space="preserve">NFR-03: Submission Package Size Constraint: </w:t>
      </w:r>
      <w:r>
        <w:t>The complete submission bundle MUST adhere to a strict &lt;= 10.0 MB upload limit for academic and IBM portal compatibility.</w:t>
      </w:r>
    </w:p>
    <w:p>
      <w:pPr>
        <w:spacing w:after="80"/>
      </w:pPr>
      <w:r>
        <w:rPr>
          <w:b/>
          <w:color w:val="0EA5E9"/>
        </w:rPr>
        <w:t xml:space="preserve">NFR-04: Resilience &amp; Self-Healing Data Pipeline: </w:t>
      </w:r>
      <w:r>
        <w:t>If local cache files are absent, the application MUST automatically download, clean, and initialize the UCI dataset on-the-fly.</w:t>
      </w:r>
    </w:p>
    <w:p>
      <w:pPr>
        <w:spacing w:after="80"/>
      </w:pPr>
      <w:r>
        <w:rPr>
          <w:b/>
          <w:color w:val="0EA5E9"/>
        </w:rPr>
        <w:t xml:space="preserve">NFR-05: UI Responsiveness &amp; Interactive Visuals: </w:t>
      </w:r>
      <w:r>
        <w:t>All Plotly visuals MUST render asynchronously with zoom, hover tooltips, and interactive filter controls.</w:t>
      </w:r>
    </w:p>
    <w:p>
      <w:pPr>
        <w:spacing w:after="80"/>
      </w:pPr>
      <w:r>
        <w:rPr>
          <w:b/>
          <w:color w:val="0EA5E9"/>
        </w:rPr>
        <w:t xml:space="preserve">NFR-06: Documentation &amp; Attribution Integrity: </w:t>
      </w:r>
      <w:r>
        <w:t>The project MUST strictly preserve open-source MIT licensing and credit the foundational architectural UI layout.</w:t>
      </w:r>
    </w:p>
    <w:p>
      <w:pPr>
        <w:pStyle w:val="Heading1"/>
      </w:pPr>
      <w:r>
        <w:t>5. System Environment &amp; Software Requirements</w:t>
      </w:r>
    </w:p>
    <w:p>
      <w:r>
        <w:t>The required runtime environment and package dependencies are specified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1E293B"/>
          </w:tcPr>
          <w:p>
            <w:r>
              <w:rPr>
                <w:b/>
                <w:color w:val="FFFFFF"/>
              </w:rPr>
              <w:t>Package / Tool</w:t>
            </w:r>
          </w:p>
        </w:tc>
        <w:tc>
          <w:tcPr>
            <w:tcW w:type="dxa" w:w="2160"/>
            <w:shd w:fill="1E293B"/>
          </w:tcPr>
          <w:p>
            <w:r>
              <w:rPr>
                <w:b/>
                <w:color w:val="FFFFFF"/>
              </w:rPr>
              <w:t>Minimum Version</w:t>
            </w:r>
          </w:p>
        </w:tc>
        <w:tc>
          <w:tcPr>
            <w:tcW w:type="dxa" w:w="4752"/>
            <w:shd w:fill="1E293B"/>
          </w:tcPr>
          <w:p>
            <w:r>
              <w:rPr>
                <w:b/>
                <w:color w:val="FFFFFF"/>
              </w:rPr>
              <w:t>Role in Architecture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b/>
              </w:rPr>
              <w:t>Python</w:t>
            </w:r>
          </w:p>
        </w:tc>
        <w:tc>
          <w:tcPr>
            <w:tcW w:type="dxa" w:w="2160"/>
            <w:shd w:fill="F8FAFC"/>
          </w:tcPr>
          <w:p>
            <w:r>
              <w:t>3.10+</w:t>
            </w:r>
          </w:p>
        </w:tc>
        <w:tc>
          <w:tcPr>
            <w:tcW w:type="dxa" w:w="4752"/>
            <w:shd w:fill="F8FAFC"/>
          </w:tcPr>
          <w:p>
            <w:r>
              <w:t>Base programming runtime environment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b/>
              </w:rPr>
              <w:t>Streamlit</w:t>
            </w:r>
          </w:p>
        </w:tc>
        <w:tc>
          <w:tcPr>
            <w:tcW w:type="dxa" w:w="2160"/>
            <w:shd w:fill="FFFFFF"/>
          </w:tcPr>
          <w:p>
            <w:r>
              <w:t>1.30+</w:t>
            </w:r>
          </w:p>
        </w:tc>
        <w:tc>
          <w:tcPr>
            <w:tcW w:type="dxa" w:w="4752"/>
            <w:shd w:fill="FFFFFF"/>
          </w:tcPr>
          <w:p>
            <w:r>
              <w:t>Interactive C-suite web application interface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b/>
              </w:rPr>
              <w:t>Plotly</w:t>
            </w:r>
          </w:p>
        </w:tc>
        <w:tc>
          <w:tcPr>
            <w:tcW w:type="dxa" w:w="2160"/>
            <w:shd w:fill="F8FAFC"/>
          </w:tcPr>
          <w:p>
            <w:r>
              <w:t>5.18+</w:t>
            </w:r>
          </w:p>
        </w:tc>
        <w:tc>
          <w:tcPr>
            <w:tcW w:type="dxa" w:w="4752"/>
            <w:shd w:fill="F8FAFC"/>
          </w:tcPr>
          <w:p>
            <w:r>
              <w:t>Interactive charts, Pareto curves, and heatmaps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b/>
              </w:rPr>
              <w:t>Pandas &amp; NumPy</w:t>
            </w:r>
          </w:p>
        </w:tc>
        <w:tc>
          <w:tcPr>
            <w:tcW w:type="dxa" w:w="2160"/>
            <w:shd w:fill="FFFFFF"/>
          </w:tcPr>
          <w:p>
            <w:r>
              <w:t>2.0+ / 1.24+</w:t>
            </w:r>
          </w:p>
        </w:tc>
        <w:tc>
          <w:tcPr>
            <w:tcW w:type="dxa" w:w="4752"/>
            <w:shd w:fill="FFFFFF"/>
          </w:tcPr>
          <w:p>
            <w:r>
              <w:t>Vectorized data cleaning, RFM quintiles, and aggregations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b/>
              </w:rPr>
              <w:t>SciPy &amp; Scikit-Learn</w:t>
            </w:r>
          </w:p>
        </w:tc>
        <w:tc>
          <w:tcPr>
            <w:tcW w:type="dxa" w:w="2160"/>
            <w:shd w:fill="F8FAFC"/>
          </w:tcPr>
          <w:p>
            <w:r>
              <w:t>1.10+ / 1.3+</w:t>
            </w:r>
          </w:p>
        </w:tc>
        <w:tc>
          <w:tcPr>
            <w:tcW w:type="dxa" w:w="4752"/>
            <w:shd w:fill="F8FAFC"/>
          </w:tcPr>
          <w:p>
            <w:r>
              <w:t>Statistical regressions, RFM modeling, Holt-Winters forecasting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b/>
              </w:rPr>
              <w:t>PyArrow &amp; OpenPyXL</w:t>
            </w:r>
          </w:p>
        </w:tc>
        <w:tc>
          <w:tcPr>
            <w:tcW w:type="dxa" w:w="2160"/>
            <w:shd w:fill="FFFFFF"/>
          </w:tcPr>
          <w:p>
            <w:r>
              <w:t>14.0+ / 3.1+</w:t>
            </w:r>
          </w:p>
        </w:tc>
        <w:tc>
          <w:tcPr>
            <w:tcW w:type="dxa" w:w="4752"/>
            <w:shd w:fill="FFFFFF"/>
          </w:tcPr>
          <w:p>
            <w:r>
              <w:t>High-speed Parquet cache serialization and Excel ingestion</w:t>
            </w:r>
          </w:p>
        </w:tc>
      </w:tr>
    </w:tbl>
    <w:p>
      <w:pPr>
        <w:spacing w:after="240"/>
      </w:pPr>
    </w:p>
    <w:p>
      <w:pPr>
        <w:pStyle w:val="Heading1"/>
      </w:pPr>
      <w:r>
        <w:t>6. Execution &amp; Verification Procedure</w:t>
      </w:r>
    </w:p>
    <w:p>
      <w:r>
        <w:t>Evaluators can execute and verify the platform using standard terminal commands:</w:t>
      </w:r>
    </w:p>
    <w:p>
      <w:pPr>
        <w:pStyle w:val="ListBullet"/>
        <w:spacing w:after="60"/>
      </w:pPr>
      <w:r>
        <w:t>Clone the repository: git clone https://github.com/hs-techlabs/ibm-project.git</w:t>
      </w:r>
    </w:p>
    <w:p>
      <w:pPr>
        <w:pStyle w:val="ListBullet"/>
        <w:spacing w:after="60"/>
      </w:pPr>
      <w:r>
        <w:t>Navigate into directory: cd ibm-project</w:t>
      </w:r>
    </w:p>
    <w:p>
      <w:pPr>
        <w:pStyle w:val="ListBullet"/>
        <w:spacing w:after="60"/>
      </w:pPr>
      <w:r>
        <w:t>Create virtual environment: python3 -m venv venv &amp;&amp; source venv/bin/activate</w:t>
      </w:r>
    </w:p>
    <w:p>
      <w:pPr>
        <w:pStyle w:val="ListBullet"/>
        <w:spacing w:after="60"/>
      </w:pPr>
      <w:r>
        <w:t>Install dependencies: pip install -r requirements.txt</w:t>
      </w:r>
    </w:p>
    <w:p>
      <w:pPr>
        <w:pStyle w:val="ListBullet"/>
        <w:spacing w:after="60"/>
      </w:pPr>
      <w:r>
        <w:t>Launch application: streamlit run project.py</w:t>
      </w:r>
    </w:p>
    <w:p>
      <w:pPr>
        <w:pStyle w:val="ListBullet"/>
        <w:spacing w:after="60"/>
      </w:pPr>
      <w:r>
        <w:t>Access executive dashboard in browser at: http://localhost:8501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