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1"/>
        </w:numPr>
        <w:rPr>
          <w:lang w:val="en-US"/>
        </w:rPr>
      </w:pPr>
      <w:r>
        <w:rPr>
          <w:lang w:val="en-US"/>
        </w:rPr>
        <w:t xml:space="preserve">Names, Affiliations and Email-Addresses of </w:t>
      </w:r>
      <w:r>
        <w:rPr>
          <w:u w:val="single"/>
          <w:lang w:val="en-US"/>
        </w:rPr>
        <w:t>all</w:t>
      </w:r>
      <w:r>
        <w:rPr>
          <w:lang w:val="en-US"/>
        </w:rPr>
        <w:t xml:space="preserve"> of the Volume Editors, </w:t>
      </w:r>
      <w:r>
        <w:rPr>
          <w:u w:val="single"/>
          <w:lang w:val="en-US"/>
        </w:rPr>
        <w:t>in the order and in the form</w:t>
      </w:r>
      <w:r>
        <w:rPr>
          <w:lang w:val="en-US"/>
        </w:rPr>
        <w:t xml:space="preserve"> in which they are to appear on the cover, not forgetting any middle initials you would like to include. Kindly double check that you have included ALL of the volume editors whose names are to appear on the cover. Editors’ names </w:t>
      </w:r>
      <w:r>
        <w:rPr>
          <w:u w:val="single"/>
          <w:lang w:val="en-US"/>
        </w:rPr>
        <w:t>cannot</w:t>
      </w:r>
      <w:r>
        <w:rPr>
          <w:lang w:val="en-US"/>
        </w:rPr>
        <w:t xml:space="preserve"> be added following publication.  (</w:t>
      </w:r>
      <w:r>
        <w:rPr>
          <w:u w:val="single"/>
          <w:lang w:val="en-US"/>
        </w:rPr>
        <w:t>Please make special mention of the contact volume editor</w:t>
      </w:r>
      <w:r>
        <w:rPr>
          <w:lang w:val="en-US"/>
        </w:rPr>
        <w:t xml:space="preserve">.) NB: The information provided here will be used for the cover and the imprint page of the book. Please use the </w:t>
      </w:r>
      <w:r>
        <w:rPr>
          <w:u w:val="single"/>
          <w:lang w:val="en-US"/>
        </w:rPr>
        <w:t>western naming convention</w:t>
      </w:r>
      <w:r>
        <w:rPr>
          <w:lang w:val="en-US"/>
        </w:rPr>
        <w:t xml:space="preserve">. The “last name” is the family name. </w:t>
      </w:r>
    </w:p>
    <w:tbl>
      <w:tblPr>
        <w:tblW w:w="8334" w:type="dxa"/>
        <w:jc w:val="center"/>
        <w:tblInd w:w="0" w:type="dxa"/>
        <w:tblLayout w:type="fixed"/>
        <w:tblCellMar>
          <w:top w:w="57" w:type="dxa"/>
          <w:left w:w="57" w:type="dxa"/>
          <w:bottom w:w="57" w:type="dxa"/>
          <w:right w:w="57" w:type="dxa"/>
        </w:tblCellMar>
        <w:tblLook w:val="00a0" w:noHBand="0" w:noVBand="0" w:firstColumn="1" w:lastRow="0" w:lastColumn="0" w:firstRow="1"/>
      </w:tblPr>
      <w:tblGrid>
        <w:gridCol w:w="2726"/>
        <w:gridCol w:w="1887"/>
        <w:gridCol w:w="1886"/>
        <w:gridCol w:w="1834"/>
      </w:tblGrid>
      <w:tr>
        <w:trPr>
          <w:trHeight w:val="256" w:hRule="atLeast"/>
        </w:trPr>
        <w:tc>
          <w:tcPr>
            <w:tcW w:w="2726" w:type="dxa"/>
            <w:tcBorders>
              <w:top w:val="single" w:sz="4" w:space="0" w:color="000000"/>
              <w:left w:val="single" w:sz="4" w:space="0" w:color="000000"/>
              <w:bottom w:val="single" w:sz="4" w:space="0" w:color="000000"/>
              <w:right w:val="single" w:sz="4" w:space="0" w:color="000000"/>
            </w:tcBorders>
            <w:vAlign w:val="center"/>
          </w:tcPr>
          <w:p>
            <w:pPr>
              <w:pStyle w:val="StandardSchwarz"/>
              <w:keepNext w:val="true"/>
              <w:widowControl w:val="false"/>
              <w:rPr>
                <w:sz w:val="18"/>
                <w:szCs w:val="18"/>
              </w:rPr>
            </w:pPr>
            <w:r>
              <w:rPr>
                <w:sz w:val="18"/>
                <w:szCs w:val="18"/>
              </w:rPr>
            </w:r>
          </w:p>
        </w:tc>
        <w:tc>
          <w:tcPr>
            <w:tcW w:w="1887" w:type="dxa"/>
            <w:tcBorders>
              <w:top w:val="single" w:sz="4" w:space="0" w:color="000000"/>
              <w:left w:val="single" w:sz="4" w:space="0" w:color="000000"/>
              <w:bottom w:val="single" w:sz="4" w:space="0" w:color="000000"/>
              <w:right w:val="single" w:sz="4" w:space="0" w:color="000000"/>
            </w:tcBorders>
            <w:vAlign w:val="center"/>
          </w:tcPr>
          <w:p>
            <w:pPr>
              <w:pStyle w:val="StandardSchwarz"/>
              <w:keepNext w:val="true"/>
              <w:widowControl w:val="false"/>
              <w:rPr>
                <w:sz w:val="18"/>
                <w:szCs w:val="18"/>
              </w:rPr>
            </w:pPr>
            <w:r>
              <w:rPr>
                <w:sz w:val="18"/>
                <w:szCs w:val="18"/>
              </w:rPr>
              <w:t>Editor 1</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StandardSchwarz"/>
              <w:keepNext w:val="true"/>
              <w:widowControl w:val="false"/>
              <w:rPr>
                <w:sz w:val="18"/>
                <w:szCs w:val="18"/>
              </w:rPr>
            </w:pPr>
            <w:r>
              <w:rPr>
                <w:sz w:val="18"/>
                <w:szCs w:val="18"/>
              </w:rPr>
              <w:t>Editor 2</w:t>
            </w:r>
          </w:p>
        </w:tc>
        <w:tc>
          <w:tcPr>
            <w:tcW w:w="1834" w:type="dxa"/>
            <w:tcBorders>
              <w:top w:val="single" w:sz="4" w:space="0" w:color="000000"/>
              <w:left w:val="single" w:sz="4" w:space="0" w:color="000000"/>
              <w:bottom w:val="single" w:sz="4" w:space="0" w:color="000000"/>
              <w:right w:val="single" w:sz="4" w:space="0" w:color="000000"/>
            </w:tcBorders>
            <w:vAlign w:val="center"/>
          </w:tcPr>
          <w:p>
            <w:pPr>
              <w:pStyle w:val="StandardSchwarz"/>
              <w:keepNext w:val="true"/>
              <w:widowControl w:val="false"/>
              <w:rPr>
                <w:sz w:val="18"/>
                <w:szCs w:val="18"/>
              </w:rPr>
            </w:pPr>
            <w:r>
              <w:rPr>
                <w:sz w:val="18"/>
                <w:szCs w:val="18"/>
              </w:rPr>
              <w:t>Editor …</w:t>
            </w:r>
          </w:p>
        </w:tc>
      </w:tr>
      <w:tr>
        <w:trPr>
          <w:trHeight w:val="256" w:hRule="atLeast"/>
        </w:trPr>
        <w:tc>
          <w:tcPr>
            <w:tcW w:w="2726" w:type="dxa"/>
            <w:tcBorders>
              <w:top w:val="single" w:sz="4" w:space="0" w:color="000000"/>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Last Name</w:t>
            </w:r>
          </w:p>
        </w:tc>
        <w:tc>
          <w:tcPr>
            <w:tcW w:w="1887" w:type="dxa"/>
            <w:tcBorders>
              <w:top w:val="single" w:sz="4" w:space="0" w:color="000000"/>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Hara</w:t>
            </w:r>
          </w:p>
        </w:tc>
        <w:tc>
          <w:tcPr>
            <w:tcW w:w="1886" w:type="dxa"/>
            <w:tcBorders>
              <w:top w:val="single" w:sz="4" w:space="0" w:color="000000"/>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Muehlberg</w:t>
            </w:r>
          </w:p>
        </w:tc>
        <w:tc>
          <w:tcPr>
            <w:tcW w:w="1834" w:type="dxa"/>
            <w:tcBorders>
              <w:top w:val="single" w:sz="4" w:space="0" w:color="000000"/>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r>
          </w:p>
        </w:tc>
      </w:tr>
      <w:tr>
        <w:trPr>
          <w:trHeight w:val="272" w:hRule="atLeast"/>
        </w:trPr>
        <w:tc>
          <w:tcPr>
            <w:tcW w:w="272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First Name</w:t>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Yuko</w:t>
            </w:r>
          </w:p>
        </w:tc>
        <w:tc>
          <w:tcPr>
            <w:tcW w:w="188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Jan Tobias</w:t>
            </w:r>
          </w:p>
        </w:tc>
        <w:tc>
          <w:tcPr>
            <w:tcW w:w="1834"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r>
          </w:p>
        </w:tc>
      </w:tr>
      <w:tr>
        <w:trPr>
          <w:trHeight w:val="272" w:hRule="atLeast"/>
        </w:trPr>
        <w:tc>
          <w:tcPr>
            <w:tcW w:w="272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ORCID if available</w:t>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lang w:val="de-DE"/>
              </w:rPr>
              <w:t>0000-0001-9486-5272</w:t>
            </w:r>
          </w:p>
        </w:tc>
        <w:tc>
          <w:tcPr>
            <w:tcW w:w="188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lang w:val="de-DE"/>
              </w:rPr>
              <w:t>0000-0001-5035-0576</w:t>
            </w:r>
          </w:p>
        </w:tc>
        <w:tc>
          <w:tcPr>
            <w:tcW w:w="1834"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lang w:val="de-DE"/>
              </w:rPr>
            </w:r>
          </w:p>
        </w:tc>
      </w:tr>
      <w:tr>
        <w:trPr>
          <w:trHeight w:val="272" w:hRule="atLeast"/>
        </w:trPr>
        <w:tc>
          <w:tcPr>
            <w:tcW w:w="272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rPr>
              <w:t>Email Address</w:t>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lang w:val="de-DE"/>
              </w:rPr>
              <w:t>hara@cad.ict.e.titech.ac.jp</w:t>
            </w:r>
          </w:p>
        </w:tc>
        <w:tc>
          <w:tcPr>
            <w:tcW w:w="188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lang w:val="de-DE"/>
              </w:rPr>
              <w:t>Jan.tobias.muehlberg@ulb.be</w:t>
            </w:r>
          </w:p>
        </w:tc>
        <w:tc>
          <w:tcPr>
            <w:tcW w:w="1834" w:type="dxa"/>
            <w:tcBorders>
              <w:left w:val="single" w:sz="4" w:space="0" w:color="000000"/>
              <w:bottom w:val="single" w:sz="4" w:space="0" w:color="000000"/>
              <w:right w:val="single" w:sz="4" w:space="0" w:color="000000"/>
            </w:tcBorders>
            <w:vAlign w:val="center"/>
          </w:tcPr>
          <w:p>
            <w:pPr>
              <w:pStyle w:val="StandardSchwarz"/>
              <w:widowControl w:val="false"/>
              <w:rPr>
                <w:sz w:val="18"/>
                <w:szCs w:val="18"/>
                <w:lang w:val="de-DE"/>
              </w:rPr>
            </w:pPr>
            <w:r>
              <w:rPr>
                <w:sz w:val="18"/>
                <w:szCs w:val="18"/>
                <w:lang w:val="de-DE"/>
              </w:rPr>
            </w:r>
          </w:p>
        </w:tc>
      </w:tr>
      <w:tr>
        <w:trPr>
          <w:trHeight w:val="1008" w:hRule="atLeast"/>
        </w:trPr>
        <w:tc>
          <w:tcPr>
            <w:tcW w:w="272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 xml:space="preserve">Academic Affiliation, including </w:t>
            </w:r>
            <w:r>
              <w:rPr>
                <w:sz w:val="18"/>
                <w:szCs w:val="18"/>
                <w:u w:val="single"/>
              </w:rPr>
              <w:t>street address, postal code, town, state (if applicable) and country/region</w:t>
            </w:r>
          </w:p>
          <w:p>
            <w:pPr>
              <w:pStyle w:val="StandardSchwarz"/>
              <w:widowControl w:val="false"/>
              <w:rPr>
                <w:sz w:val="18"/>
                <w:szCs w:val="18"/>
              </w:rPr>
            </w:pPr>
            <w:r>
              <w:rPr>
                <w:sz w:val="18"/>
                <w:szCs w:val="18"/>
              </w:rPr>
            </w:r>
          </w:p>
          <w:p>
            <w:pPr>
              <w:pStyle w:val="StandardSchwarz"/>
              <w:widowControl w:val="false"/>
              <w:rPr>
                <w:sz w:val="18"/>
                <w:szCs w:val="18"/>
              </w:rPr>
            </w:pPr>
            <w:r>
              <w:rPr>
                <w:sz w:val="18"/>
                <w:szCs w:val="18"/>
              </w:rPr>
            </w:r>
          </w:p>
        </w:tc>
        <w:tc>
          <w:tcPr>
            <w:tcW w:w="1887"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Institute of Science Tokyo, Tokyo 152-8550, Japan</w:t>
            </w:r>
          </w:p>
        </w:tc>
        <w:tc>
          <w:tcPr>
            <w:tcW w:w="1886"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t xml:space="preserve">Université Libre de Bruxelles, Franklin Rooseveltlaan 50, </w:t>
            </w:r>
            <w:r>
              <w:rPr>
                <w:sz w:val="18"/>
                <w:szCs w:val="18"/>
              </w:rPr>
              <w:t xml:space="preserve">1050 Brussels, </w:t>
            </w:r>
            <w:r>
              <w:rPr>
                <w:sz w:val="18"/>
                <w:szCs w:val="18"/>
              </w:rPr>
              <w:t>Belgium</w:t>
            </w:r>
          </w:p>
        </w:tc>
        <w:tc>
          <w:tcPr>
            <w:tcW w:w="1834" w:type="dxa"/>
            <w:tcBorders>
              <w:left w:val="single" w:sz="4" w:space="0" w:color="000000"/>
              <w:bottom w:val="single" w:sz="4" w:space="0" w:color="000000"/>
              <w:right w:val="single" w:sz="4" w:space="0" w:color="000000"/>
            </w:tcBorders>
            <w:vAlign w:val="center"/>
          </w:tcPr>
          <w:p>
            <w:pPr>
              <w:pStyle w:val="StandardSchwarz"/>
              <w:widowControl w:val="false"/>
              <w:rPr>
                <w:sz w:val="18"/>
                <w:szCs w:val="18"/>
              </w:rPr>
            </w:pPr>
            <w:r>
              <w:rPr>
                <w:sz w:val="18"/>
                <w:szCs w:val="18"/>
              </w:rPr>
            </w:r>
          </w:p>
        </w:tc>
      </w:tr>
    </w:tbl>
    <w:p>
      <w:pPr>
        <w:pStyle w:val="Normal"/>
        <w:rPr>
          <w:lang w:val="en-US"/>
        </w:rPr>
      </w:pPr>
      <w:r>
        <w:rPr>
          <w:lang w:val="en-US"/>
        </w:rPr>
      </w:r>
    </w:p>
    <w:p>
      <w:pPr>
        <w:pStyle w:val="Normal"/>
        <w:ind w:firstLine="360"/>
        <w:rPr>
          <w:lang w:val="en-US"/>
        </w:rPr>
      </w:pPr>
      <w:r>
        <w:rPr>
          <w:lang w:val="en-US"/>
        </w:rPr>
        <w:t>1a.</w:t>
        <w:tab/>
      </w:r>
      <w:r>
        <w:rPr>
          <w:b/>
          <w:lang w:val="en-US"/>
        </w:rPr>
        <w:t>Name of Volume Contact Editor:</w:t>
      </w:r>
      <w:r>
        <w:rPr>
          <w:lang w:val="en-US"/>
        </w:rPr>
        <w:t xml:space="preserve"> Joaquin Garcia-Alfaro</w:t>
      </w:r>
    </w:p>
    <w:p>
      <w:pPr>
        <w:pStyle w:val="ListParagraph"/>
        <w:numPr>
          <w:ilvl w:val="0"/>
          <w:numId w:val="1"/>
        </w:numPr>
        <w:rPr>
          <w:lang w:val="en-US"/>
        </w:rPr>
      </w:pPr>
      <w:r>
        <w:rPr>
          <w:lang w:val="en-US"/>
        </w:rPr>
        <w:t xml:space="preserve">Kindly confirm that you have drawn the authors’ attention to our </w:t>
      </w:r>
      <w:hyperlink r:id="rId2">
        <w:r>
          <w:rPr>
            <w:rStyle w:val="InternetLink"/>
            <w:lang w:val="en-US"/>
          </w:rPr>
          <w:t>Editorial Policies</w:t>
        </w:r>
      </w:hyperlink>
      <w:r>
        <w:rPr>
          <w:lang w:val="en-US"/>
        </w:rPr>
        <w:t xml:space="preserve"> : Confirmed</w:t>
      </w:r>
    </w:p>
    <w:p>
      <w:pPr>
        <w:pStyle w:val="ListParagraph"/>
        <w:rPr>
          <w:lang w:val="en-US"/>
        </w:rPr>
      </w:pPr>
      <w:r>
        <w:rPr>
          <w:lang w:val="en-US"/>
        </w:rPr>
      </w:r>
    </w:p>
    <w:p>
      <w:pPr>
        <w:pStyle w:val="ListParagraph"/>
        <w:numPr>
          <w:ilvl w:val="0"/>
          <w:numId w:val="1"/>
        </w:numPr>
        <w:rPr>
          <w:lang w:val="en-US"/>
        </w:rPr>
      </w:pPr>
      <w:r>
        <w:rPr>
          <w:lang w:val="en-US"/>
        </w:rPr>
        <w:t xml:space="preserve">Please provide a list of some 8-20 keywords pertaining to the topical focus of the work. The ACM codes on the following site: </w:t>
      </w:r>
      <w:hyperlink r:id="rId3">
        <w:r>
          <w:rPr>
            <w:rStyle w:val="InternetLink"/>
            <w:lang w:val="en-US"/>
          </w:rPr>
          <w:t>http://www.acm.org/about/class/2012?pageIndex=0</w:t>
        </w:r>
      </w:hyperlink>
      <w:r>
        <w:rPr>
          <w:lang w:val="en-US"/>
        </w:rPr>
        <w:t xml:space="preserve"> provide a useful source of such keywords.</w:t>
      </w:r>
    </w:p>
    <w:p>
      <w:pPr>
        <w:pStyle w:val="ListParagraph"/>
        <w:rPr>
          <w:sz w:val="16"/>
          <w:szCs w:val="16"/>
          <w:lang w:val="en-US"/>
        </w:rPr>
      </w:pPr>
      <w:r>
        <w:rPr>
          <w:sz w:val="16"/>
          <w:szCs w:val="16"/>
          <w:lang w:val="en-US"/>
        </w:rPr>
      </w:r>
    </w:p>
    <w:p>
      <w:pPr>
        <w:pStyle w:val="ListParagraph"/>
        <w:numPr>
          <w:ilvl w:val="0"/>
          <w:numId w:val="4"/>
        </w:numPr>
        <w:spacing w:before="0" w:after="0"/>
        <w:contextualSpacing/>
        <w:rPr>
          <w:lang w:val="en-US"/>
        </w:rPr>
      </w:pPr>
      <w:r>
        <w:rPr>
          <w:lang w:val="en-US"/>
        </w:rPr>
        <w:t xml:space="preserve">When you send the files, kindly provide an estimate of your order (see the terms sent with the acceptance email). Please </w:t>
      </w:r>
      <w:r>
        <w:rPr>
          <w:u w:val="single"/>
          <w:lang w:val="en-US"/>
        </w:rPr>
        <w:t>specify</w:t>
      </w:r>
      <w:r>
        <w:rPr>
          <w:lang w:val="en-US"/>
        </w:rPr>
        <w:t xml:space="preserve"> whether your estimated order includes free printed copies or is in addition to the free copies. </w:t>
      </w:r>
    </w:p>
    <w:p>
      <w:pPr>
        <w:pStyle w:val="ListParagraph"/>
        <w:spacing w:before="0" w:after="0"/>
        <w:ind w:left="644" w:hanging="0"/>
        <w:contextualSpacing/>
        <w:rPr>
          <w:lang w:val="en-US"/>
        </w:rPr>
      </w:pPr>
      <w:r>
        <w:rPr>
          <w:lang w:val="en-US"/>
        </w:rPr>
        <w:t>We offer the option of giving registered conference participants temporary free access to the online version of the conference proceedings on SpringerLink (http://link.springer.com) via http referrer from the conference website. This option allows any participant to download an electronic version of the proceedings e-book (either as complete pdf or as individual chapters). Access is granted for approximately four weeks, starting a few days before the meeting.</w:t>
      </w:r>
    </w:p>
    <w:p>
      <w:pPr>
        <w:pStyle w:val="ListParagraph"/>
        <w:spacing w:before="0" w:after="0"/>
        <w:ind w:left="644" w:hanging="0"/>
        <w:contextualSpacing/>
        <w:rPr>
          <w:lang w:val="en-US"/>
        </w:rPr>
      </w:pPr>
      <w:r>
        <w:rPr>
          <w:lang w:val="en-US"/>
        </w:rPr>
      </w:r>
    </w:p>
    <w:p>
      <w:pPr>
        <w:pStyle w:val="ListParagraph"/>
        <w:rPr>
          <w:u w:val="single"/>
          <w:lang w:val="en-US"/>
        </w:rPr>
      </w:pPr>
      <w:r>
        <w:rPr>
          <w:u w:val="single"/>
          <w:lang w:val="en-US"/>
        </w:rPr>
        <w:t>NB: We do not set up 4-week online access if your conference website is a Google site.</w:t>
      </w:r>
    </w:p>
    <w:p>
      <w:pPr>
        <w:pStyle w:val="ListParagraph"/>
        <w:rPr>
          <w:u w:val="single"/>
          <w:lang w:val="en-US"/>
        </w:rPr>
      </w:pPr>
      <w:r>
        <w:rPr>
          <w:u w:val="single"/>
          <w:lang w:val="en-US"/>
        </w:rPr>
      </w:r>
    </w:p>
    <w:p>
      <w:pPr>
        <w:pStyle w:val="ListParagraph"/>
        <w:rPr>
          <w:u w:val="single"/>
          <w:lang w:val="en-US"/>
        </w:rPr>
      </w:pPr>
      <w:r>
        <w:rPr>
          <w:b/>
          <w:lang w:val="en-US"/>
        </w:rPr>
        <w:t>Your order</w:t>
      </w:r>
      <w:r>
        <w:rPr>
          <w:lang w:val="en-US"/>
        </w:rPr>
        <w:t>:</w:t>
      </w:r>
      <w:r>
        <w:rPr>
          <w:u w:val="single"/>
          <w:lang w:val="en-US"/>
        </w:rPr>
        <w:t xml:space="preserve">_Give registered conference participants temporary free access to the online version of the conference proceedings on SpringerLink </w:t>
      </w:r>
    </w:p>
    <w:p>
      <w:pPr>
        <w:pStyle w:val="ListParagraph"/>
        <w:rPr>
          <w:u w:val="single"/>
          <w:lang w:val="en-US"/>
        </w:rPr>
      </w:pPr>
      <w:r>
        <w:rPr>
          <w:b/>
          <w:lang w:val="en-US"/>
        </w:rPr>
        <w:t xml:space="preserve">Name and email address of contact for 4-week access: </w:t>
      </w:r>
    </w:p>
    <w:p>
      <w:pPr>
        <w:pStyle w:val="ListParagraph"/>
        <w:rPr>
          <w:b/>
          <w:b/>
          <w:u w:val="single"/>
          <w:lang w:val="en-US"/>
        </w:rPr>
      </w:pPr>
      <w:r>
        <w:rPr>
          <w:b/>
          <w:lang w:val="en-US"/>
        </w:rPr>
        <w:t>URL of Konferenz-Website for 4-week access:</w:t>
      </w:r>
      <w:r>
        <w:rPr>
          <w:bCs/>
          <w:lang w:val="en-US"/>
        </w:rPr>
        <w:t xml:space="preserve"> </w:t>
      </w:r>
      <w:r>
        <w:rPr>
          <w:b/>
          <w:lang w:val="en-US"/>
        </w:rPr>
        <w:t xml:space="preserve"> </w:t>
      </w:r>
    </w:p>
    <w:p>
      <w:pPr>
        <w:pStyle w:val="ListParagraph"/>
        <w:rPr>
          <w:u w:val="single"/>
          <w:lang w:val="en-US"/>
        </w:rPr>
      </w:pPr>
      <w:r>
        <w:rPr>
          <w:u w:val="single"/>
          <w:lang w:val="en-US"/>
        </w:rPr>
      </w:r>
    </w:p>
    <w:p>
      <w:pPr>
        <w:pStyle w:val="ListParagraph"/>
        <w:rPr>
          <w:sz w:val="16"/>
          <w:szCs w:val="16"/>
          <w:lang w:val="en-US"/>
        </w:rPr>
      </w:pPr>
      <w:r>
        <w:rPr>
          <w:sz w:val="16"/>
          <w:szCs w:val="16"/>
          <w:lang w:val="en-US"/>
        </w:rPr>
      </w:r>
    </w:p>
    <w:p>
      <w:pPr>
        <w:pStyle w:val="ListParagraph"/>
        <w:numPr>
          <w:ilvl w:val="0"/>
          <w:numId w:val="1"/>
        </w:numPr>
        <w:rPr>
          <w:lang w:val="en-US"/>
        </w:rPr>
      </w:pPr>
      <w:r>
        <w:rPr>
          <w:lang w:val="en-US"/>
        </w:rPr>
        <w:t>In order to promote transparency, we request the following information regarding the submission and review process. This information may be made available on SpringerLink.</w:t>
      </w:r>
    </w:p>
    <w:tbl>
      <w:tblPr>
        <w:tblStyle w:val="TableGrid"/>
        <w:tblW w:w="8221" w:type="dxa"/>
        <w:jc w:val="left"/>
        <w:tblInd w:w="534" w:type="dxa"/>
        <w:tblLayout w:type="fixed"/>
        <w:tblCellMar>
          <w:top w:w="0" w:type="dxa"/>
          <w:left w:w="108" w:type="dxa"/>
          <w:bottom w:w="0" w:type="dxa"/>
          <w:right w:w="108" w:type="dxa"/>
        </w:tblCellMar>
        <w:tblLook w:val="04a0" w:noHBand="0" w:noVBand="1" w:firstColumn="1" w:lastRow="0" w:lastColumn="0" w:firstRow="1"/>
      </w:tblPr>
      <w:tblGrid>
        <w:gridCol w:w="4961"/>
        <w:gridCol w:w="3259"/>
      </w:tblGrid>
      <w:tr>
        <w:trPr>
          <w:trHeight w:val="304" w:hRule="atLeast"/>
        </w:trPr>
        <w:tc>
          <w:tcPr>
            <w:tcW w:w="4961"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en-US" w:eastAsia="de-DE" w:bidi="ar-SA"/>
              </w:rPr>
              <w:t>Number of submissions sent for peer review:</w:t>
            </w:r>
          </w:p>
        </w:tc>
        <w:tc>
          <w:tcPr>
            <w:tcW w:w="3259"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de-DE" w:eastAsia="de-DE" w:bidi="ar-SA"/>
              </w:rPr>
              <w:t>14</w:t>
            </w:r>
          </w:p>
        </w:tc>
      </w:tr>
      <w:tr>
        <w:trPr>
          <w:trHeight w:val="321" w:hRule="atLeast"/>
        </w:trPr>
        <w:tc>
          <w:tcPr>
            <w:tcW w:w="4961"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en-US" w:eastAsia="de-DE" w:bidi="ar-SA"/>
              </w:rPr>
              <w:t>Number of full papers accepted:</w:t>
            </w:r>
          </w:p>
        </w:tc>
        <w:tc>
          <w:tcPr>
            <w:tcW w:w="3259"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de-DE" w:eastAsia="de-DE" w:bidi="ar-SA"/>
              </w:rPr>
              <w:t>3</w:t>
            </w:r>
          </w:p>
        </w:tc>
      </w:tr>
      <w:tr>
        <w:trPr>
          <w:trHeight w:val="336" w:hRule="atLeast"/>
        </w:trPr>
        <w:tc>
          <w:tcPr>
            <w:tcW w:w="4961"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en-US" w:eastAsia="de-DE" w:bidi="ar-SA"/>
              </w:rPr>
              <w:t>Number of short papers accepted (This should have been discussed and agreed with the Springer Editor):</w:t>
            </w:r>
          </w:p>
        </w:tc>
        <w:tc>
          <w:tcPr>
            <w:tcW w:w="3259"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de-DE" w:eastAsia="de-DE" w:bidi="ar-SA"/>
              </w:rPr>
              <w:t>4</w:t>
            </w:r>
          </w:p>
        </w:tc>
      </w:tr>
      <w:tr>
        <w:trPr>
          <w:trHeight w:val="336" w:hRule="atLeast"/>
        </w:trPr>
        <w:tc>
          <w:tcPr>
            <w:tcW w:w="4961"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en-US" w:eastAsia="de-DE" w:bidi="ar-SA"/>
              </w:rPr>
              <w:t>Number and type of other papers accepted (This should have been discussed and agreed with the Springer Editor):</w:t>
            </w:r>
          </w:p>
        </w:tc>
        <w:tc>
          <w:tcPr>
            <w:tcW w:w="3259"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de-DE" w:eastAsia="de-DE" w:bidi="ar-SA"/>
              </w:rPr>
              <w:t>0</w:t>
            </w:r>
          </w:p>
        </w:tc>
      </w:tr>
      <w:tr>
        <w:trPr>
          <w:trHeight w:val="336" w:hRule="atLeast"/>
        </w:trPr>
        <w:tc>
          <w:tcPr>
            <w:tcW w:w="4961"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en-US" w:eastAsia="de-DE" w:bidi="ar-SA"/>
              </w:rPr>
              <w:t>Type of peer review used (single blind</w:t>
            </w:r>
            <w:r>
              <w:rPr>
                <w:rFonts w:eastAsia="宋体" w:cs=""/>
                <w:kern w:val="0"/>
                <w:sz w:val="22"/>
                <w:szCs w:val="22"/>
                <w:vertAlign w:val="superscript"/>
                <w:lang w:val="en-US" w:eastAsia="de-DE" w:bidi="ar-SA"/>
              </w:rPr>
              <w:t>1</w:t>
            </w:r>
            <w:r>
              <w:rPr>
                <w:rFonts w:eastAsia="宋体" w:cs=""/>
                <w:kern w:val="0"/>
                <w:sz w:val="22"/>
                <w:szCs w:val="22"/>
                <w:lang w:val="en-US" w:eastAsia="de-DE" w:bidi="ar-SA"/>
              </w:rPr>
              <w:t>, double blind</w:t>
            </w:r>
            <w:r>
              <w:rPr>
                <w:rFonts w:eastAsia="宋体" w:cs=""/>
                <w:kern w:val="0"/>
                <w:sz w:val="22"/>
                <w:szCs w:val="22"/>
                <w:vertAlign w:val="superscript"/>
                <w:lang w:val="en-US" w:eastAsia="de-DE" w:bidi="ar-SA"/>
              </w:rPr>
              <w:t>2</w:t>
            </w:r>
            <w:r>
              <w:rPr>
                <w:rFonts w:eastAsia="宋体" w:cs=""/>
                <w:kern w:val="0"/>
                <w:sz w:val="22"/>
                <w:szCs w:val="22"/>
                <w:lang w:val="en-US" w:eastAsia="de-DE" w:bidi="ar-SA"/>
              </w:rPr>
              <w:t>, open peer review</w:t>
            </w:r>
            <w:r>
              <w:rPr>
                <w:rFonts w:eastAsia="宋体" w:cs=""/>
                <w:kern w:val="0"/>
                <w:sz w:val="22"/>
                <w:szCs w:val="22"/>
                <w:vertAlign w:val="superscript"/>
                <w:lang w:val="en-US" w:eastAsia="de-DE" w:bidi="ar-SA"/>
              </w:rPr>
              <w:t>3</w:t>
            </w:r>
            <w:r>
              <w:rPr>
                <w:rFonts w:eastAsia="宋体" w:cs=""/>
                <w:kern w:val="0"/>
                <w:sz w:val="22"/>
                <w:szCs w:val="22"/>
                <w:lang w:val="en-US" w:eastAsia="de-DE" w:bidi="ar-SA"/>
              </w:rPr>
              <w:t>, or other (please specify which)):</w:t>
            </w:r>
          </w:p>
        </w:tc>
        <w:tc>
          <w:tcPr>
            <w:tcW w:w="3259"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de-DE" w:eastAsia="de-DE" w:bidi="ar-SA"/>
              </w:rPr>
              <w:t>single-blind peer review, as in the main conference</w:t>
            </w:r>
          </w:p>
        </w:tc>
      </w:tr>
      <w:tr>
        <w:trPr>
          <w:trHeight w:val="336" w:hRule="atLeast"/>
        </w:trPr>
        <w:tc>
          <w:tcPr>
            <w:tcW w:w="4961"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en-US" w:eastAsia="de-DE" w:bidi="ar-SA"/>
              </w:rPr>
              <w:t>Average number of reviews received per submission:</w:t>
            </w:r>
          </w:p>
        </w:tc>
        <w:tc>
          <w:tcPr>
            <w:tcW w:w="3259" w:type="dxa"/>
            <w:tcBorders/>
          </w:tcPr>
          <w:p>
            <w:pPr>
              <w:pStyle w:val="ListParagraph"/>
              <w:widowControl/>
              <w:tabs>
                <w:tab w:val="clear" w:pos="708"/>
                <w:tab w:val="left" w:pos="937" w:leader="none"/>
              </w:tabs>
              <w:spacing w:lineRule="auto" w:line="240" w:before="0" w:after="0"/>
              <w:ind w:left="0" w:hanging="0"/>
              <w:contextualSpacing/>
              <w:jc w:val="left"/>
              <w:rPr>
                <w:lang w:val="en-US"/>
              </w:rPr>
            </w:pPr>
            <w:r>
              <w:rPr>
                <w:rFonts w:eastAsia="宋体" w:cs=""/>
                <w:kern w:val="0"/>
                <w:sz w:val="22"/>
                <w:szCs w:val="22"/>
                <w:lang w:val="de-DE" w:eastAsia="de-DE" w:bidi="ar-SA"/>
              </w:rPr>
              <w:t>3</w:t>
            </w:r>
          </w:p>
        </w:tc>
      </w:tr>
      <w:tr>
        <w:trPr>
          <w:trHeight w:val="336" w:hRule="atLeast"/>
        </w:trPr>
        <w:tc>
          <w:tcPr>
            <w:tcW w:w="4961"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en-US" w:eastAsia="de-DE" w:bidi="ar-SA"/>
              </w:rPr>
              <w:t>Average number of papers per reviewer:</w:t>
            </w:r>
          </w:p>
        </w:tc>
        <w:tc>
          <w:tcPr>
            <w:tcW w:w="3259" w:type="dxa"/>
            <w:tcBorders/>
          </w:tcPr>
          <w:p>
            <w:pPr>
              <w:pStyle w:val="ListParagraph"/>
              <w:widowControl/>
              <w:tabs>
                <w:tab w:val="clear" w:pos="708"/>
                <w:tab w:val="left" w:pos="937" w:leader="none"/>
              </w:tabs>
              <w:spacing w:lineRule="auto" w:line="240" w:before="0" w:after="0"/>
              <w:ind w:left="0" w:hanging="0"/>
              <w:contextualSpacing/>
              <w:jc w:val="left"/>
              <w:rPr>
                <w:lang w:val="en-US"/>
              </w:rPr>
            </w:pPr>
            <w:r>
              <w:rPr>
                <w:rFonts w:eastAsia="宋体" w:cs=""/>
                <w:kern w:val="0"/>
                <w:sz w:val="22"/>
                <w:szCs w:val="22"/>
                <w:lang w:val="de-DE" w:eastAsia="de-DE" w:bidi="ar-SA"/>
              </w:rPr>
              <w:t>2</w:t>
            </w:r>
          </w:p>
        </w:tc>
      </w:tr>
      <w:tr>
        <w:trPr>
          <w:trHeight w:val="336" w:hRule="atLeast"/>
        </w:trPr>
        <w:tc>
          <w:tcPr>
            <w:tcW w:w="4961"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en-US" w:eastAsia="de-DE" w:bidi="ar-SA"/>
              </w:rPr>
              <w:t>Were external reviewers involved (outside the PC)</w:t>
            </w:r>
          </w:p>
        </w:tc>
        <w:tc>
          <w:tcPr>
            <w:tcW w:w="3259"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de-DE" w:eastAsia="de-DE" w:bidi="ar-SA"/>
              </w:rPr>
              <w:t>yes</w:t>
            </w:r>
          </w:p>
        </w:tc>
      </w:tr>
      <w:tr>
        <w:trPr>
          <w:trHeight w:val="336" w:hRule="atLeast"/>
        </w:trPr>
        <w:tc>
          <w:tcPr>
            <w:tcW w:w="4961"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en-US" w:eastAsia="de-DE" w:bidi="ar-SA"/>
              </w:rPr>
              <w:t>Was an online submission system employed? Which one?</w:t>
            </w:r>
          </w:p>
        </w:tc>
        <w:tc>
          <w:tcPr>
            <w:tcW w:w="3259"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de-DE" w:eastAsia="de-DE" w:bidi="ar-SA"/>
              </w:rPr>
              <w:t>Easychair</w:t>
            </w:r>
          </w:p>
        </w:tc>
      </w:tr>
      <w:tr>
        <w:trPr>
          <w:trHeight w:val="336" w:hRule="atLeast"/>
        </w:trPr>
        <w:tc>
          <w:tcPr>
            <w:tcW w:w="4961"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en-US" w:eastAsia="de-DE" w:bidi="ar-SA"/>
              </w:rPr>
              <w:t>Which feature(s) do you particularly appreciate about the submission system you used? (This field is voluntary.)</w:t>
            </w:r>
          </w:p>
        </w:tc>
        <w:tc>
          <w:tcPr>
            <w:tcW w:w="3259" w:type="dxa"/>
            <w:tcBorders/>
          </w:tcPr>
          <w:p>
            <w:pPr>
              <w:pStyle w:val="ListParagraph"/>
              <w:widowControl/>
              <w:spacing w:lineRule="auto" w:line="240" w:before="0" w:after="0"/>
              <w:ind w:left="0" w:hanging="0"/>
              <w:contextualSpacing/>
              <w:jc w:val="left"/>
              <w:rPr>
                <w:lang w:val="en-US"/>
              </w:rPr>
            </w:pPr>
            <w:r>
              <w:rPr>
                <w:rFonts w:eastAsia="宋体" w:cs=""/>
                <w:kern w:val="0"/>
                <w:sz w:val="22"/>
                <w:szCs w:val="22"/>
                <w:lang w:val="de-DE" w:eastAsia="de-DE" w:bidi="ar-SA"/>
              </w:rPr>
              <w:t>It was pre-configured by the main conference :-)</w:t>
            </w:r>
          </w:p>
        </w:tc>
      </w:tr>
    </w:tbl>
    <w:p>
      <w:pPr>
        <w:pStyle w:val="Normal"/>
        <w:ind w:firstLine="360"/>
        <w:rPr>
          <w:lang w:val="en-US"/>
        </w:rPr>
      </w:pPr>
      <w:r>
        <w:rPr>
          <w:lang w:val="en-US"/>
        </w:rPr>
      </w:r>
    </w:p>
    <w:p>
      <w:pPr>
        <w:pStyle w:val="Normal"/>
        <w:ind w:firstLine="360"/>
        <w:rPr>
          <w:lang w:val="en-US"/>
        </w:rPr>
      </w:pPr>
      <w:r>
        <w:rPr>
          <w:lang w:val="en-US"/>
        </w:rPr>
        <w:t xml:space="preserve">Please inform the sender of this document by email if you do not wish the review information to be made public and, if possible, give the reasons. </w:t>
      </w:r>
    </w:p>
    <w:p>
      <w:pPr>
        <w:pStyle w:val="Normal"/>
        <w:spacing w:before="0" w:after="0"/>
        <w:rPr>
          <w:lang w:val="en-US"/>
        </w:rPr>
      </w:pPr>
      <w:r>
        <w:rPr>
          <w:lang w:val="en-US"/>
        </w:rPr>
        <w:t xml:space="preserve">The order of the papers in the volume should reflect their topical focus. Please include </w:t>
      </w:r>
      <w:r>
        <w:rPr>
          <w:u w:val="single"/>
          <w:lang w:val="en-US"/>
        </w:rPr>
        <w:t>topical headings</w:t>
      </w:r>
      <w:r>
        <w:rPr>
          <w:lang w:val="en-US"/>
        </w:rPr>
        <w:t xml:space="preserve"> in your Table of Contents. All papers pertaining to one topic should be grouped under one single topical heading, even if there were two or three such sessions at the event, and no session numbers should be included. </w:t>
      </w:r>
    </w:p>
    <w:p>
      <w:pPr>
        <w:pStyle w:val="Normal"/>
        <w:spacing w:before="0" w:after="0"/>
        <w:rPr>
          <w:u w:val="single"/>
          <w:lang w:val="en-US"/>
        </w:rPr>
      </w:pPr>
      <w:r>
        <w:rPr>
          <w:u w:val="single"/>
          <w:lang w:val="en-US"/>
        </w:rPr>
      </w:r>
    </w:p>
    <w:p>
      <w:pPr>
        <w:pStyle w:val="Normal"/>
        <w:rPr>
          <w:lang w:val="en-US"/>
        </w:rPr>
      </w:pPr>
      <w:r>
        <w:rPr>
          <w:lang w:val="en-US"/>
        </w:rPr>
        <w:t xml:space="preserve">Please read the guidelines carefully. The checklist at the end of the document lists everything we require from you. Missing source files slow down the production process considerably, so please make sure that we have all of the source files from the beginning. Equally, the list of corresponding authors, together with their email addresses, should not be omitted. </w:t>
      </w:r>
    </w:p>
    <w:p>
      <w:pPr>
        <w:pStyle w:val="Normal"/>
        <w:rPr>
          <w:lang w:val="en-US"/>
        </w:rPr>
      </w:pPr>
      <w:r>
        <w:rPr>
          <w:lang w:val="en-US"/>
        </w:rPr>
        <w:t xml:space="preserve">The editors’ page can be found here: </w:t>
      </w:r>
      <w:hyperlink r:id="rId4">
        <w:r>
          <w:rPr>
            <w:rStyle w:val="InternetLink"/>
            <w:lang w:val="en-US"/>
          </w:rPr>
          <w:t>https://www.springer.com/gp/computer-science/lncs/editor-guidelines-for-springer-proceedings</w:t>
        </w:r>
      </w:hyperlink>
      <w:r>
        <w:rPr>
          <w:lang w:val="en-US"/>
        </w:rPr>
        <w:t xml:space="preserve"> </w:t>
      </w:r>
    </w:p>
    <w:p>
      <w:pPr>
        <w:pStyle w:val="Normal"/>
        <w:spacing w:before="0" w:after="200"/>
        <w:rPr>
          <w:lang w:val="en-US"/>
        </w:rPr>
      </w:pPr>
      <w:r>
        <w:rPr>
          <w:lang w:val="en-US"/>
        </w:rPr>
        <w:t xml:space="preserve">And the authors’ page can be found here: </w:t>
      </w:r>
      <w:hyperlink r:id="rId5">
        <w:r>
          <w:rPr>
            <w:rStyle w:val="InternetLink"/>
            <w:lang w:val="en-US"/>
          </w:rPr>
          <w:t>https://www.springer.com/gp/computer-science/lncs/conference-proceedings-guidelines</w:t>
        </w:r>
      </w:hyperlink>
      <w:r>
        <w:rPr>
          <w:lang w:val="en-US"/>
        </w:rPr>
        <w:t xml:space="preserve"> </w:t>
      </w:r>
    </w:p>
    <w:sectPr>
      <w:headerReference w:type="even" r:id="rId6"/>
      <w:headerReference w:type="default" r:id="rId7"/>
      <w:footerReference w:type="even" r:id="rId8"/>
      <w:footerReference w:type="default" r:id="rId9"/>
      <w:type w:val="nextPage"/>
      <w:pgSz w:w="11906" w:h="16838"/>
      <w:pgMar w:left="1417" w:right="1417"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6"/>
        <w:szCs w:val="16"/>
        <w:lang w:val="en-US"/>
      </w:rPr>
    </w:pPr>
    <w:r>
      <w:rPr>
        <w:vertAlign w:val="superscript"/>
        <w:lang w:val="en-US"/>
      </w:rPr>
      <w:t>1</w:t>
    </w:r>
    <w:r>
      <w:rPr>
        <w:sz w:val="16"/>
        <w:szCs w:val="16"/>
        <w:lang w:val="en-US"/>
      </w:rPr>
      <w:t xml:space="preserve">  The identities of the reviewers remain anonymous but the authors‘ names appear on the paper.</w:t>
    </w:r>
  </w:p>
  <w:p>
    <w:pPr>
      <w:pStyle w:val="Footer"/>
      <w:rPr>
        <w:sz w:val="16"/>
        <w:szCs w:val="16"/>
        <w:lang w:val="en-US"/>
      </w:rPr>
    </w:pPr>
    <w:r>
      <w:rPr>
        <w:rFonts w:eastAsia="Times New Roman" w:cs="Times New Roman"/>
        <w:vertAlign w:val="superscript"/>
        <w:lang w:val="en-US"/>
      </w:rPr>
      <w:t>2</w:t>
    </w:r>
    <w:r>
      <w:rPr>
        <w:rFonts w:eastAsia="Times New Roman" w:cs="Times New Roman"/>
        <w:sz w:val="16"/>
        <w:szCs w:val="16"/>
        <w:lang w:val="en-US"/>
      </w:rPr>
      <w:t xml:space="preserve">  Both </w:t>
    </w:r>
    <w:r>
      <w:rPr>
        <w:sz w:val="16"/>
        <w:szCs w:val="16"/>
        <w:lang w:val="en-US"/>
      </w:rPr>
      <w:t>the reviewers’ identities and the authors’ identities remain anonymous.</w:t>
    </w:r>
  </w:p>
  <w:p>
    <w:pPr>
      <w:pStyle w:val="Footer"/>
      <w:rPr>
        <w:sz w:val="16"/>
        <w:szCs w:val="16"/>
        <w:lang w:val="en-US"/>
      </w:rPr>
    </w:pPr>
    <w:r>
      <w:rPr>
        <w:vertAlign w:val="superscript"/>
        <w:lang w:val="en-US"/>
      </w:rPr>
      <w:t>3</w:t>
    </w:r>
    <w:r>
      <w:rPr>
        <w:sz w:val="16"/>
        <w:szCs w:val="16"/>
        <w:lang w:val="en-US"/>
      </w:rPr>
      <w:t xml:space="preserve">  The reviewers’ identities are known.</w:t>
    </w:r>
  </w:p>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2"/>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2"/>
    </w:lvlOverride>
  </w:num>
</w:numbering>
</file>

<file path=word/settings.xml><?xml version="1.0" encoding="utf-8"?>
<w:settings xmlns:w="http://schemas.openxmlformats.org/wordprocessingml/2006/main">
  <w:zoom w:percent="93"/>
  <w:defaultTabStop w:val="708"/>
  <w:autoHyphenation w:val="true"/>
  <w:evenAndOddHeader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hyphenationZone w:val="425"/>
  <w:themeFontLang w:val="de-DE"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sz w:val="22"/>
        <w:szCs w:val="22"/>
        <w:lang w:val="de-DE" w:eastAsia="de-DE"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宋体" w:cs="" w:asciiTheme="minorHAnsi" w:cstheme="minorBidi" w:eastAsiaTheme="minorEastAsia" w:hAnsiTheme="minorHAnsi"/>
      <w:color w:val="auto"/>
      <w:kern w:val="0"/>
      <w:sz w:val="22"/>
      <w:szCs w:val="22"/>
      <w:lang w:val="de-DE" w:eastAsia="de-DE"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4e08e7"/>
    <w:rPr>
      <w:color w:val="0000FF" w:themeColor="hyperlink"/>
      <w:u w:val="single"/>
    </w:rPr>
  </w:style>
  <w:style w:type="character" w:styleId="PlainTextChar" w:customStyle="1">
    <w:name w:val="Plain Text Char"/>
    <w:basedOn w:val="DefaultParagraphFont"/>
    <w:link w:val="PlainText"/>
    <w:uiPriority w:val="99"/>
    <w:semiHidden/>
    <w:qFormat/>
    <w:rsid w:val="004e08e7"/>
    <w:rPr>
      <w:rFonts w:ascii="Consolas" w:hAnsi="Consolas"/>
      <w:sz w:val="21"/>
      <w:szCs w:val="21"/>
    </w:rPr>
  </w:style>
  <w:style w:type="character" w:styleId="BalloonTextChar" w:customStyle="1">
    <w:name w:val="Balloon Text Char"/>
    <w:basedOn w:val="DefaultParagraphFont"/>
    <w:link w:val="BalloonText"/>
    <w:uiPriority w:val="99"/>
    <w:semiHidden/>
    <w:qFormat/>
    <w:rsid w:val="008072cf"/>
    <w:rPr>
      <w:rFonts w:ascii="Tahoma" w:hAnsi="Tahoma" w:cs="Tahoma"/>
      <w:sz w:val="16"/>
      <w:szCs w:val="16"/>
    </w:rPr>
  </w:style>
  <w:style w:type="character" w:styleId="HeaderChar" w:customStyle="1">
    <w:name w:val="Header Char"/>
    <w:basedOn w:val="DefaultParagraphFont"/>
    <w:link w:val="Header"/>
    <w:uiPriority w:val="99"/>
    <w:qFormat/>
    <w:rsid w:val="00cb411b"/>
    <w:rPr/>
  </w:style>
  <w:style w:type="character" w:styleId="FooterChar" w:customStyle="1">
    <w:name w:val="Footer Char"/>
    <w:basedOn w:val="DefaultParagraphFont"/>
    <w:link w:val="Footer"/>
    <w:uiPriority w:val="99"/>
    <w:qFormat/>
    <w:rsid w:val="00cb411b"/>
    <w:rPr/>
  </w:style>
  <w:style w:type="character" w:styleId="VisitedInternetLink">
    <w:name w:val="FollowedHyperlink"/>
    <w:basedOn w:val="DefaultParagraphFont"/>
    <w:uiPriority w:val="99"/>
    <w:semiHidden/>
    <w:unhideWhenUsed/>
    <w:rsid w:val="00ab2346"/>
    <w:rPr>
      <w:color w:val="800080" w:themeColor="followedHyperlink"/>
      <w:u w:val="single"/>
    </w:rPr>
  </w:style>
  <w:style w:type="character" w:styleId="UnresolvedMention">
    <w:name w:val="Unresolved Mention"/>
    <w:basedOn w:val="DefaultParagraphFont"/>
    <w:uiPriority w:val="99"/>
    <w:semiHidden/>
    <w:unhideWhenUsed/>
    <w:qFormat/>
    <w:rsid w:val="00df2d8a"/>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andardSchwarz" w:customStyle="1">
    <w:name w:val="Standard + Schwarz"/>
    <w:basedOn w:val="Normal"/>
    <w:uiPriority w:val="99"/>
    <w:qFormat/>
    <w:rsid w:val="00c27894"/>
    <w:pPr>
      <w:spacing w:lineRule="auto" w:line="240" w:before="0" w:after="0"/>
    </w:pPr>
    <w:rPr>
      <w:rFonts w:ascii="Times New Roman" w:hAnsi="Times New Roman" w:eastAsia="Times New Roman" w:cs="Times New Roman"/>
      <w:color w:val="000000"/>
      <w:sz w:val="20"/>
      <w:szCs w:val="20"/>
      <w:lang w:val="en-US"/>
    </w:rPr>
  </w:style>
  <w:style w:type="paragraph" w:styleId="ListParagraph">
    <w:name w:val="List Paragraph"/>
    <w:basedOn w:val="Normal"/>
    <w:uiPriority w:val="34"/>
    <w:qFormat/>
    <w:rsid w:val="00c27894"/>
    <w:pPr>
      <w:spacing w:before="0" w:after="200"/>
      <w:ind w:left="720" w:hanging="0"/>
      <w:contextualSpacing/>
    </w:pPr>
    <w:rPr/>
  </w:style>
  <w:style w:type="paragraph" w:styleId="PlainText">
    <w:name w:val="Plain Text"/>
    <w:basedOn w:val="Normal"/>
    <w:link w:val="PlainTextChar"/>
    <w:uiPriority w:val="99"/>
    <w:semiHidden/>
    <w:unhideWhenUsed/>
    <w:qFormat/>
    <w:rsid w:val="004e08e7"/>
    <w:pPr>
      <w:spacing w:lineRule="auto" w:line="240" w:before="0" w:after="0"/>
    </w:pPr>
    <w:rPr>
      <w:rFonts w:ascii="Consolas" w:hAnsi="Consolas"/>
      <w:sz w:val="21"/>
      <w:szCs w:val="21"/>
    </w:rPr>
  </w:style>
  <w:style w:type="paragraph" w:styleId="BalloonText">
    <w:name w:val="Balloon Text"/>
    <w:basedOn w:val="Normal"/>
    <w:link w:val="BalloonTextChar"/>
    <w:uiPriority w:val="99"/>
    <w:semiHidden/>
    <w:unhideWhenUsed/>
    <w:qFormat/>
    <w:rsid w:val="008072cf"/>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cb411b"/>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cb411b"/>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8254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pringernature.com/gp/authors/book-authors-code-of-conduct" TargetMode="External"/><Relationship Id="rId3" Type="http://schemas.openxmlformats.org/officeDocument/2006/relationships/hyperlink" Target="http://www.acm.org/about/class/2012?pageIndex=0" TargetMode="External"/><Relationship Id="rId4" Type="http://schemas.openxmlformats.org/officeDocument/2006/relationships/hyperlink" Target="https://www.springer.com/gp/computer-science/lncs/editor-guidelines-for-springer-proceedings" TargetMode="External"/><Relationship Id="rId5" Type="http://schemas.openxmlformats.org/officeDocument/2006/relationships/hyperlink" Target="https://www.springer.com/gp/computer-science/lncs/conference-proceedings-guidelines"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LibreOffice/7.3.7.2$Linux_X86_64 LibreOffice_project/30$Build-2</Application>
  <AppVersion>15.0000</AppVersion>
  <Pages>2</Pages>
  <Words>715</Words>
  <Characters>4040</Characters>
  <CharactersWithSpaces>4708</CharactersWithSpaces>
  <Paragraphs>57</Paragraphs>
  <Company>Springer-SBM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2023-09-11T17:50:00Z</dcterms:created>
  <dc:creator>kramer</dc:creator>
  <dc:description/>
  <dc:language>en-GB</dc:language>
  <cp:lastModifiedBy>Jan Tobias Muehlberg</cp:lastModifiedBy>
  <cp:lastPrinted>2015-05-13T09:30:00Z</cp:lastPrinted>
  <dcterms:modified xsi:type="dcterms:W3CDTF">2025-11-08T18:38:40Z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