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16DED" w14:textId="77777777" w:rsidR="004A5FDA" w:rsidRDefault="004A5FDA">
      <w:r>
        <w:t>CH 12 Questions</w:t>
      </w:r>
    </w:p>
    <w:p w14:paraId="31B2F9B6" w14:textId="77777777" w:rsidR="00AA1452" w:rsidRPr="00AA1452" w:rsidRDefault="004A5FDA">
      <w:pPr>
        <w:rPr>
          <w:b/>
        </w:rPr>
      </w:pPr>
      <w:r w:rsidRPr="00AA1452">
        <w:rPr>
          <w:b/>
        </w:rPr>
        <w:t xml:space="preserve">7. </w:t>
      </w:r>
    </w:p>
    <w:p w14:paraId="3A228213" w14:textId="77777777" w:rsidR="004A5FDA" w:rsidRDefault="00AA1452">
      <w:r>
        <w:t>3 bonds, same default risk, mature in 10 years</w:t>
      </w:r>
    </w:p>
    <w:p w14:paraId="58E4ED44" w14:textId="77777777" w:rsidR="00AA1452" w:rsidRDefault="00AA1452">
      <w:r>
        <w:t>1</w:t>
      </w:r>
      <w:r w:rsidRPr="00AA1452">
        <w:rPr>
          <w:vertAlign w:val="superscript"/>
        </w:rPr>
        <w:t>st</w:t>
      </w:r>
      <w:r>
        <w:t>: zero-coupon pays 1000 @ maturity w/ 8% YTM</w:t>
      </w:r>
    </w:p>
    <w:p w14:paraId="616F25CA" w14:textId="77777777" w:rsidR="00AA1452" w:rsidRDefault="00AA1452">
      <w:r>
        <w:t>2</w:t>
      </w:r>
      <w:r w:rsidRPr="00AA1452">
        <w:rPr>
          <w:vertAlign w:val="superscript"/>
        </w:rPr>
        <w:t>nd</w:t>
      </w:r>
      <w:r>
        <w:t>: $80 coupon payments yearly, 1000 @ maturity with YTM oy 8%</w:t>
      </w:r>
    </w:p>
    <w:p w14:paraId="0009994B" w14:textId="77777777" w:rsidR="00AA1452" w:rsidRDefault="00AA1452">
      <w:r>
        <w:t>3</w:t>
      </w:r>
      <w:r w:rsidRPr="00AA1452">
        <w:rPr>
          <w:vertAlign w:val="superscript"/>
        </w:rPr>
        <w:t>rd</w:t>
      </w:r>
      <w:r>
        <w:t>: $100 coupon payments yearly</w:t>
      </w:r>
    </w:p>
    <w:p w14:paraId="0B4A7CBC" w14:textId="77777777" w:rsidR="00AA1452" w:rsidRDefault="00AA1452" w:rsidP="00AA1452">
      <w:pPr>
        <w:pStyle w:val="ListParagraph"/>
        <w:numPr>
          <w:ilvl w:val="0"/>
          <w:numId w:val="1"/>
        </w:numPr>
      </w:pPr>
      <w:r>
        <w:t>PV of all of them, using a financial calculator</w:t>
      </w:r>
    </w:p>
    <w:p w14:paraId="439FEB66" w14:textId="77777777" w:rsidR="00AA1452" w:rsidRDefault="00AA1452" w:rsidP="00AA1452">
      <w:r>
        <w:t>1</w:t>
      </w:r>
      <w:r w:rsidRPr="00AA1452">
        <w:rPr>
          <w:vertAlign w:val="superscript"/>
        </w:rPr>
        <w:t>st</w:t>
      </w:r>
      <w:r>
        <w:t>: $463.19</w:t>
      </w:r>
      <w:r>
        <w:tab/>
        <w:t>2</w:t>
      </w:r>
      <w:r w:rsidRPr="00AA1452">
        <w:rPr>
          <w:vertAlign w:val="superscript"/>
        </w:rPr>
        <w:t>nd</w:t>
      </w:r>
      <w:r>
        <w:t>: $1000</w:t>
      </w:r>
      <w:r>
        <w:tab/>
        <w:t>3</w:t>
      </w:r>
      <w:r w:rsidRPr="00AA1452">
        <w:rPr>
          <w:vertAlign w:val="superscript"/>
        </w:rPr>
        <w:t>rd</w:t>
      </w:r>
      <w:r>
        <w:t>: $1134.20</w:t>
      </w:r>
    </w:p>
    <w:p w14:paraId="69168AE7" w14:textId="77777777" w:rsidR="00AA1452" w:rsidRDefault="00AA1452" w:rsidP="00AA1452"/>
    <w:p w14:paraId="20DBA84C" w14:textId="77777777" w:rsidR="00AA1452" w:rsidRDefault="009A4BA7" w:rsidP="009A4BA7">
      <w:pPr>
        <w:pStyle w:val="ListParagraph"/>
        <w:numPr>
          <w:ilvl w:val="0"/>
          <w:numId w:val="1"/>
        </w:numPr>
      </w:pPr>
      <w:r w:rsidRPr="009A4BA7">
        <w:drawing>
          <wp:inline distT="0" distB="0" distL="0" distR="0" wp14:anchorId="517207A0" wp14:editId="1E9B5C7E">
            <wp:extent cx="5943600" cy="788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88035"/>
                    </a:xfrm>
                    <a:prstGeom prst="rect">
                      <a:avLst/>
                    </a:prstGeom>
                    <a:noFill/>
                    <a:ln>
                      <a:noFill/>
                    </a:ln>
                  </pic:spPr>
                </pic:pic>
              </a:graphicData>
            </a:graphic>
          </wp:inline>
        </w:drawing>
      </w:r>
    </w:p>
    <w:p w14:paraId="25D42010" w14:textId="77777777" w:rsidR="009A4BA7" w:rsidRDefault="009A4BA7" w:rsidP="009A4BA7"/>
    <w:p w14:paraId="55DEBEFB" w14:textId="77777777" w:rsidR="009A4BA7" w:rsidRDefault="009A4BA7" w:rsidP="009A4BA7">
      <w:pPr>
        <w:pStyle w:val="ListParagraph"/>
        <w:numPr>
          <w:ilvl w:val="0"/>
          <w:numId w:val="1"/>
        </w:numPr>
      </w:pPr>
      <w:r w:rsidRPr="009A4BA7">
        <w:drawing>
          <wp:inline distT="0" distB="0" distL="0" distR="0" wp14:anchorId="49381FAB" wp14:editId="0923D16B">
            <wp:extent cx="5943600" cy="7200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20090"/>
                    </a:xfrm>
                    <a:prstGeom prst="rect">
                      <a:avLst/>
                    </a:prstGeom>
                    <a:noFill/>
                    <a:ln>
                      <a:noFill/>
                    </a:ln>
                  </pic:spPr>
                </pic:pic>
              </a:graphicData>
            </a:graphic>
          </wp:inline>
        </w:drawing>
      </w:r>
    </w:p>
    <w:p w14:paraId="5D5193B9" w14:textId="77777777" w:rsidR="009A4BA7" w:rsidRDefault="009A4BA7" w:rsidP="009A4BA7">
      <w:pPr>
        <w:pStyle w:val="ListParagraph"/>
      </w:pPr>
    </w:p>
    <w:p w14:paraId="1D9D19AB" w14:textId="77777777" w:rsidR="009A4BA7" w:rsidRDefault="009A4BA7" w:rsidP="009A4BA7"/>
    <w:p w14:paraId="2EEE7975" w14:textId="77777777" w:rsidR="009A4BA7" w:rsidRDefault="009A4BA7" w:rsidP="009A4BA7">
      <w:r>
        <w:rPr>
          <w:b/>
        </w:rPr>
        <w:t xml:space="preserve">12. </w:t>
      </w:r>
    </w:p>
    <w:p w14:paraId="0DB64A29" w14:textId="77777777" w:rsidR="009A4BA7" w:rsidRDefault="00D7796B" w:rsidP="009A4BA7">
      <w:r w:rsidRPr="00D7796B">
        <w:drawing>
          <wp:inline distT="0" distB="0" distL="0" distR="0" wp14:anchorId="2C77E635" wp14:editId="0EC74670">
            <wp:extent cx="5943600" cy="23501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50135"/>
                    </a:xfrm>
                    <a:prstGeom prst="rect">
                      <a:avLst/>
                    </a:prstGeom>
                    <a:noFill/>
                    <a:ln>
                      <a:noFill/>
                    </a:ln>
                  </pic:spPr>
                </pic:pic>
              </a:graphicData>
            </a:graphic>
          </wp:inline>
        </w:drawing>
      </w:r>
    </w:p>
    <w:p w14:paraId="2547B367" w14:textId="77777777" w:rsidR="0042134E" w:rsidRDefault="0042134E" w:rsidP="009A4BA7"/>
    <w:p w14:paraId="4ABA4C36" w14:textId="77777777" w:rsidR="0042134E" w:rsidRDefault="0042134E" w:rsidP="009A4BA7"/>
    <w:p w14:paraId="680A8CA1" w14:textId="77777777" w:rsidR="0042134E" w:rsidRDefault="0042134E" w:rsidP="009A4BA7">
      <w:pPr>
        <w:rPr>
          <w:b/>
        </w:rPr>
      </w:pPr>
      <w:r>
        <w:rPr>
          <w:b/>
        </w:rPr>
        <w:t xml:space="preserve">14. </w:t>
      </w:r>
    </w:p>
    <w:p w14:paraId="77C1F498" w14:textId="77777777" w:rsidR="0042134E" w:rsidRDefault="0042134E" w:rsidP="009A4BA7">
      <w:r>
        <w:t xml:space="preserve">The bond is selling below par. At a YTM higher than the current yield, it is expected that the bond will appreciate more than the markets are expecting for the bond to reach its par value, and therefore </w:t>
      </w:r>
      <w:proofErr w:type="spellStart"/>
      <w:r>
        <w:t>wil</w:t>
      </w:r>
      <w:proofErr w:type="spellEnd"/>
      <w:r>
        <w:t xml:space="preserve"> sell at a lower price. </w:t>
      </w:r>
    </w:p>
    <w:p w14:paraId="66D171F0" w14:textId="77777777" w:rsidR="0042134E" w:rsidRDefault="0042134E" w:rsidP="009A4BA7"/>
    <w:p w14:paraId="0C0CF4CF" w14:textId="77777777" w:rsidR="0042134E" w:rsidRDefault="0042134E" w:rsidP="009A4BA7">
      <w:r>
        <w:rPr>
          <w:b/>
        </w:rPr>
        <w:t xml:space="preserve">15. </w:t>
      </w:r>
    </w:p>
    <w:p w14:paraId="68185CE6" w14:textId="77777777" w:rsidR="00194AB9" w:rsidRDefault="0042134E" w:rsidP="009A4BA7">
      <w:r>
        <w:t xml:space="preserve">The coupon rate should be less than 9%. </w:t>
      </w:r>
      <w:r w:rsidR="00194AB9">
        <w:t>With some easy mathematics, we can rearrange formulas to prove this fact:</w:t>
      </w:r>
    </w:p>
    <w:p w14:paraId="09B0CA23" w14:textId="77777777" w:rsidR="00194AB9" w:rsidRPr="00194AB9" w:rsidRDefault="00194AB9" w:rsidP="009A4BA7">
      <w:pPr>
        <w:rPr>
          <w:rFonts w:eastAsiaTheme="minorEastAsia"/>
        </w:rPr>
      </w:pPr>
    </w:p>
    <w:p w14:paraId="5E474760" w14:textId="77777777" w:rsidR="00194AB9" w:rsidRPr="00194AB9" w:rsidRDefault="00194AB9" w:rsidP="009A4BA7">
      <w:pPr>
        <w:rPr>
          <w:rFonts w:eastAsiaTheme="minorEastAsia"/>
        </w:rPr>
      </w:pPr>
      <m:oMathPara>
        <m:oMath>
          <m:r>
            <w:rPr>
              <w:rFonts w:ascii="Cambria Math" w:hAnsi="Cambria Math"/>
            </w:rPr>
            <m:t>P0*%=C;P0=</m:t>
          </m:r>
          <m:f>
            <m:fPr>
              <m:ctrlPr>
                <w:rPr>
                  <w:rFonts w:ascii="Cambria Math" w:hAnsi="Cambria Math"/>
                  <w:i/>
                </w:rPr>
              </m:ctrlPr>
            </m:fPr>
            <m:num>
              <m:r>
                <w:rPr>
                  <w:rFonts w:ascii="Cambria Math" w:hAnsi="Cambria Math"/>
                </w:rPr>
                <m:t>C</m:t>
              </m:r>
            </m:num>
            <m:den>
              <m:r>
                <w:rPr>
                  <w:rFonts w:ascii="Cambria Math" w:hAnsi="Cambria Math"/>
                </w:rPr>
                <m:t>0.09</m:t>
              </m:r>
            </m:den>
          </m:f>
        </m:oMath>
      </m:oMathPara>
    </w:p>
    <w:p w14:paraId="6F8A2396" w14:textId="77777777" w:rsidR="00194AB9" w:rsidRPr="00194AB9" w:rsidRDefault="00194AB9" w:rsidP="009A4BA7">
      <w:pPr>
        <w:rPr>
          <w:rFonts w:eastAsiaTheme="minorEastAsia"/>
        </w:rPr>
      </w:pPr>
      <m:oMathPara>
        <m:oMath>
          <m:r>
            <w:rPr>
              <w:rFonts w:ascii="Cambria Math" w:hAnsi="Cambria Math"/>
            </w:rPr>
            <m:t>P0&lt;Par ;</m:t>
          </m:r>
          <m:f>
            <m:fPr>
              <m:ctrlPr>
                <w:rPr>
                  <w:rFonts w:ascii="Cambria Math" w:hAnsi="Cambria Math"/>
                  <w:i/>
                </w:rPr>
              </m:ctrlPr>
            </m:fPr>
            <m:num>
              <m:r>
                <w:rPr>
                  <w:rFonts w:ascii="Cambria Math" w:hAnsi="Cambria Math"/>
                </w:rPr>
                <m:t>C</m:t>
              </m:r>
            </m:num>
            <m:den>
              <m:r>
                <w:rPr>
                  <w:rFonts w:ascii="Cambria Math" w:hAnsi="Cambria Math"/>
                </w:rPr>
                <m:t>0.09</m:t>
              </m:r>
            </m:den>
          </m:f>
          <m:r>
            <w:rPr>
              <w:rFonts w:ascii="Cambria Math" w:hAnsi="Cambria Math"/>
            </w:rPr>
            <m:t xml:space="preserve">&lt;Par </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Par</m:t>
              </m:r>
            </m:den>
          </m:f>
          <m:r>
            <w:rPr>
              <w:rFonts w:ascii="Cambria Math" w:eastAsiaTheme="minorEastAsia" w:hAnsi="Cambria Math"/>
            </w:rPr>
            <m:t>&lt;0.09;</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Par</m:t>
              </m:r>
            </m:den>
          </m:f>
          <m:r>
            <w:rPr>
              <w:rFonts w:ascii="Cambria Math" w:eastAsiaTheme="minorEastAsia" w:hAnsi="Cambria Math"/>
            </w:rPr>
            <m:t>=Coupon Rate;Coupon Rate&lt;0.09</m:t>
          </m:r>
        </m:oMath>
      </m:oMathPara>
    </w:p>
    <w:p w14:paraId="2184190C" w14:textId="77777777" w:rsidR="00194AB9" w:rsidRDefault="00194AB9" w:rsidP="009A4BA7">
      <w:pPr>
        <w:rPr>
          <w:rFonts w:eastAsiaTheme="minorEastAsia"/>
        </w:rPr>
      </w:pPr>
      <w:r>
        <w:rPr>
          <w:rFonts w:eastAsiaTheme="minorEastAsia"/>
        </w:rPr>
        <w:t xml:space="preserve">Therefore, looking above, since the current price of the bond is less than par value, the current coupon rate must be less than the current yield. </w:t>
      </w:r>
    </w:p>
    <w:p w14:paraId="63C19608" w14:textId="77777777" w:rsidR="00194AB9" w:rsidRDefault="00194AB9" w:rsidP="009A4BA7">
      <w:pPr>
        <w:rPr>
          <w:rFonts w:eastAsiaTheme="minorEastAsia"/>
        </w:rPr>
      </w:pPr>
    </w:p>
    <w:p w14:paraId="14A5A559" w14:textId="77777777" w:rsidR="00194AB9" w:rsidRDefault="00194AB9" w:rsidP="009A4BA7">
      <w:pPr>
        <w:rPr>
          <w:rFonts w:eastAsiaTheme="minorEastAsia"/>
        </w:rPr>
      </w:pPr>
      <w:r>
        <w:rPr>
          <w:rFonts w:eastAsiaTheme="minorEastAsia"/>
          <w:b/>
        </w:rPr>
        <w:t xml:space="preserve">17. </w:t>
      </w:r>
    </w:p>
    <w:p w14:paraId="31C50526" w14:textId="77777777" w:rsidR="00194AB9" w:rsidRDefault="00853193" w:rsidP="009A4BA7">
      <w:pPr>
        <w:rPr>
          <w:rFonts w:eastAsiaTheme="minorEastAsia"/>
        </w:rPr>
      </w:pPr>
      <w:r w:rsidRPr="00853193">
        <w:drawing>
          <wp:inline distT="0" distB="0" distL="0" distR="0" wp14:anchorId="4A709FF6" wp14:editId="5DB57B54">
            <wp:extent cx="3733800" cy="771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3800" cy="771525"/>
                    </a:xfrm>
                    <a:prstGeom prst="rect">
                      <a:avLst/>
                    </a:prstGeom>
                    <a:noFill/>
                    <a:ln>
                      <a:noFill/>
                    </a:ln>
                  </pic:spPr>
                </pic:pic>
              </a:graphicData>
            </a:graphic>
          </wp:inline>
        </w:drawing>
      </w:r>
    </w:p>
    <w:p w14:paraId="6E635706" w14:textId="77777777" w:rsidR="00853193" w:rsidRDefault="00853193" w:rsidP="009A4BA7">
      <w:pPr>
        <w:rPr>
          <w:rFonts w:eastAsiaTheme="minorEastAsia"/>
        </w:rPr>
      </w:pPr>
    </w:p>
    <w:p w14:paraId="740E614F" w14:textId="77777777" w:rsidR="00853193" w:rsidRDefault="00853193" w:rsidP="009A4BA7">
      <w:pPr>
        <w:rPr>
          <w:rFonts w:eastAsiaTheme="minorEastAsia"/>
          <w:b/>
        </w:rPr>
      </w:pPr>
      <w:r w:rsidRPr="00853193">
        <w:rPr>
          <w:rFonts w:eastAsiaTheme="minorEastAsia"/>
          <w:b/>
        </w:rPr>
        <w:t xml:space="preserve">24. </w:t>
      </w:r>
    </w:p>
    <w:p w14:paraId="66B815B3" w14:textId="77777777" w:rsidR="00853193" w:rsidRDefault="00853193" w:rsidP="009A4BA7">
      <w:pPr>
        <w:rPr>
          <w:rFonts w:eastAsiaTheme="minorEastAsia"/>
        </w:rPr>
      </w:pPr>
      <w:r>
        <w:rPr>
          <w:rFonts w:eastAsiaTheme="minorEastAsia"/>
        </w:rPr>
        <w:t xml:space="preserve">1. Bondholder has the power to extend the bond an additional 10 years; could be signs of a risk-averse company that may not have liquidity issues and therefore results in a lower price. </w:t>
      </w:r>
    </w:p>
    <w:p w14:paraId="3F255390" w14:textId="77777777" w:rsidR="00AB4E3A" w:rsidRDefault="00853193" w:rsidP="009A4BA7">
      <w:pPr>
        <w:rPr>
          <w:rFonts w:eastAsiaTheme="minorEastAsia"/>
        </w:rPr>
      </w:pPr>
      <w:r>
        <w:rPr>
          <w:rFonts w:eastAsiaTheme="minorEastAsia"/>
        </w:rPr>
        <w:t>2.</w:t>
      </w:r>
      <w:r w:rsidR="00AB4E3A">
        <w:rPr>
          <w:rFonts w:eastAsiaTheme="minorEastAsia"/>
        </w:rPr>
        <w:t xml:space="preserve"> ABC has a larger debt offering, suggesting that the bonds will sell with more liquidity. </w:t>
      </w:r>
    </w:p>
    <w:p w14:paraId="1603857F" w14:textId="77777777" w:rsidR="00AB4E3A" w:rsidRDefault="00AB4E3A" w:rsidP="009A4BA7">
      <w:pPr>
        <w:rPr>
          <w:rFonts w:eastAsiaTheme="minorEastAsia"/>
        </w:rPr>
      </w:pPr>
      <w:r>
        <w:rPr>
          <w:rFonts w:eastAsiaTheme="minorEastAsia"/>
        </w:rPr>
        <w:t xml:space="preserve">3. XYZ are callable bonds, meaning that ABC are relatively better for investors as they do not have the option of the bond issuers recalling the bonds </w:t>
      </w:r>
      <w:proofErr w:type="gramStart"/>
      <w:r>
        <w:rPr>
          <w:rFonts w:eastAsiaTheme="minorEastAsia"/>
        </w:rPr>
        <w:t>at a later date</w:t>
      </w:r>
      <w:proofErr w:type="gramEnd"/>
      <w:r>
        <w:rPr>
          <w:rFonts w:eastAsiaTheme="minorEastAsia"/>
        </w:rPr>
        <w:t xml:space="preserve">, resulting in a lower price. </w:t>
      </w:r>
    </w:p>
    <w:p w14:paraId="202505DF" w14:textId="77777777" w:rsidR="00AB4E3A" w:rsidRDefault="00AB4E3A" w:rsidP="009A4BA7">
      <w:pPr>
        <w:rPr>
          <w:rFonts w:eastAsiaTheme="minorEastAsia"/>
        </w:rPr>
      </w:pPr>
      <w:r>
        <w:rPr>
          <w:rFonts w:eastAsiaTheme="minorEastAsia"/>
        </w:rPr>
        <w:t xml:space="preserve">4. ABC have secured collateral rather than word of the company; in times of trouble, ABC bonds will be better to have than XYZ bonds. </w:t>
      </w:r>
    </w:p>
    <w:p w14:paraId="475F0059" w14:textId="77777777" w:rsidR="00AB4E3A" w:rsidRDefault="00AB4E3A" w:rsidP="009A4BA7">
      <w:pPr>
        <w:rPr>
          <w:rFonts w:eastAsiaTheme="minorEastAsia"/>
        </w:rPr>
      </w:pPr>
    </w:p>
    <w:p w14:paraId="229D22FC" w14:textId="77777777" w:rsidR="00AB4E3A" w:rsidRDefault="00AB4E3A" w:rsidP="009A4BA7">
      <w:pPr>
        <w:rPr>
          <w:rFonts w:eastAsiaTheme="minorEastAsia"/>
        </w:rPr>
      </w:pPr>
    </w:p>
    <w:p w14:paraId="0153F06C" w14:textId="77777777" w:rsidR="00853193" w:rsidRDefault="00AB4E3A" w:rsidP="009A4BA7">
      <w:pPr>
        <w:rPr>
          <w:rFonts w:eastAsiaTheme="minorEastAsia"/>
          <w:b/>
        </w:rPr>
      </w:pPr>
      <w:r>
        <w:rPr>
          <w:rFonts w:eastAsiaTheme="minorEastAsia"/>
          <w:b/>
        </w:rPr>
        <w:lastRenderedPageBreak/>
        <w:t>29.</w:t>
      </w:r>
    </w:p>
    <w:p w14:paraId="0C3B0EAB" w14:textId="77777777" w:rsidR="00AB4E3A" w:rsidRDefault="00AB4E3A" w:rsidP="009A4BA7">
      <w:pPr>
        <w:rPr>
          <w:rFonts w:eastAsiaTheme="minorEastAsia"/>
        </w:rPr>
      </w:pPr>
      <w:r>
        <w:rPr>
          <w:rFonts w:eastAsiaTheme="minorEastAsia"/>
        </w:rPr>
        <w:t xml:space="preserve">a) the YTM for the second bond should be equal to the </w:t>
      </w:r>
      <w:r w:rsidR="003A0C3E">
        <w:rPr>
          <w:rFonts w:eastAsiaTheme="minorEastAsia"/>
        </w:rPr>
        <w:t xml:space="preserve">coupon of 8.75% as the PV and FV of the bond are equal. The YTM on the par value bond is greater than that of the discount bond because the bond is underpriced by $0.56; the PV of a bond at 8.4% and 4% coupon is 580.56. Because the bond is slightly cheaper than it should be when taking into regards the </w:t>
      </w:r>
      <w:r w:rsidR="007074F4">
        <w:rPr>
          <w:rFonts w:eastAsiaTheme="minorEastAsia"/>
        </w:rPr>
        <w:t>supposed PV, the YTM can afford to be less than that of the bond issued at par value. Also, the effects of the periodic payments as well as the discount do not fully balance out the discount and therefore a lower YTM is understandable.</w:t>
      </w:r>
    </w:p>
    <w:p w14:paraId="50AE68C6" w14:textId="77777777" w:rsidR="007074F4" w:rsidRDefault="007074F4" w:rsidP="009A4BA7">
      <w:pPr>
        <w:rPr>
          <w:rFonts w:eastAsiaTheme="minorEastAsia"/>
        </w:rPr>
      </w:pPr>
      <w:r>
        <w:rPr>
          <w:rFonts w:eastAsiaTheme="minorEastAsia"/>
        </w:rPr>
        <w:t xml:space="preserve">b) It is preferred to hold the greatly discounted bond as that bond has the greatest potential to grow. Because the call price was so much lower than the face value, falling interest rates can have the greatest upside potential for the holder of the discounted bond. The holder of the bond issued at par will lose out as the most he can receive from falling yield rates is 1050, the strike price. </w:t>
      </w:r>
    </w:p>
    <w:p w14:paraId="4DF6512D" w14:textId="77777777" w:rsidR="007074F4" w:rsidRDefault="007074F4" w:rsidP="009A4BA7">
      <w:pPr>
        <w:rPr>
          <w:rFonts w:eastAsiaTheme="minorEastAsia"/>
        </w:rPr>
      </w:pPr>
      <w:r>
        <w:rPr>
          <w:rFonts w:eastAsiaTheme="minorEastAsia"/>
        </w:rPr>
        <w:t xml:space="preserve">c) </w:t>
      </w:r>
      <w:commentRangeStart w:id="0"/>
      <w:r>
        <w:rPr>
          <w:rFonts w:eastAsiaTheme="minorEastAsia"/>
        </w:rPr>
        <w:t>The</w:t>
      </w:r>
      <w:commentRangeEnd w:id="0"/>
      <w:r>
        <w:rPr>
          <w:rStyle w:val="CommentReference"/>
        </w:rPr>
        <w:commentReference w:id="0"/>
      </w:r>
      <w:r>
        <w:rPr>
          <w:rFonts w:eastAsiaTheme="minorEastAsia"/>
        </w:rPr>
        <w:t xml:space="preserve"> implicit call protection speaks to the fact that it is highly unlikely that the yield rates will fall enough for the issuer to call back the bond at 1050. The callable strike price is only a precaution and will most likely not be used. </w:t>
      </w:r>
    </w:p>
    <w:p w14:paraId="7D951A63" w14:textId="77777777" w:rsidR="007074F4" w:rsidRDefault="007074F4" w:rsidP="009A4BA7">
      <w:pPr>
        <w:rPr>
          <w:rFonts w:eastAsiaTheme="minorEastAsia"/>
        </w:rPr>
      </w:pPr>
    </w:p>
    <w:p w14:paraId="5C224F82" w14:textId="77777777" w:rsidR="007074F4" w:rsidRDefault="007074F4" w:rsidP="009A4BA7">
      <w:pPr>
        <w:rPr>
          <w:rFonts w:eastAsiaTheme="minorEastAsia"/>
          <w:b/>
        </w:rPr>
      </w:pPr>
      <w:r>
        <w:rPr>
          <w:rFonts w:eastAsiaTheme="minorEastAsia"/>
          <w:b/>
        </w:rPr>
        <w:t xml:space="preserve">30. </w:t>
      </w:r>
    </w:p>
    <w:p w14:paraId="2B511EB2" w14:textId="77777777" w:rsidR="007074F4" w:rsidRDefault="007074F4" w:rsidP="009A4BA7">
      <w:pPr>
        <w:rPr>
          <w:rFonts w:eastAsiaTheme="minorEastAsia"/>
        </w:rPr>
      </w:pPr>
      <w:r>
        <w:rPr>
          <w:rFonts w:eastAsiaTheme="minorEastAsia"/>
        </w:rPr>
        <w:t xml:space="preserve">a) </w:t>
      </w:r>
      <w:r w:rsidR="00DD191F">
        <w:rPr>
          <w:rFonts w:eastAsiaTheme="minorEastAsia"/>
        </w:rPr>
        <w:tab/>
        <w:t>Current Yield = C/P = 70/960 = 7.29%</w:t>
      </w:r>
    </w:p>
    <w:p w14:paraId="62135ECA" w14:textId="77777777" w:rsidR="00DD191F" w:rsidRDefault="00DD191F" w:rsidP="009A4BA7">
      <w:pPr>
        <w:rPr>
          <w:rFonts w:eastAsiaTheme="minorEastAsia"/>
        </w:rPr>
      </w:pPr>
      <w:r>
        <w:rPr>
          <w:rFonts w:eastAsiaTheme="minorEastAsia"/>
        </w:rPr>
        <w:tab/>
        <w:t>YTM = 8%</w:t>
      </w:r>
    </w:p>
    <w:p w14:paraId="1C285A34" w14:textId="77777777" w:rsidR="00DD191F" w:rsidRDefault="00DD191F" w:rsidP="009A4BA7">
      <w:pPr>
        <w:rPr>
          <w:rFonts w:eastAsiaTheme="minorEastAsia"/>
        </w:rPr>
      </w:pPr>
      <w:r>
        <w:rPr>
          <w:rFonts w:eastAsiaTheme="minorEastAsia"/>
        </w:rPr>
        <w:tab/>
      </w:r>
      <w:r w:rsidR="0006608A">
        <w:rPr>
          <w:rFonts w:eastAsiaTheme="minorEastAsia"/>
        </w:rPr>
        <w:t>Realized Y = (960</w:t>
      </w:r>
      <w:proofErr w:type="gramStart"/>
      <w:r w:rsidR="0006608A">
        <w:rPr>
          <w:rFonts w:eastAsiaTheme="minorEastAsia"/>
        </w:rPr>
        <w:t>/(</w:t>
      </w:r>
      <w:proofErr w:type="gramEnd"/>
      <w:r w:rsidR="0006608A">
        <w:rPr>
          <w:rFonts w:eastAsiaTheme="minorEastAsia"/>
        </w:rPr>
        <w:t>1000+226.39))^(1/6)-1 = 4.166 semiannually = 8.33 annually</w:t>
      </w:r>
    </w:p>
    <w:p w14:paraId="5319492B" w14:textId="77777777" w:rsidR="0006608A" w:rsidRDefault="0006608A" w:rsidP="009A4BA7">
      <w:pPr>
        <w:rPr>
          <w:rFonts w:eastAsiaTheme="minorEastAsia"/>
        </w:rPr>
      </w:pPr>
      <w:r>
        <w:rPr>
          <w:rFonts w:eastAsiaTheme="minorEastAsia"/>
        </w:rPr>
        <w:t xml:space="preserve">b) </w:t>
      </w:r>
      <w:r>
        <w:rPr>
          <w:rFonts w:eastAsiaTheme="minorEastAsia"/>
        </w:rPr>
        <w:tab/>
        <w:t>current yield fails to capture capital gains and losses on bonds</w:t>
      </w:r>
    </w:p>
    <w:p w14:paraId="0C18CD04" w14:textId="77777777" w:rsidR="0006608A" w:rsidRDefault="0006608A" w:rsidP="009A4BA7">
      <w:pPr>
        <w:rPr>
          <w:rFonts w:eastAsiaTheme="minorEastAsia"/>
        </w:rPr>
      </w:pPr>
      <w:r>
        <w:rPr>
          <w:rFonts w:eastAsiaTheme="minorEastAsia"/>
        </w:rPr>
        <w:tab/>
        <w:t>YTM assumes that the bond is held to maturity</w:t>
      </w:r>
    </w:p>
    <w:p w14:paraId="2E7DD67D" w14:textId="77777777" w:rsidR="0006608A" w:rsidRDefault="0006608A" w:rsidP="009A4BA7">
      <w:pPr>
        <w:rPr>
          <w:rFonts w:eastAsiaTheme="minorEastAsia"/>
        </w:rPr>
      </w:pPr>
      <w:r>
        <w:rPr>
          <w:rFonts w:eastAsiaTheme="minorEastAsia"/>
        </w:rPr>
        <w:tab/>
        <w:t xml:space="preserve">Realized compound yield is based off forecasts and can be altered easily to produce different </w:t>
      </w:r>
      <w:r>
        <w:rPr>
          <w:rFonts w:eastAsiaTheme="minorEastAsia"/>
        </w:rPr>
        <w:tab/>
        <w:t>outcomes</w:t>
      </w:r>
    </w:p>
    <w:p w14:paraId="2C9A508E" w14:textId="77777777" w:rsidR="0006608A" w:rsidRDefault="0006608A" w:rsidP="009A4BA7">
      <w:pPr>
        <w:rPr>
          <w:rFonts w:eastAsiaTheme="minorEastAsia"/>
        </w:rPr>
      </w:pPr>
    </w:p>
    <w:p w14:paraId="37111494" w14:textId="77777777" w:rsidR="0006608A" w:rsidRDefault="0006608A" w:rsidP="009A4BA7">
      <w:pPr>
        <w:rPr>
          <w:rFonts w:eastAsiaTheme="minorEastAsia"/>
          <w:b/>
        </w:rPr>
      </w:pPr>
      <w:r w:rsidRPr="0006608A">
        <w:rPr>
          <w:rFonts w:eastAsiaTheme="minorEastAsia"/>
          <w:b/>
        </w:rPr>
        <w:t xml:space="preserve">32. </w:t>
      </w:r>
    </w:p>
    <w:p w14:paraId="254F4610" w14:textId="77777777" w:rsidR="0006608A" w:rsidRDefault="00BC658E" w:rsidP="009A4BA7">
      <w:pPr>
        <w:rPr>
          <w:rFonts w:eastAsiaTheme="minorEastAsia"/>
          <w:b/>
        </w:rPr>
      </w:pPr>
      <w:r w:rsidRPr="00BC658E">
        <w:drawing>
          <wp:inline distT="0" distB="0" distL="0" distR="0" wp14:anchorId="164932FD" wp14:editId="1135D5DA">
            <wp:extent cx="4876800" cy="1724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6800" cy="1724025"/>
                    </a:xfrm>
                    <a:prstGeom prst="rect">
                      <a:avLst/>
                    </a:prstGeom>
                    <a:noFill/>
                    <a:ln>
                      <a:noFill/>
                    </a:ln>
                  </pic:spPr>
                </pic:pic>
              </a:graphicData>
            </a:graphic>
          </wp:inline>
        </w:drawing>
      </w:r>
    </w:p>
    <w:p w14:paraId="6D3F948C" w14:textId="77777777" w:rsidR="00BC658E" w:rsidRDefault="00BC658E" w:rsidP="009A4BA7">
      <w:pPr>
        <w:rPr>
          <w:rFonts w:eastAsiaTheme="minorEastAsia"/>
          <w:b/>
        </w:rPr>
      </w:pPr>
    </w:p>
    <w:p w14:paraId="3B32BCAA" w14:textId="77777777" w:rsidR="00BC658E" w:rsidRDefault="00BC658E" w:rsidP="009A4BA7">
      <w:pPr>
        <w:rPr>
          <w:rFonts w:eastAsiaTheme="minorEastAsia"/>
          <w:b/>
        </w:rPr>
      </w:pPr>
      <w:r>
        <w:rPr>
          <w:rFonts w:eastAsiaTheme="minorEastAsia"/>
          <w:b/>
        </w:rPr>
        <w:lastRenderedPageBreak/>
        <w:t>33.</w:t>
      </w:r>
    </w:p>
    <w:p w14:paraId="247C9EB3" w14:textId="77777777" w:rsidR="00BC658E" w:rsidRDefault="00BC658E" w:rsidP="009A4BA7">
      <w:pPr>
        <w:rPr>
          <w:rFonts w:eastAsiaTheme="minorEastAsia"/>
        </w:rPr>
      </w:pPr>
      <w:r>
        <w:rPr>
          <w:rFonts w:eastAsiaTheme="minorEastAsia"/>
        </w:rPr>
        <w:t xml:space="preserve">Price of Sentinel Bonds will rise to $107.11 whereas the price of </w:t>
      </w:r>
      <w:proofErr w:type="spellStart"/>
      <w:r>
        <w:rPr>
          <w:rFonts w:eastAsiaTheme="minorEastAsia"/>
        </w:rPr>
        <w:t>Colina</w:t>
      </w:r>
      <w:proofErr w:type="spellEnd"/>
      <w:r>
        <w:rPr>
          <w:rFonts w:eastAsiaTheme="minorEastAsia"/>
        </w:rPr>
        <w:t xml:space="preserve"> will rise to $107.02. If interest rates are expected to decline, it would be preferred to hold Sentinel bonds over </w:t>
      </w:r>
      <w:proofErr w:type="spellStart"/>
      <w:r>
        <w:rPr>
          <w:rFonts w:eastAsiaTheme="minorEastAsia"/>
        </w:rPr>
        <w:t>Colina</w:t>
      </w:r>
      <w:proofErr w:type="spellEnd"/>
      <w:r>
        <w:rPr>
          <w:rFonts w:eastAsiaTheme="minorEastAsia"/>
        </w:rPr>
        <w:t xml:space="preserve"> bonds as </w:t>
      </w:r>
      <w:proofErr w:type="spellStart"/>
      <w:r>
        <w:rPr>
          <w:rFonts w:eastAsiaTheme="minorEastAsia"/>
        </w:rPr>
        <w:t>Colina</w:t>
      </w:r>
      <w:proofErr w:type="spellEnd"/>
      <w:r>
        <w:rPr>
          <w:rFonts w:eastAsiaTheme="minorEastAsia"/>
        </w:rPr>
        <w:t xml:space="preserve"> bonds are c</w:t>
      </w:r>
      <w:r w:rsidR="00BA3EEB">
        <w:rPr>
          <w:rFonts w:eastAsiaTheme="minorEastAsia"/>
        </w:rPr>
        <w:t>a</w:t>
      </w:r>
      <w:r>
        <w:rPr>
          <w:rFonts w:eastAsiaTheme="minorEastAsia"/>
        </w:rPr>
        <w:t xml:space="preserve">llable, effectively setting a cap on </w:t>
      </w:r>
      <w:r w:rsidR="00BA3EEB">
        <w:rPr>
          <w:rFonts w:eastAsiaTheme="minorEastAsia"/>
        </w:rPr>
        <w:t xml:space="preserve">the amount of gain they can receive, i.e. 2% capital gain (102/100). If rates are expected to rise by 1%, Sentinel is expected to be priced at 93.48 whereas </w:t>
      </w:r>
      <w:proofErr w:type="spellStart"/>
      <w:r w:rsidR="00BA3EEB">
        <w:rPr>
          <w:rFonts w:eastAsiaTheme="minorEastAsia"/>
        </w:rPr>
        <w:t>Colina</w:t>
      </w:r>
      <w:proofErr w:type="spellEnd"/>
      <w:r w:rsidR="00BA3EEB">
        <w:rPr>
          <w:rFonts w:eastAsiaTheme="minorEastAsia"/>
        </w:rPr>
        <w:t xml:space="preserve"> will be priced at 98.53, exhibiting very little difference between the two. </w:t>
      </w:r>
    </w:p>
    <w:p w14:paraId="5BE103CE" w14:textId="77777777" w:rsidR="00BA3EEB" w:rsidRDefault="00BA3EEB" w:rsidP="009A4BA7">
      <w:pPr>
        <w:rPr>
          <w:rFonts w:eastAsiaTheme="minorEastAsia"/>
        </w:rPr>
      </w:pPr>
      <w:r>
        <w:rPr>
          <w:rFonts w:eastAsiaTheme="minorEastAsia"/>
        </w:rPr>
        <w:t xml:space="preserve">An increase in volatility of interest rates will affect both bonds as they will experience a depreciation. Increased volatility results in increased risk, and therefore, lower pricing of the bond as less investors would be willing to buy the bond. The Sentinel bond is still preferred over </w:t>
      </w:r>
      <w:proofErr w:type="spellStart"/>
      <w:r>
        <w:rPr>
          <w:rFonts w:eastAsiaTheme="minorEastAsia"/>
        </w:rPr>
        <w:t>Colina</w:t>
      </w:r>
      <w:proofErr w:type="spellEnd"/>
      <w:r>
        <w:rPr>
          <w:rFonts w:eastAsiaTheme="minorEastAsia"/>
        </w:rPr>
        <w:t xml:space="preserve"> as the callability of the </w:t>
      </w:r>
      <w:proofErr w:type="spellStart"/>
      <w:r>
        <w:rPr>
          <w:rFonts w:eastAsiaTheme="minorEastAsia"/>
        </w:rPr>
        <w:t>Colina</w:t>
      </w:r>
      <w:proofErr w:type="spellEnd"/>
      <w:r>
        <w:rPr>
          <w:rFonts w:eastAsiaTheme="minorEastAsia"/>
        </w:rPr>
        <w:t xml:space="preserve"> bonds makes them less desirable as they cap the capital gains possible on the bonds. </w:t>
      </w:r>
    </w:p>
    <w:p w14:paraId="625BDA50" w14:textId="77777777" w:rsidR="00BA3EEB" w:rsidRDefault="00BA3EEB" w:rsidP="009A4BA7">
      <w:pPr>
        <w:rPr>
          <w:rFonts w:eastAsiaTheme="minorEastAsia"/>
        </w:rPr>
      </w:pPr>
    </w:p>
    <w:p w14:paraId="78D31F27" w14:textId="77777777" w:rsidR="00BA3EEB" w:rsidRDefault="00BA3EEB" w:rsidP="009A4BA7">
      <w:pPr>
        <w:rPr>
          <w:rFonts w:eastAsiaTheme="minorEastAsia"/>
        </w:rPr>
      </w:pPr>
      <w:r>
        <w:rPr>
          <w:rFonts w:eastAsiaTheme="minorEastAsia"/>
          <w:b/>
        </w:rPr>
        <w:t xml:space="preserve">36. </w:t>
      </w:r>
    </w:p>
    <w:p w14:paraId="565F112E" w14:textId="77777777" w:rsidR="00BA3EEB" w:rsidRPr="00BA3EEB" w:rsidRDefault="00BA3EEB" w:rsidP="009A4BA7">
      <w:pPr>
        <w:rPr>
          <w:rFonts w:eastAsiaTheme="minorEastAsia"/>
        </w:rPr>
      </w:pPr>
      <w:proofErr w:type="spellStart"/>
      <w:r>
        <w:rPr>
          <w:rFonts w:eastAsiaTheme="minorEastAsia"/>
        </w:rPr>
        <w:t>a.iii</w:t>
      </w:r>
      <w:proofErr w:type="spellEnd"/>
      <w:r>
        <w:rPr>
          <w:rFonts w:eastAsiaTheme="minorEastAsia"/>
        </w:rPr>
        <w:tab/>
      </w:r>
      <w:proofErr w:type="spellStart"/>
      <w:r>
        <w:rPr>
          <w:rFonts w:eastAsiaTheme="minorEastAsia"/>
        </w:rPr>
        <w:t>b.ii</w:t>
      </w:r>
      <w:proofErr w:type="spellEnd"/>
      <w:r>
        <w:rPr>
          <w:rFonts w:eastAsiaTheme="minorEastAsia"/>
        </w:rPr>
        <w:tab/>
      </w:r>
      <w:proofErr w:type="spellStart"/>
      <w:r>
        <w:rPr>
          <w:rFonts w:eastAsiaTheme="minorEastAsia"/>
        </w:rPr>
        <w:t>c.iii</w:t>
      </w:r>
      <w:proofErr w:type="spellEnd"/>
      <w:r>
        <w:rPr>
          <w:rFonts w:eastAsiaTheme="minorEastAsia"/>
        </w:rPr>
        <w:tab/>
      </w:r>
      <w:proofErr w:type="spellStart"/>
      <w:r>
        <w:rPr>
          <w:rFonts w:eastAsiaTheme="minorEastAsia"/>
        </w:rPr>
        <w:t>d.i</w:t>
      </w:r>
      <w:r w:rsidR="003165A0">
        <w:rPr>
          <w:rFonts w:eastAsiaTheme="minorEastAsia"/>
        </w:rPr>
        <w:t>i</w:t>
      </w:r>
      <w:proofErr w:type="spellEnd"/>
      <w:r>
        <w:rPr>
          <w:rFonts w:eastAsiaTheme="minorEastAsia"/>
        </w:rPr>
        <w:tab/>
      </w:r>
      <w:proofErr w:type="spellStart"/>
      <w:r>
        <w:rPr>
          <w:rFonts w:eastAsiaTheme="minorEastAsia"/>
        </w:rPr>
        <w:t>e.iii</w:t>
      </w:r>
      <w:proofErr w:type="spellEnd"/>
      <w:r>
        <w:rPr>
          <w:rFonts w:eastAsiaTheme="minorEastAsia"/>
        </w:rPr>
        <w:tab/>
      </w:r>
      <w:proofErr w:type="spellStart"/>
      <w:r>
        <w:rPr>
          <w:rFonts w:eastAsiaTheme="minorEastAsia"/>
        </w:rPr>
        <w:t>f.</w:t>
      </w:r>
      <w:r w:rsidR="006E2829">
        <w:rPr>
          <w:rFonts w:eastAsiaTheme="minorEastAsia"/>
        </w:rPr>
        <w:t>i</w:t>
      </w:r>
      <w:r w:rsidR="003165A0">
        <w:rPr>
          <w:rFonts w:eastAsiaTheme="minorEastAsia"/>
        </w:rPr>
        <w:t>ii</w:t>
      </w:r>
      <w:proofErr w:type="spellEnd"/>
      <w:r w:rsidR="006E2829">
        <w:rPr>
          <w:rFonts w:eastAsiaTheme="minorEastAsia"/>
        </w:rPr>
        <w:tab/>
      </w:r>
      <w:proofErr w:type="spellStart"/>
      <w:r w:rsidR="006E2829">
        <w:rPr>
          <w:rFonts w:eastAsiaTheme="minorEastAsia"/>
        </w:rPr>
        <w:t>g.ii</w:t>
      </w:r>
      <w:proofErr w:type="spellEnd"/>
      <w:r w:rsidR="006E2829">
        <w:rPr>
          <w:rFonts w:eastAsiaTheme="minorEastAsia"/>
        </w:rPr>
        <w:tab/>
      </w:r>
      <w:proofErr w:type="spellStart"/>
      <w:r w:rsidR="006E2829">
        <w:rPr>
          <w:rFonts w:eastAsiaTheme="minorEastAsia"/>
        </w:rPr>
        <w:t>h.iii</w:t>
      </w:r>
      <w:proofErr w:type="spellEnd"/>
      <w:r w:rsidR="006E2829">
        <w:rPr>
          <w:rFonts w:eastAsiaTheme="minorEastAsia"/>
        </w:rPr>
        <w:tab/>
      </w:r>
      <w:proofErr w:type="spellStart"/>
      <w:r w:rsidR="006E2829">
        <w:rPr>
          <w:rFonts w:eastAsiaTheme="minorEastAsia"/>
        </w:rPr>
        <w:t>i.i</w:t>
      </w:r>
      <w:r w:rsidR="003165A0">
        <w:rPr>
          <w:rFonts w:eastAsiaTheme="minorEastAsia"/>
        </w:rPr>
        <w:t>ii</w:t>
      </w:r>
      <w:proofErr w:type="spellEnd"/>
      <w:r w:rsidR="006E2829">
        <w:rPr>
          <w:rFonts w:eastAsiaTheme="minorEastAsia"/>
        </w:rPr>
        <w:tab/>
      </w:r>
      <w:proofErr w:type="spellStart"/>
      <w:r w:rsidR="006E2829">
        <w:rPr>
          <w:rFonts w:eastAsiaTheme="minorEastAsia"/>
        </w:rPr>
        <w:t>j.iv</w:t>
      </w:r>
      <w:proofErr w:type="spellEnd"/>
      <w:r w:rsidR="006E2829">
        <w:rPr>
          <w:rFonts w:eastAsiaTheme="minorEastAsia"/>
        </w:rPr>
        <w:tab/>
      </w:r>
      <w:proofErr w:type="spellStart"/>
      <w:r w:rsidR="006E2829">
        <w:rPr>
          <w:rFonts w:eastAsiaTheme="minorEastAsia"/>
        </w:rPr>
        <w:t>k.iii</w:t>
      </w:r>
      <w:proofErr w:type="spellEnd"/>
      <w:r w:rsidR="006E2829">
        <w:rPr>
          <w:rFonts w:eastAsiaTheme="minorEastAsia"/>
        </w:rPr>
        <w:tab/>
        <w:t>l.</w:t>
      </w:r>
      <w:r w:rsidR="003165A0">
        <w:rPr>
          <w:rFonts w:eastAsiaTheme="minorEastAsia"/>
        </w:rPr>
        <w:t>i</w:t>
      </w:r>
      <w:bookmarkStart w:id="1" w:name="_GoBack"/>
      <w:bookmarkEnd w:id="1"/>
    </w:p>
    <w:sectPr w:rsidR="00BA3EEB" w:rsidRPr="00BA3EEB">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eeb Afridi" w:date="2018-11-27T19:15:00Z" w:initials="HA">
    <w:p w14:paraId="373AB695" w14:textId="77777777" w:rsidR="006E2829" w:rsidRDefault="006E2829">
      <w:pPr>
        <w:pStyle w:val="CommentText"/>
      </w:pPr>
      <w:r>
        <w:rPr>
          <w:rStyle w:val="CommentReference"/>
        </w:rPr>
        <w:annotationRef/>
      </w:r>
      <w:r>
        <w:t>Plicit call protection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3AB69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3AB695" w16cid:durableId="1FA816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BD789F" w14:textId="77777777" w:rsidR="00313A2B" w:rsidRDefault="00313A2B" w:rsidP="004A5FDA">
      <w:pPr>
        <w:spacing w:after="0" w:line="240" w:lineRule="auto"/>
      </w:pPr>
      <w:r>
        <w:separator/>
      </w:r>
    </w:p>
  </w:endnote>
  <w:endnote w:type="continuationSeparator" w:id="0">
    <w:p w14:paraId="7ECFF09D" w14:textId="77777777" w:rsidR="00313A2B" w:rsidRDefault="00313A2B" w:rsidP="004A5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D75A3" w14:textId="77777777" w:rsidR="006E2829" w:rsidRDefault="006E28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32B04" w14:textId="77777777" w:rsidR="006E2829" w:rsidRDefault="006E282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DC1AA" w14:textId="77777777" w:rsidR="006E2829" w:rsidRDefault="006E28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1BCE4A" w14:textId="77777777" w:rsidR="00313A2B" w:rsidRDefault="00313A2B" w:rsidP="004A5FDA">
      <w:pPr>
        <w:spacing w:after="0" w:line="240" w:lineRule="auto"/>
      </w:pPr>
      <w:r>
        <w:separator/>
      </w:r>
    </w:p>
  </w:footnote>
  <w:footnote w:type="continuationSeparator" w:id="0">
    <w:p w14:paraId="1ED02B1E" w14:textId="77777777" w:rsidR="00313A2B" w:rsidRDefault="00313A2B" w:rsidP="004A5F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3FE36C" w14:textId="77777777" w:rsidR="006E2829" w:rsidRDefault="006E28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E50ED9" w14:textId="77777777" w:rsidR="006E2829" w:rsidRDefault="006E282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7CBAB" w14:textId="77777777" w:rsidR="006E2829" w:rsidRDefault="006E28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8D7F1A"/>
    <w:multiLevelType w:val="hybridMultilevel"/>
    <w:tmpl w:val="4C26AE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eeb Afridi">
    <w15:presenceInfo w15:providerId="Windows Live" w15:userId="f4f5e603966290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FDA"/>
    <w:rsid w:val="0006608A"/>
    <w:rsid w:val="00194AB9"/>
    <w:rsid w:val="00313A2B"/>
    <w:rsid w:val="003165A0"/>
    <w:rsid w:val="003A0C3E"/>
    <w:rsid w:val="00401B6E"/>
    <w:rsid w:val="0042134E"/>
    <w:rsid w:val="004A5FDA"/>
    <w:rsid w:val="006E2829"/>
    <w:rsid w:val="007074F4"/>
    <w:rsid w:val="00740129"/>
    <w:rsid w:val="00853193"/>
    <w:rsid w:val="009A4BA7"/>
    <w:rsid w:val="00AA1452"/>
    <w:rsid w:val="00AB4E3A"/>
    <w:rsid w:val="00BA3EEB"/>
    <w:rsid w:val="00BC658E"/>
    <w:rsid w:val="00D7796B"/>
    <w:rsid w:val="00DD191F"/>
    <w:rsid w:val="00F87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3E0B6"/>
  <w15:chartTrackingRefBased/>
  <w15:docId w15:val="{DCA32B4F-FE1E-43DA-9983-E7BD6E4DE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5F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5FDA"/>
  </w:style>
  <w:style w:type="paragraph" w:styleId="Footer">
    <w:name w:val="footer"/>
    <w:basedOn w:val="Normal"/>
    <w:link w:val="FooterChar"/>
    <w:uiPriority w:val="99"/>
    <w:unhideWhenUsed/>
    <w:rsid w:val="004A5F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5FDA"/>
  </w:style>
  <w:style w:type="paragraph" w:styleId="ListParagraph">
    <w:name w:val="List Paragraph"/>
    <w:basedOn w:val="Normal"/>
    <w:uiPriority w:val="34"/>
    <w:qFormat/>
    <w:rsid w:val="00AA1452"/>
    <w:pPr>
      <w:ind w:left="720"/>
      <w:contextualSpacing/>
    </w:pPr>
  </w:style>
  <w:style w:type="character" w:styleId="PlaceholderText">
    <w:name w:val="Placeholder Text"/>
    <w:basedOn w:val="DefaultParagraphFont"/>
    <w:uiPriority w:val="99"/>
    <w:semiHidden/>
    <w:rsid w:val="00194AB9"/>
    <w:rPr>
      <w:color w:val="808080"/>
    </w:rPr>
  </w:style>
  <w:style w:type="character" w:styleId="CommentReference">
    <w:name w:val="annotation reference"/>
    <w:basedOn w:val="DefaultParagraphFont"/>
    <w:uiPriority w:val="99"/>
    <w:semiHidden/>
    <w:unhideWhenUsed/>
    <w:rsid w:val="007074F4"/>
    <w:rPr>
      <w:sz w:val="16"/>
      <w:szCs w:val="16"/>
    </w:rPr>
  </w:style>
  <w:style w:type="paragraph" w:styleId="CommentText">
    <w:name w:val="annotation text"/>
    <w:basedOn w:val="Normal"/>
    <w:link w:val="CommentTextChar"/>
    <w:uiPriority w:val="99"/>
    <w:semiHidden/>
    <w:unhideWhenUsed/>
    <w:rsid w:val="007074F4"/>
    <w:pPr>
      <w:spacing w:line="240" w:lineRule="auto"/>
    </w:pPr>
    <w:rPr>
      <w:sz w:val="20"/>
      <w:szCs w:val="20"/>
    </w:rPr>
  </w:style>
  <w:style w:type="character" w:customStyle="1" w:styleId="CommentTextChar">
    <w:name w:val="Comment Text Char"/>
    <w:basedOn w:val="DefaultParagraphFont"/>
    <w:link w:val="CommentText"/>
    <w:uiPriority w:val="99"/>
    <w:semiHidden/>
    <w:rsid w:val="007074F4"/>
    <w:rPr>
      <w:sz w:val="20"/>
      <w:szCs w:val="20"/>
    </w:rPr>
  </w:style>
  <w:style w:type="paragraph" w:styleId="CommentSubject">
    <w:name w:val="annotation subject"/>
    <w:basedOn w:val="CommentText"/>
    <w:next w:val="CommentText"/>
    <w:link w:val="CommentSubjectChar"/>
    <w:uiPriority w:val="99"/>
    <w:semiHidden/>
    <w:unhideWhenUsed/>
    <w:rsid w:val="007074F4"/>
    <w:rPr>
      <w:b/>
      <w:bCs/>
    </w:rPr>
  </w:style>
  <w:style w:type="character" w:customStyle="1" w:styleId="CommentSubjectChar">
    <w:name w:val="Comment Subject Char"/>
    <w:basedOn w:val="CommentTextChar"/>
    <w:link w:val="CommentSubject"/>
    <w:uiPriority w:val="99"/>
    <w:semiHidden/>
    <w:rsid w:val="007074F4"/>
    <w:rPr>
      <w:b/>
      <w:bCs/>
      <w:sz w:val="20"/>
      <w:szCs w:val="20"/>
    </w:rPr>
  </w:style>
  <w:style w:type="paragraph" w:styleId="BalloonText">
    <w:name w:val="Balloon Text"/>
    <w:basedOn w:val="Normal"/>
    <w:link w:val="BalloonTextChar"/>
    <w:uiPriority w:val="99"/>
    <w:semiHidden/>
    <w:unhideWhenUsed/>
    <w:rsid w:val="007074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74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096898">
      <w:bodyDiv w:val="1"/>
      <w:marLeft w:val="0"/>
      <w:marRight w:val="0"/>
      <w:marTop w:val="0"/>
      <w:marBottom w:val="0"/>
      <w:divBdr>
        <w:top w:val="none" w:sz="0" w:space="0" w:color="auto"/>
        <w:left w:val="none" w:sz="0" w:space="0" w:color="auto"/>
        <w:bottom w:val="none" w:sz="0" w:space="0" w:color="auto"/>
        <w:right w:val="none" w:sz="0" w:space="0" w:color="auto"/>
      </w:divBdr>
    </w:div>
    <w:div w:id="535001554">
      <w:bodyDiv w:val="1"/>
      <w:marLeft w:val="0"/>
      <w:marRight w:val="0"/>
      <w:marTop w:val="0"/>
      <w:marBottom w:val="0"/>
      <w:divBdr>
        <w:top w:val="none" w:sz="0" w:space="0" w:color="auto"/>
        <w:left w:val="none" w:sz="0" w:space="0" w:color="auto"/>
        <w:bottom w:val="none" w:sz="0" w:space="0" w:color="auto"/>
        <w:right w:val="none" w:sz="0" w:space="0" w:color="auto"/>
      </w:divBdr>
    </w:div>
    <w:div w:id="748502802">
      <w:bodyDiv w:val="1"/>
      <w:marLeft w:val="0"/>
      <w:marRight w:val="0"/>
      <w:marTop w:val="0"/>
      <w:marBottom w:val="0"/>
      <w:divBdr>
        <w:top w:val="none" w:sz="0" w:space="0" w:color="auto"/>
        <w:left w:val="none" w:sz="0" w:space="0" w:color="auto"/>
        <w:bottom w:val="none" w:sz="0" w:space="0" w:color="auto"/>
        <w:right w:val="none" w:sz="0" w:space="0" w:color="auto"/>
      </w:divBdr>
    </w:div>
    <w:div w:id="864758279">
      <w:bodyDiv w:val="1"/>
      <w:marLeft w:val="0"/>
      <w:marRight w:val="0"/>
      <w:marTop w:val="0"/>
      <w:marBottom w:val="0"/>
      <w:divBdr>
        <w:top w:val="none" w:sz="0" w:space="0" w:color="auto"/>
        <w:left w:val="none" w:sz="0" w:space="0" w:color="auto"/>
        <w:bottom w:val="none" w:sz="0" w:space="0" w:color="auto"/>
        <w:right w:val="none" w:sz="0" w:space="0" w:color="auto"/>
      </w:divBdr>
    </w:div>
    <w:div w:id="976837470">
      <w:bodyDiv w:val="1"/>
      <w:marLeft w:val="0"/>
      <w:marRight w:val="0"/>
      <w:marTop w:val="0"/>
      <w:marBottom w:val="0"/>
      <w:divBdr>
        <w:top w:val="none" w:sz="0" w:space="0" w:color="auto"/>
        <w:left w:val="none" w:sz="0" w:space="0" w:color="auto"/>
        <w:bottom w:val="none" w:sz="0" w:space="0" w:color="auto"/>
        <w:right w:val="none" w:sz="0" w:space="0" w:color="auto"/>
      </w:divBdr>
    </w:div>
    <w:div w:id="982851484">
      <w:bodyDiv w:val="1"/>
      <w:marLeft w:val="0"/>
      <w:marRight w:val="0"/>
      <w:marTop w:val="0"/>
      <w:marBottom w:val="0"/>
      <w:divBdr>
        <w:top w:val="none" w:sz="0" w:space="0" w:color="auto"/>
        <w:left w:val="none" w:sz="0" w:space="0" w:color="auto"/>
        <w:bottom w:val="none" w:sz="0" w:space="0" w:color="auto"/>
        <w:right w:val="none" w:sz="0" w:space="0" w:color="auto"/>
      </w:divBdr>
    </w:div>
    <w:div w:id="997926367">
      <w:bodyDiv w:val="1"/>
      <w:marLeft w:val="0"/>
      <w:marRight w:val="0"/>
      <w:marTop w:val="0"/>
      <w:marBottom w:val="0"/>
      <w:divBdr>
        <w:top w:val="none" w:sz="0" w:space="0" w:color="auto"/>
        <w:left w:val="none" w:sz="0" w:space="0" w:color="auto"/>
        <w:bottom w:val="none" w:sz="0" w:space="0" w:color="auto"/>
        <w:right w:val="none" w:sz="0" w:space="0" w:color="auto"/>
      </w:divBdr>
    </w:div>
    <w:div w:id="1082265540">
      <w:bodyDiv w:val="1"/>
      <w:marLeft w:val="0"/>
      <w:marRight w:val="0"/>
      <w:marTop w:val="0"/>
      <w:marBottom w:val="0"/>
      <w:divBdr>
        <w:top w:val="none" w:sz="0" w:space="0" w:color="auto"/>
        <w:left w:val="none" w:sz="0" w:space="0" w:color="auto"/>
        <w:bottom w:val="none" w:sz="0" w:space="0" w:color="auto"/>
        <w:right w:val="none" w:sz="0" w:space="0" w:color="auto"/>
      </w:divBdr>
    </w:div>
    <w:div w:id="1303195309">
      <w:bodyDiv w:val="1"/>
      <w:marLeft w:val="0"/>
      <w:marRight w:val="0"/>
      <w:marTop w:val="0"/>
      <w:marBottom w:val="0"/>
      <w:divBdr>
        <w:top w:val="none" w:sz="0" w:space="0" w:color="auto"/>
        <w:left w:val="none" w:sz="0" w:space="0" w:color="auto"/>
        <w:bottom w:val="none" w:sz="0" w:space="0" w:color="auto"/>
        <w:right w:val="none" w:sz="0" w:space="0" w:color="auto"/>
      </w:divBdr>
    </w:div>
    <w:div w:id="1538735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5.emf"/><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640</TotalTime>
  <Pages>4</Pages>
  <Words>623</Words>
  <Characters>3556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Haseeb Afridi</dc:creator>
  <cp:keywords/>
  <dc:description/>
  <cp:lastModifiedBy>Haseeb Afridi</cp:lastModifiedBy>
  <cp:revision>1</cp:revision>
  <dcterms:created xsi:type="dcterms:W3CDTF">2018-11-27T17:51:00Z</dcterms:created>
  <dcterms:modified xsi:type="dcterms:W3CDTF">2018-11-28T04:31:00Z</dcterms:modified>
</cp:coreProperties>
</file>