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 xml:space="preserve">1</w:t>
            </w:r>
          </w:p>
        </w:tc>
        <w:tc>
          <w:tcPr>
            <w:tcW w:type="dxa" w:w="2880"/>
          </w:tcPr>
          <w:p>
            <w:r>
              <w:t xml:space="preserve">Item A</w:t>
            </w:r>
          </w:p>
        </w:tc>
        <w:tc>
          <w:tcPr>
            <w:tcW w:type="dxa" w:w="2880"/>
          </w:tcPr>
          <w:p>
            <w:r>
              <w:t xml:space="preserve">100.000</w:t>
            </w:r>
          </w:p>
        </w:tc>
      </w:tr>
      <w:tr>
        <w:tc>
          <w:tcPr>
            <w:tcW w:type="dxa" w:w="2880"/>
          </w:tcPr>
          <w:p>
            <w:r>
              <w:t xml:space="preserve">2</w:t>
            </w:r>
          </w:p>
        </w:tc>
        <w:tc>
          <w:tcPr>
            <w:tcW w:type="dxa" w:w="2880"/>
          </w:tcPr>
          <w:p>
            <w:r>
              <w:t xml:space="preserve">Item B</w:t>
            </w:r>
          </w:p>
        </w:tc>
        <w:tc>
          <w:tcPr>
            <w:tcW w:type="dxa" w:w="2880"/>
          </w:tcPr>
          <w:p>
            <w:r>
              <w:t xml:space="preserve">200.000</w:t>
            </w:r>
          </w:p>
        </w:tc>
      </w:tr>
      <w:tr>
        <w:tc>
          <w:tcPr>
            <w:tcW w:type="dxa" w:w="2880"/>
          </w:tcPr>
          <w:p>
            <w:r>
              <w:t xml:space="preserve">3</w:t>
            </w:r>
          </w:p>
        </w:tc>
        <w:tc>
          <w:tcPr>
            <w:tcW w:type="dxa" w:w="2880"/>
          </w:tcPr>
          <w:p>
            <w:r>
              <w:t xml:space="preserve">Item C</w:t>
            </w:r>
          </w:p>
        </w:tc>
        <w:tc>
          <w:tcPr>
            <w:tcW w:type="dxa" w:w="2880"/>
          </w:tcPr>
          <w:p>
            <w:r>
              <w:t xml:space="preserve">300.000</w:t>
            </w:r>
          </w:p>
        </w:tc>
      </w:tr>
      <w:tr>
        <w:tc>
          <w:tcPr>
            <w:tcW w:type="dxa" w:w="5760"/>
            <w:gridSpan w:val="2"/>
          </w:tcPr>
          <w:p>
            <w:pPr>
              <w:jc w:val="right"/>
            </w:pPr>
            <w:r>
              <w:t>Jumlah Subtotal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 xml:space="preserve">600.000</w:t>
            </w:r>
          </w:p>
        </w:tc>
      </w:tr>
      <w:tr>
        <w:tc>
          <w:tcPr>
            <w:tcW w:type="dxa" w:w="5760"/>
            <w:gridSpan w:val="2"/>
          </w:tcPr>
          <w:p>
            <w:pPr>
              <w:jc w:val="right"/>
            </w:pPr>
            <w:r>
              <w:t>Grand Total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 xml:space="preserve">666.000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