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800"/>
      </w:tblGrid>
      <w:tr w:rsidR="00B16FDA" w14:paraId="6D00D77A" w14:textId="77777777">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shd w:val="clear" w:color="auto" w:fill="1F3864"/>
            <w:tcMar>
              <w:top w:w="200" w:type="dxa"/>
              <w:left w:w="240" w:type="dxa"/>
              <w:bottom w:w="160" w:type="dxa"/>
              <w:right w:w="240" w:type="dxa"/>
            </w:tcMar>
          </w:tcPr>
          <w:p w14:paraId="578612E8" w14:textId="385EAADE" w:rsidR="00B16FDA" w:rsidRDefault="002D1511">
            <w:pPr>
              <w:spacing w:after="60"/>
            </w:pPr>
            <w:r>
              <w:rPr>
                <w:b/>
                <w:bCs/>
                <w:color w:val="FFFFFF"/>
                <w:sz w:val="52"/>
                <w:szCs w:val="52"/>
              </w:rPr>
              <w:t>Nexus</w:t>
            </w:r>
          </w:p>
          <w:p w14:paraId="4D904172" w14:textId="77777777" w:rsidR="00B16FDA" w:rsidRDefault="00000000">
            <w:pPr>
              <w:spacing w:after="60"/>
            </w:pPr>
            <w:r>
              <w:rPr>
                <w:color w:val="AACCEE"/>
                <w:sz w:val="26"/>
                <w:szCs w:val="26"/>
              </w:rPr>
              <w:t>Engineering Intelligence Platform</w:t>
            </w:r>
          </w:p>
          <w:p w14:paraId="322B9339" w14:textId="77777777" w:rsidR="00B16FDA" w:rsidRDefault="00000000">
            <w:r>
              <w:rPr>
                <w:i/>
                <w:iCs/>
                <w:color w:val="AACCEE"/>
                <w:sz w:val="22"/>
                <w:szCs w:val="22"/>
              </w:rPr>
              <w:t>Executive Summary — For Management Review</w:t>
            </w:r>
          </w:p>
        </w:tc>
        <w:tc>
          <w:tcPr>
            <w:tcW w:w="2800" w:type="dxa"/>
            <w:tcBorders>
              <w:top w:val="none" w:sz="0" w:space="0" w:color="FFFFFF"/>
              <w:left w:val="none" w:sz="0" w:space="0" w:color="FFFFFF"/>
              <w:bottom w:val="none" w:sz="0" w:space="0" w:color="FFFFFF"/>
              <w:right w:val="none" w:sz="0" w:space="0" w:color="FFFFFF"/>
            </w:tcBorders>
            <w:shd w:val="clear" w:color="auto" w:fill="2E75B6"/>
            <w:tcMar>
              <w:top w:w="120" w:type="dxa"/>
              <w:left w:w="160" w:type="dxa"/>
              <w:bottom w:w="120" w:type="dxa"/>
              <w:right w:w="160" w:type="dxa"/>
            </w:tcMar>
            <w:vAlign w:val="center"/>
          </w:tcPr>
          <w:p w14:paraId="4CBBBF42" w14:textId="03A9B00D" w:rsidR="00B16FDA" w:rsidRDefault="00000000">
            <w:pPr>
              <w:spacing w:after="60"/>
              <w:jc w:val="center"/>
            </w:pPr>
            <w:r>
              <w:rPr>
                <w:b/>
                <w:bCs/>
                <w:color w:val="FFFFFF"/>
                <w:sz w:val="18"/>
                <w:szCs w:val="18"/>
              </w:rPr>
              <w:t>S</w:t>
            </w:r>
            <w:r w:rsidR="002D1511">
              <w:rPr>
                <w:b/>
                <w:bCs/>
                <w:color w:val="FFFFFF"/>
                <w:sz w:val="18"/>
                <w:szCs w:val="18"/>
              </w:rPr>
              <w:t>canfil APAC</w:t>
            </w:r>
            <w:r>
              <w:rPr>
                <w:b/>
                <w:bCs/>
                <w:color w:val="FFFFFF"/>
                <w:sz w:val="18"/>
                <w:szCs w:val="18"/>
              </w:rPr>
              <w:t xml:space="preserve"> Manufacturing</w:t>
            </w:r>
          </w:p>
          <w:p w14:paraId="59A520BD" w14:textId="77777777" w:rsidR="00B16FDA" w:rsidRDefault="00000000">
            <w:pPr>
              <w:spacing w:after="60"/>
              <w:jc w:val="center"/>
            </w:pPr>
            <w:r>
              <w:rPr>
                <w:color w:val="CCDDEE"/>
                <w:sz w:val="16"/>
                <w:szCs w:val="16"/>
              </w:rPr>
              <w:t>IT / Engineering Modernisation</w:t>
            </w:r>
          </w:p>
          <w:p w14:paraId="2EE5E3BA" w14:textId="77777777" w:rsidR="00B16FDA" w:rsidRDefault="00000000">
            <w:pPr>
              <w:spacing w:after="60"/>
              <w:jc w:val="center"/>
            </w:pPr>
            <w:r>
              <w:rPr>
                <w:color w:val="CCDDEE"/>
                <w:sz w:val="16"/>
                <w:szCs w:val="16"/>
              </w:rPr>
              <w:t>Strategy v2.0</w:t>
            </w:r>
          </w:p>
          <w:p w14:paraId="445E3415" w14:textId="77777777" w:rsidR="00B16FDA" w:rsidRDefault="00000000">
            <w:pPr>
              <w:jc w:val="center"/>
            </w:pPr>
            <w:r>
              <w:rPr>
                <w:color w:val="CCDDEE"/>
                <w:sz w:val="16"/>
                <w:szCs w:val="16"/>
              </w:rPr>
              <w:t>March 2026</w:t>
            </w:r>
          </w:p>
        </w:tc>
      </w:tr>
    </w:tbl>
    <w:p w14:paraId="545758F5" w14:textId="77777777" w:rsidR="00B16FDA" w:rsidRDefault="00B16FDA">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6FDA" w14:paraId="35230C3E"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35FC8FBD" w14:textId="77777777" w:rsidR="00B16FDA" w:rsidRDefault="00000000">
            <w:r>
              <w:rPr>
                <w:b/>
                <w:bCs/>
                <w:color w:val="FFFFFF"/>
              </w:rPr>
              <w:t>Context — what we are replacing and why</w:t>
            </w:r>
          </w:p>
        </w:tc>
      </w:tr>
    </w:tbl>
    <w:p w14:paraId="1C998469" w14:textId="77777777" w:rsidR="00B16FDA" w:rsidRDefault="00B16FDA">
      <w:pPr>
        <w:spacing w:after="80"/>
      </w:pPr>
    </w:p>
    <w:p w14:paraId="48797A79" w14:textId="4263B18B" w:rsidR="00B16FDA" w:rsidRDefault="00000000">
      <w:pPr>
        <w:spacing w:after="140"/>
      </w:pPr>
      <w:r>
        <w:rPr>
          <w:color w:val="000000"/>
        </w:rPr>
        <w:t>S</w:t>
      </w:r>
      <w:r w:rsidR="002D1511">
        <w:rPr>
          <w:color w:val="000000"/>
        </w:rPr>
        <w:t>canfil APAC</w:t>
      </w:r>
      <w:r>
        <w:rPr>
          <w:color w:val="000000"/>
        </w:rPr>
        <w:t xml:space="preserve"> currently operates two independent legacy systems that manage what is fundamentally one workflow — engineering change management and product lifecycle intelligence. </w:t>
      </w:r>
      <w:r>
        <w:rPr>
          <w:b/>
          <w:bCs/>
          <w:color w:val="000000"/>
        </w:rPr>
        <w:t>Stargile</w:t>
      </w:r>
      <w:r>
        <w:rPr>
          <w:color w:val="000000"/>
        </w:rPr>
        <w:t xml:space="preserve"> (Java ECN) and </w:t>
      </w:r>
      <w:r>
        <w:rPr>
          <w:b/>
          <w:bCs/>
          <w:color w:val="000000"/>
        </w:rPr>
        <w:t>PLMServer</w:t>
      </w:r>
      <w:r>
        <w:rPr>
          <w:color w:val="000000"/>
        </w:rPr>
        <w:t xml:space="preserve"> (PHP BOM and supplier intelligence) share only Movex as a data layer. Neither integrates with the other. Engineers manually transfer BOM data between them.</w:t>
      </w:r>
    </w:p>
    <w:p w14:paraId="775C54FC" w14:textId="77777777" w:rsidR="00B16FDA" w:rsidRDefault="00B16F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800"/>
        <w:gridCol w:w="3600"/>
      </w:tblGrid>
      <w:tr w:rsidR="00B16FDA" w14:paraId="008B82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2C35505E" w14:textId="77777777" w:rsidR="00B16FDA" w:rsidRDefault="00000000">
            <w:pPr>
              <w:spacing w:before="60" w:after="60"/>
            </w:pPr>
            <w:r>
              <w:rPr>
                <w:b/>
                <w:bCs/>
                <w:color w:val="FFFFFF"/>
                <w:sz w:val="18"/>
                <w:szCs w:val="18"/>
              </w:rPr>
              <w:t>System</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458F3B4" w14:textId="77777777" w:rsidR="00B16FDA" w:rsidRDefault="00000000">
            <w:pPr>
              <w:spacing w:before="60" w:after="60"/>
            </w:pPr>
            <w:r>
              <w:rPr>
                <w:b/>
                <w:bCs/>
                <w:color w:val="FFFFFF"/>
                <w:sz w:val="18"/>
                <w:szCs w:val="18"/>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3389F3CB" w14:textId="77777777" w:rsidR="00B16FDA" w:rsidRDefault="00000000">
            <w:pPr>
              <w:spacing w:before="60" w:after="60"/>
            </w:pPr>
            <w:r>
              <w:rPr>
                <w:b/>
                <w:bCs/>
                <w:color w:val="FFFFFF"/>
                <w:sz w:val="18"/>
                <w:szCs w:val="18"/>
              </w:rPr>
              <w:t>Current state</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E5A7D73" w14:textId="77777777" w:rsidR="00B16FDA" w:rsidRDefault="00000000">
            <w:pPr>
              <w:spacing w:before="60" w:after="60"/>
            </w:pPr>
            <w:r>
              <w:rPr>
                <w:b/>
                <w:bCs/>
                <w:color w:val="FFFFFF"/>
                <w:sz w:val="18"/>
                <w:szCs w:val="18"/>
              </w:rPr>
              <w:t>Core problem</w:t>
            </w:r>
          </w:p>
        </w:tc>
      </w:tr>
      <w:tr w:rsidR="00B16FDA" w14:paraId="743A79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121EBD" w14:textId="77777777" w:rsidR="00B16FDA" w:rsidRDefault="00000000">
            <w:pPr>
              <w:spacing w:before="60" w:after="60"/>
            </w:pPr>
            <w:r>
              <w:rPr>
                <w:color w:val="000000"/>
                <w:sz w:val="18"/>
                <w:szCs w:val="18"/>
              </w:rPr>
              <w:t>Stargile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31E192" w14:textId="77777777" w:rsidR="00B16FDA" w:rsidRDefault="00000000">
            <w:pPr>
              <w:spacing w:before="60" w:after="60"/>
            </w:pPr>
            <w:r>
              <w:rPr>
                <w:color w:val="000000"/>
                <w:sz w:val="18"/>
                <w:szCs w:val="18"/>
              </w:rPr>
              <w:t>Java — direct Movex MI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A78A1F" w14:textId="77777777" w:rsidR="00B16FDA" w:rsidRDefault="00000000">
            <w:pPr>
              <w:spacing w:before="60" w:after="60"/>
            </w:pPr>
            <w:r>
              <w:rPr>
                <w:color w:val="000000"/>
                <w:sz w:val="18"/>
                <w:szCs w:val="18"/>
              </w:rPr>
              <w:t>Running — Movex-coupled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6A9DF4" w14:textId="77777777" w:rsidR="00B16FDA" w:rsidRDefault="00000000">
            <w:pPr>
              <w:spacing w:before="60" w:after="60"/>
            </w:pPr>
            <w:r>
              <w:rPr>
                <w:color w:val="000000"/>
                <w:sz w:val="18"/>
                <w:szCs w:val="18"/>
              </w:rPr>
              <w:t>Brittle ERP push failures · no IFS migration path · own MI interface not shared with rest of estate</w:t>
            </w:r>
          </w:p>
        </w:tc>
      </w:tr>
      <w:tr w:rsidR="00B16FDA" w14:paraId="0BFB25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255DCE2" w14:textId="77777777" w:rsidR="00B16FDA" w:rsidRDefault="00000000">
            <w:pPr>
              <w:spacing w:before="60" w:after="60"/>
            </w:pPr>
            <w:r>
              <w:rPr>
                <w:color w:val="000000"/>
                <w:sz w:val="18"/>
                <w:szCs w:val="18"/>
              </w:rPr>
              <w:t>PLMServer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0788AB" w14:textId="77777777" w:rsidR="00B16FDA" w:rsidRDefault="00000000">
            <w:pPr>
              <w:spacing w:before="60" w:after="60"/>
            </w:pPr>
            <w:r>
              <w:rPr>
                <w:color w:val="000000"/>
                <w:sz w:val="18"/>
                <w:szCs w:val="18"/>
              </w:rPr>
              <w:t>PHP 7.4 / MySQL / Apache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312D54D" w14:textId="77777777" w:rsidR="00B16FDA" w:rsidRDefault="00000000">
            <w:pPr>
              <w:spacing w:before="60" w:after="60"/>
            </w:pPr>
            <w:r>
              <w:rPr>
                <w:color w:val="000000"/>
                <w:sz w:val="18"/>
                <w:szCs w:val="18"/>
              </w:rPr>
              <w:t>Largely abandoned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48DB8E6" w14:textId="77777777" w:rsidR="00B16FDA" w:rsidRDefault="00000000">
            <w:pPr>
              <w:spacing w:before="60" w:after="60"/>
            </w:pPr>
            <w:r>
              <w:rPr>
                <w:color w:val="000000"/>
                <w:sz w:val="18"/>
                <w:szCs w:val="18"/>
              </w:rPr>
              <w:t>13+ min BOM processing · NPS −40 · HTTPS disabled · sequential API calls · no BOM versioning</w:t>
            </w:r>
          </w:p>
        </w:tc>
      </w:tr>
    </w:tbl>
    <w:p w14:paraId="3CE5DF92" w14:textId="77777777" w:rsidR="00B16FDA" w:rsidRDefault="00B16FDA">
      <w:pPr>
        <w:spacing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6FDA" w14:paraId="065BE8D8" w14:textId="77777777">
        <w:tblPrEx>
          <w:tblCellMar>
            <w:top w:w="0" w:type="dxa"/>
            <w:bottom w:w="0" w:type="dxa"/>
          </w:tblCellMar>
        </w:tblPrEx>
        <w:tc>
          <w:tcPr>
            <w:tcW w:w="9200" w:type="dxa"/>
            <w:tcBorders>
              <w:top w:val="single" w:sz="1" w:space="0" w:color="2E75B6"/>
              <w:left w:val="single" w:sz="20" w:space="0" w:color="2E75B6"/>
              <w:bottom w:val="single" w:sz="1" w:space="0" w:color="2E75B6"/>
              <w:right w:val="single" w:sz="1" w:space="0" w:color="2E75B6"/>
            </w:tcBorders>
            <w:shd w:val="clear" w:color="auto" w:fill="D6E4F0"/>
            <w:tcMar>
              <w:top w:w="120" w:type="dxa"/>
              <w:left w:w="200" w:type="dxa"/>
              <w:bottom w:w="120" w:type="dxa"/>
              <w:right w:w="160" w:type="dxa"/>
            </w:tcMar>
          </w:tcPr>
          <w:p w14:paraId="59BEC36C" w14:textId="77777777" w:rsidR="00B16FDA" w:rsidRDefault="00000000">
            <w:r>
              <w:rPr>
                <w:color w:val="000000"/>
                <w:sz w:val="19"/>
                <w:szCs w:val="19"/>
              </w:rPr>
              <w:t>Neither system contributes to the MAS v2.0 programme. No event stream. No API surface. No structured audit data agents can act on. Every AI initiative that touches engineering change or BOM data is blocked until this is resolved.</w:t>
            </w:r>
          </w:p>
        </w:tc>
      </w:tr>
    </w:tbl>
    <w:p w14:paraId="0F005B72" w14:textId="77777777" w:rsidR="00B16FDA" w:rsidRDefault="00B16FDA">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6FDA" w14:paraId="52911BB2"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1BC0E800" w14:textId="6349C214" w:rsidR="00B16FDA" w:rsidRDefault="00000000">
            <w:r>
              <w:rPr>
                <w:b/>
                <w:bCs/>
                <w:color w:val="FFFFFF"/>
              </w:rPr>
              <w:t xml:space="preserve">The solution — </w:t>
            </w:r>
            <w:r w:rsidR="002D1511">
              <w:rPr>
                <w:b/>
                <w:bCs/>
                <w:color w:val="FFFFFF"/>
              </w:rPr>
              <w:t>Nexus</w:t>
            </w:r>
            <w:r>
              <w:rPr>
                <w:b/>
                <w:bCs/>
                <w:color w:val="FFFFFF"/>
              </w:rPr>
              <w:t xml:space="preserve"> Engineering Intelligence Platform</w:t>
            </w:r>
          </w:p>
        </w:tc>
      </w:tr>
    </w:tbl>
    <w:p w14:paraId="23E05162" w14:textId="77777777" w:rsidR="00B16FDA" w:rsidRDefault="00B16FDA">
      <w:pPr>
        <w:spacing w:after="80"/>
      </w:pPr>
    </w:p>
    <w:p w14:paraId="6F9EEEA5" w14:textId="77777777" w:rsidR="00B16FDA" w:rsidRDefault="00000000">
      <w:pPr>
        <w:spacing w:after="140"/>
      </w:pPr>
      <w:r>
        <w:rPr>
          <w:color w:val="000000"/>
        </w:rPr>
        <w:t>A unified Python/FastAPI platform replacing both systems with three tightly coupled modules — ECN, BOM, and Supplier Intelligence — built on a shared PostgreSQL data model, a Redis event bus, and two abstract adapter patterns: one for ERP systems, one for supplier APIs.</w:t>
      </w:r>
    </w:p>
    <w:p w14:paraId="3F362C2C" w14:textId="77777777" w:rsidR="00B16FDA" w:rsidRDefault="00B16F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000"/>
      </w:tblGrid>
      <w:tr w:rsidR="00B16FDA" w14:paraId="3F5C89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C49741F" w14:textId="77777777" w:rsidR="00B16FDA" w:rsidRDefault="00000000">
            <w:pPr>
              <w:spacing w:before="60" w:after="60"/>
            </w:pPr>
            <w:r>
              <w:rPr>
                <w:b/>
                <w:bCs/>
                <w:color w:val="FFFFFF"/>
                <w:sz w:val="18"/>
                <w:szCs w:val="18"/>
              </w:rPr>
              <w:t>Module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48F87E76" w14:textId="77777777" w:rsidR="00B16FDA" w:rsidRDefault="00000000">
            <w:pPr>
              <w:spacing w:before="60" w:after="60"/>
            </w:pPr>
            <w:r>
              <w:rPr>
                <w:b/>
                <w:bCs/>
                <w:color w:val="FFFFFF"/>
                <w:sz w:val="18"/>
                <w:szCs w:val="18"/>
              </w:rPr>
              <w:t>Replaces</w:t>
            </w:r>
          </w:p>
        </w:tc>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00184D5D" w14:textId="77777777" w:rsidR="00B16FDA" w:rsidRDefault="00000000">
            <w:pPr>
              <w:spacing w:before="60" w:after="60"/>
            </w:pPr>
            <w:r>
              <w:rPr>
                <w:b/>
                <w:bCs/>
                <w:color w:val="FFFFFF"/>
                <w:sz w:val="18"/>
                <w:szCs w:val="18"/>
              </w:rPr>
              <w:t>Key architectural decision</w:t>
            </w:r>
          </w:p>
        </w:tc>
      </w:tr>
      <w:tr w:rsidR="00B16FDA" w14:paraId="108E52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1D87F5" w14:textId="77777777" w:rsidR="00B16FDA" w:rsidRDefault="00000000">
            <w:pPr>
              <w:spacing w:before="60" w:after="60"/>
            </w:pPr>
            <w:r>
              <w:rPr>
                <w:color w:val="000000"/>
                <w:sz w:val="18"/>
                <w:szCs w:val="18"/>
              </w:rPr>
              <w:t>ECN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F5971F" w14:textId="77777777" w:rsidR="00B16FDA" w:rsidRDefault="00000000">
            <w:pPr>
              <w:spacing w:before="60" w:after="60"/>
            </w:pPr>
            <w:r>
              <w:rPr>
                <w:color w:val="000000"/>
                <w:sz w:val="18"/>
                <w:szCs w:val="18"/>
              </w:rPr>
              <w:t>Stargile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B3674A" w14:textId="005E3D3B" w:rsidR="00B16FDA" w:rsidRDefault="00000000">
            <w:pPr>
              <w:spacing w:before="60" w:after="60"/>
            </w:pPr>
            <w:r>
              <w:rPr>
                <w:color w:val="000000"/>
                <w:sz w:val="18"/>
                <w:szCs w:val="18"/>
              </w:rPr>
              <w:t>ERP Adapter → movex-rest-</w:t>
            </w:r>
            <w:proofErr w:type="spellStart"/>
            <w:r>
              <w:rPr>
                <w:color w:val="000000"/>
                <w:sz w:val="18"/>
                <w:szCs w:val="18"/>
              </w:rPr>
              <w:t>api</w:t>
            </w:r>
            <w:proofErr w:type="spellEnd"/>
            <w:r>
              <w:rPr>
                <w:color w:val="000000"/>
                <w:sz w:val="18"/>
                <w:szCs w:val="18"/>
              </w:rPr>
              <w:t xml:space="preserve"> (.NET) → Movex. IFS adapter stub validates the interface in Sprint 4. </w:t>
            </w:r>
            <w:r w:rsidR="002D1511">
              <w:rPr>
                <w:color w:val="000000"/>
                <w:sz w:val="18"/>
                <w:szCs w:val="18"/>
              </w:rPr>
              <w:t xml:space="preserve">JB </w:t>
            </w:r>
            <w:r>
              <w:rPr>
                <w:color w:val="000000"/>
                <w:sz w:val="18"/>
                <w:szCs w:val="18"/>
              </w:rPr>
              <w:t>Site swaps adapter config when IFS migration begins — zero platform code changes.</w:t>
            </w:r>
          </w:p>
        </w:tc>
      </w:tr>
      <w:tr w:rsidR="00B16FDA" w14:paraId="612C4D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FD29EA" w14:textId="77777777" w:rsidR="00B16FDA" w:rsidRDefault="00000000">
            <w:pPr>
              <w:spacing w:before="60" w:after="60"/>
            </w:pPr>
            <w:r>
              <w:rPr>
                <w:color w:val="000000"/>
                <w:sz w:val="18"/>
                <w:szCs w:val="18"/>
              </w:rPr>
              <w:t>BOM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13DDBB0" w14:textId="77777777" w:rsidR="00B16FDA" w:rsidRDefault="00000000">
            <w:pPr>
              <w:spacing w:before="60" w:after="60"/>
            </w:pPr>
            <w:r>
              <w:rPr>
                <w:color w:val="000000"/>
                <w:sz w:val="18"/>
                <w:szCs w:val="18"/>
              </w:rPr>
              <w:t>PLMServer BOM</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D21B513" w14:textId="77777777" w:rsidR="00B16FDA" w:rsidRDefault="00000000">
            <w:pPr>
              <w:spacing w:before="60" w:after="60"/>
            </w:pPr>
            <w:r>
              <w:rPr>
                <w:color w:val="000000"/>
                <w:sz w:val="18"/>
                <w:szCs w:val="18"/>
              </w:rPr>
              <w:t>Platform manages the change workflow and draft state. Movex remains the source of truth for committed production BOMs. Version history, BOM comparison, and optimistic locking live in the platform.</w:t>
            </w:r>
          </w:p>
        </w:tc>
      </w:tr>
      <w:tr w:rsidR="00B16FDA" w14:paraId="724B1C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BB852DF" w14:textId="77777777" w:rsidR="00B16FDA" w:rsidRDefault="00000000">
            <w:pPr>
              <w:spacing w:before="60" w:after="60"/>
            </w:pPr>
            <w:r>
              <w:rPr>
                <w:color w:val="000000"/>
                <w:sz w:val="18"/>
                <w:szCs w:val="18"/>
              </w:rPr>
              <w:t>Supplier Intelligence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503A28" w14:textId="77777777" w:rsidR="00B16FDA" w:rsidRDefault="00000000">
            <w:pPr>
              <w:spacing w:before="60" w:after="60"/>
            </w:pPr>
            <w:r>
              <w:rPr>
                <w:color w:val="000000"/>
                <w:sz w:val="18"/>
                <w:szCs w:val="18"/>
              </w:rPr>
              <w:t xml:space="preserve">PLMServer </w:t>
            </w:r>
            <w:proofErr w:type="spellStart"/>
            <w:r>
              <w:rPr>
                <w:color w:val="000000"/>
                <w:sz w:val="18"/>
                <w:szCs w:val="18"/>
              </w:rPr>
              <w:t>APIManager</w:t>
            </w:r>
            <w:proofErr w:type="spellEnd"/>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D40831" w14:textId="77777777" w:rsidR="00B16FDA" w:rsidRDefault="00000000">
            <w:pPr>
              <w:spacing w:before="60" w:after="60"/>
            </w:pPr>
            <w:proofErr w:type="spellStart"/>
            <w:proofErr w:type="gramStart"/>
            <w:r>
              <w:rPr>
                <w:color w:val="000000"/>
                <w:sz w:val="18"/>
                <w:szCs w:val="18"/>
              </w:rPr>
              <w:t>asyncio.gather</w:t>
            </w:r>
            <w:proofErr w:type="spellEnd"/>
            <w:proofErr w:type="gramEnd"/>
            <w:r>
              <w:rPr>
                <w:color w:val="000000"/>
                <w:sz w:val="18"/>
                <w:szCs w:val="18"/>
              </w:rPr>
              <w:t xml:space="preserve"> across all parts and all suppliers concurrently. Per-supplier circuit breaker. Redis cache with 4-hour TTL. 13 minutes → under 90 seconds for a 100-part BOM.</w:t>
            </w:r>
          </w:p>
        </w:tc>
      </w:tr>
    </w:tbl>
    <w:p w14:paraId="469954F3" w14:textId="77777777" w:rsidR="00B16FDA" w:rsidRDefault="00B16FDA">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6FDA" w14:paraId="171493FD"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035CB83C" w14:textId="77777777" w:rsidR="00B16FDA" w:rsidRDefault="00000000">
            <w:r>
              <w:rPr>
                <w:b/>
                <w:bCs/>
                <w:color w:val="FFFFFF"/>
              </w:rPr>
              <w:lastRenderedPageBreak/>
              <w:t>Three architectural clarifications confirmed for v2.0</w:t>
            </w:r>
          </w:p>
        </w:tc>
      </w:tr>
    </w:tbl>
    <w:p w14:paraId="0B7E219D" w14:textId="77777777" w:rsidR="00B16FDA" w:rsidRDefault="00B16F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6FDA" w14:paraId="54E1DDEE" w14:textId="77777777">
        <w:tblPrEx>
          <w:tblCellMar>
            <w:top w:w="0" w:type="dxa"/>
            <w:bottom w:w="0" w:type="dxa"/>
          </w:tblCellMar>
        </w:tblPrEx>
        <w:tc>
          <w:tcPr>
            <w:tcW w:w="9200" w:type="dxa"/>
            <w:tcBorders>
              <w:top w:val="single" w:sz="1" w:space="0" w:color="7F6000"/>
              <w:left w:val="single" w:sz="20" w:space="0" w:color="7F6000"/>
              <w:bottom w:val="single" w:sz="1" w:space="0" w:color="7F6000"/>
              <w:right w:val="single" w:sz="1" w:space="0" w:color="7F6000"/>
            </w:tcBorders>
            <w:shd w:val="clear" w:color="auto" w:fill="FFF2CC"/>
            <w:tcMar>
              <w:top w:w="120" w:type="dxa"/>
              <w:left w:w="200" w:type="dxa"/>
              <w:bottom w:w="120" w:type="dxa"/>
              <w:right w:w="160" w:type="dxa"/>
            </w:tcMar>
          </w:tcPr>
          <w:p w14:paraId="00DC2934" w14:textId="77777777" w:rsidR="00B16FDA" w:rsidRDefault="00000000">
            <w:pPr>
              <w:spacing w:after="80"/>
            </w:pPr>
            <w:r>
              <w:rPr>
                <w:b/>
                <w:bCs/>
                <w:sz w:val="19"/>
                <w:szCs w:val="19"/>
              </w:rPr>
              <w:t xml:space="preserve">1.  </w:t>
            </w:r>
            <w:proofErr w:type="spellStart"/>
            <w:r>
              <w:rPr>
                <w:b/>
                <w:bCs/>
                <w:sz w:val="19"/>
                <w:szCs w:val="19"/>
              </w:rPr>
              <w:t>Stargile's</w:t>
            </w:r>
            <w:proofErr w:type="spellEnd"/>
            <w:r>
              <w:rPr>
                <w:b/>
                <w:bCs/>
                <w:sz w:val="19"/>
                <w:szCs w:val="19"/>
              </w:rPr>
              <w:t xml:space="preserve"> ERP interface. </w:t>
            </w:r>
            <w:r>
              <w:rPr>
                <w:sz w:val="19"/>
                <w:szCs w:val="19"/>
              </w:rPr>
              <w:t>Stargile calls the Movex MI API directly through its own Java classes — it does not use movex-rest-</w:t>
            </w:r>
            <w:proofErr w:type="spellStart"/>
            <w:r>
              <w:rPr>
                <w:sz w:val="19"/>
                <w:szCs w:val="19"/>
              </w:rPr>
              <w:t>api</w:t>
            </w:r>
            <w:proofErr w:type="spellEnd"/>
            <w:r>
              <w:rPr>
                <w:sz w:val="19"/>
                <w:szCs w:val="19"/>
              </w:rPr>
              <w:t>. Phase 1 Track A must produce a full MI program inventory and a gap analysis. Any MI operations Stargile uses that movex-rest-</w:t>
            </w:r>
            <w:proofErr w:type="spellStart"/>
            <w:r>
              <w:rPr>
                <w:sz w:val="19"/>
                <w:szCs w:val="19"/>
              </w:rPr>
              <w:t>api</w:t>
            </w:r>
            <w:proofErr w:type="spellEnd"/>
            <w:r>
              <w:rPr>
                <w:sz w:val="19"/>
                <w:szCs w:val="19"/>
              </w:rPr>
              <w:t xml:space="preserve"> does not yet expose become a specification of new endpoints the .NET team must add before Sprint 3. This is a new Phase 1 gate deliverable.</w:t>
            </w:r>
          </w:p>
          <w:p w14:paraId="192566F7" w14:textId="77777777" w:rsidR="00B16FDA" w:rsidRDefault="00000000">
            <w:pPr>
              <w:spacing w:after="80"/>
            </w:pPr>
            <w:r>
              <w:rPr>
                <w:b/>
                <w:bCs/>
                <w:sz w:val="19"/>
                <w:szCs w:val="19"/>
              </w:rPr>
              <w:t xml:space="preserve">2.  Data authority model. </w:t>
            </w:r>
            <w:r>
              <w:rPr>
                <w:sz w:val="19"/>
                <w:szCs w:val="19"/>
              </w:rPr>
              <w:t>The v1.0 phrase 'platform owns the BOM' was imprecise. Movex remains the source of truth for committed production BOMs — MRP, production orders, and purchasing depend on it; ISO 13485 auditors expect it. The platform holds the change workflow, the draft state, the version chain, and the supplier intelligence layer. When an ECN is approved, the ERP Adapter pushes the committed revision to Movex.</w:t>
            </w:r>
          </w:p>
          <w:p w14:paraId="4AEBD89D" w14:textId="549F63AB" w:rsidR="00B16FDA" w:rsidRDefault="00000000">
            <w:r>
              <w:rPr>
                <w:b/>
                <w:bCs/>
                <w:sz w:val="19"/>
                <w:szCs w:val="19"/>
              </w:rPr>
              <w:t>3.  Two-site deployment.</w:t>
            </w:r>
            <w:r w:rsidR="002D1511">
              <w:rPr>
                <w:b/>
                <w:bCs/>
                <w:sz w:val="19"/>
                <w:szCs w:val="19"/>
              </w:rPr>
              <w:t xml:space="preserve"> </w:t>
            </w:r>
            <w:r w:rsidR="002D1511">
              <w:rPr>
                <w:sz w:val="19"/>
                <w:szCs w:val="19"/>
              </w:rPr>
              <w:t>Melbourne S</w:t>
            </w:r>
            <w:r>
              <w:rPr>
                <w:sz w:val="19"/>
                <w:szCs w:val="19"/>
              </w:rPr>
              <w:t xml:space="preserve">ite keeps Movex permanently. </w:t>
            </w:r>
            <w:r w:rsidR="002D1511">
              <w:rPr>
                <w:sz w:val="19"/>
                <w:szCs w:val="19"/>
              </w:rPr>
              <w:t xml:space="preserve">JB </w:t>
            </w:r>
            <w:r>
              <w:rPr>
                <w:sz w:val="19"/>
                <w:szCs w:val="19"/>
              </w:rPr>
              <w:t>Site uses Movex now and migrates to IFS later, then splits across two countries. This is a multi-configuration deployment — same codebase, site-specific environment files — not multi-tenancy. The IFS migration is an adapter config swap. The country split is a new Docker instance from the same images. Neither requires platform code changes.</w:t>
            </w:r>
          </w:p>
        </w:tc>
      </w:tr>
    </w:tbl>
    <w:p w14:paraId="780BE25A" w14:textId="77777777" w:rsidR="00B16FDA" w:rsidRDefault="00B16FDA">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6FDA" w14:paraId="0667D2B0"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7AF7904D" w14:textId="77777777" w:rsidR="00B16FDA" w:rsidRDefault="00000000">
            <w:r>
              <w:rPr>
                <w:b/>
                <w:bCs/>
                <w:color w:val="FFFFFF"/>
              </w:rPr>
              <w:t>Business case — quantified from PLMServer analysis (BOM module alone)</w:t>
            </w:r>
          </w:p>
        </w:tc>
      </w:tr>
    </w:tbl>
    <w:p w14:paraId="580A4F07" w14:textId="77777777" w:rsidR="00B16FDA" w:rsidRDefault="00B16F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B16FDA" w14:paraId="1AD98628" w14:textId="77777777">
        <w:tblPrEx>
          <w:tblCellMar>
            <w:top w:w="0" w:type="dxa"/>
            <w:bottom w:w="0" w:type="dxa"/>
          </w:tblCellMar>
        </w:tblPrEx>
        <w:tc>
          <w:tcPr>
            <w:tcW w:w="23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20" w:type="dxa"/>
              <w:bottom w:w="120" w:type="dxa"/>
              <w:right w:w="120" w:type="dxa"/>
            </w:tcMar>
            <w:vAlign w:val="center"/>
          </w:tcPr>
          <w:p w14:paraId="1E869603" w14:textId="77777777" w:rsidR="00B16FDA" w:rsidRDefault="00000000">
            <w:pPr>
              <w:spacing w:after="40"/>
              <w:jc w:val="center"/>
            </w:pPr>
            <w:r>
              <w:rPr>
                <w:b/>
                <w:bCs/>
                <w:color w:val="FFFFFF"/>
                <w:sz w:val="36"/>
                <w:szCs w:val="36"/>
              </w:rPr>
              <w:t>~$379K</w:t>
            </w:r>
          </w:p>
          <w:p w14:paraId="2C35BC18" w14:textId="77777777" w:rsidR="00B16FDA" w:rsidRDefault="00000000">
            <w:pPr>
              <w:jc w:val="center"/>
            </w:pPr>
            <w:r>
              <w:rPr>
                <w:color w:val="DDDDDD"/>
                <w:sz w:val="17"/>
                <w:szCs w:val="17"/>
              </w:rPr>
              <w:t>quantified annual benefit</w:t>
            </w:r>
          </w:p>
        </w:tc>
        <w:tc>
          <w:tcPr>
            <w:tcW w:w="2300" w:type="dxa"/>
            <w:tcBorders>
              <w:top w:val="single" w:sz="1" w:space="0" w:color="2E75B6"/>
              <w:left w:val="single" w:sz="1" w:space="0" w:color="2E75B6"/>
              <w:bottom w:val="single" w:sz="1" w:space="0" w:color="2E75B6"/>
              <w:right w:val="single" w:sz="1" w:space="0" w:color="2E75B6"/>
            </w:tcBorders>
            <w:shd w:val="clear" w:color="auto" w:fill="2E75B6"/>
            <w:tcMar>
              <w:top w:w="120" w:type="dxa"/>
              <w:left w:w="120" w:type="dxa"/>
              <w:bottom w:w="120" w:type="dxa"/>
              <w:right w:w="120" w:type="dxa"/>
            </w:tcMar>
            <w:vAlign w:val="center"/>
          </w:tcPr>
          <w:p w14:paraId="247DB7BE" w14:textId="77777777" w:rsidR="00B16FDA" w:rsidRDefault="00000000">
            <w:pPr>
              <w:spacing w:after="40"/>
              <w:jc w:val="center"/>
            </w:pPr>
            <w:r>
              <w:rPr>
                <w:b/>
                <w:bCs/>
                <w:color w:val="FFFFFF"/>
                <w:sz w:val="36"/>
                <w:szCs w:val="36"/>
              </w:rPr>
              <w:t xml:space="preserve">7.3 </w:t>
            </w:r>
            <w:proofErr w:type="spellStart"/>
            <w:r>
              <w:rPr>
                <w:b/>
                <w:bCs/>
                <w:color w:val="FFFFFF"/>
                <w:sz w:val="36"/>
                <w:szCs w:val="36"/>
              </w:rPr>
              <w:t>mo</w:t>
            </w:r>
            <w:proofErr w:type="spellEnd"/>
          </w:p>
          <w:p w14:paraId="05FEB165" w14:textId="77777777" w:rsidR="00B16FDA" w:rsidRDefault="00000000">
            <w:pPr>
              <w:jc w:val="center"/>
            </w:pPr>
            <w:r>
              <w:rPr>
                <w:color w:val="DDDDDD"/>
                <w:sz w:val="17"/>
                <w:szCs w:val="17"/>
              </w:rPr>
              <w:t>estimated payback period</w:t>
            </w:r>
          </w:p>
        </w:tc>
        <w:tc>
          <w:tcPr>
            <w:tcW w:w="2300" w:type="dxa"/>
            <w:tcBorders>
              <w:top w:val="single" w:sz="1" w:space="0" w:color="17606B"/>
              <w:left w:val="single" w:sz="1" w:space="0" w:color="17606B"/>
              <w:bottom w:val="single" w:sz="1" w:space="0" w:color="17606B"/>
              <w:right w:val="single" w:sz="1" w:space="0" w:color="17606B"/>
            </w:tcBorders>
            <w:shd w:val="clear" w:color="auto" w:fill="17606B"/>
            <w:tcMar>
              <w:top w:w="120" w:type="dxa"/>
              <w:left w:w="120" w:type="dxa"/>
              <w:bottom w:w="120" w:type="dxa"/>
              <w:right w:w="120" w:type="dxa"/>
            </w:tcMar>
            <w:vAlign w:val="center"/>
          </w:tcPr>
          <w:p w14:paraId="16E81A1B" w14:textId="77777777" w:rsidR="00B16FDA" w:rsidRDefault="00000000">
            <w:pPr>
              <w:spacing w:after="40"/>
              <w:jc w:val="center"/>
            </w:pPr>
            <w:r>
              <w:rPr>
                <w:b/>
                <w:bCs/>
                <w:color w:val="FFFFFF"/>
                <w:sz w:val="36"/>
                <w:szCs w:val="36"/>
              </w:rPr>
              <w:t>65%</w:t>
            </w:r>
          </w:p>
          <w:p w14:paraId="613E29F1" w14:textId="77777777" w:rsidR="00B16FDA" w:rsidRDefault="00000000">
            <w:pPr>
              <w:jc w:val="center"/>
            </w:pPr>
            <w:r>
              <w:rPr>
                <w:color w:val="DDDDDD"/>
                <w:sz w:val="17"/>
                <w:szCs w:val="17"/>
              </w:rPr>
              <w:t>first-year ROI</w:t>
            </w:r>
          </w:p>
        </w:tc>
        <w:tc>
          <w:tcPr>
            <w:tcW w:w="23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20" w:type="dxa"/>
              <w:bottom w:w="120" w:type="dxa"/>
              <w:right w:w="120" w:type="dxa"/>
            </w:tcMar>
            <w:vAlign w:val="center"/>
          </w:tcPr>
          <w:p w14:paraId="28DBDBDE" w14:textId="77777777" w:rsidR="00B16FDA" w:rsidRDefault="00000000">
            <w:pPr>
              <w:spacing w:after="40"/>
              <w:jc w:val="center"/>
            </w:pPr>
            <w:r>
              <w:rPr>
                <w:b/>
                <w:bCs/>
                <w:color w:val="FFFFFF"/>
                <w:sz w:val="36"/>
                <w:szCs w:val="36"/>
              </w:rPr>
              <w:t xml:space="preserve">24 </w:t>
            </w:r>
            <w:proofErr w:type="spellStart"/>
            <w:r>
              <w:rPr>
                <w:b/>
                <w:bCs/>
                <w:color w:val="FFFFFF"/>
                <w:sz w:val="36"/>
                <w:szCs w:val="36"/>
              </w:rPr>
              <w:t>wks</w:t>
            </w:r>
            <w:proofErr w:type="spellEnd"/>
          </w:p>
          <w:p w14:paraId="158E9AE8" w14:textId="77777777" w:rsidR="00B16FDA" w:rsidRDefault="00000000">
            <w:pPr>
              <w:jc w:val="center"/>
            </w:pPr>
            <w:r>
              <w:rPr>
                <w:color w:val="DDDDDD"/>
                <w:sz w:val="17"/>
                <w:szCs w:val="17"/>
              </w:rPr>
              <w:t>programme duration</w:t>
            </w:r>
          </w:p>
        </w:tc>
      </w:tr>
    </w:tbl>
    <w:p w14:paraId="25FC7823" w14:textId="77777777" w:rsidR="00B16FDA" w:rsidRDefault="00B16F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000"/>
      </w:tblGrid>
      <w:tr w:rsidR="00B16FDA" w14:paraId="358E632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19994C1" w14:textId="77777777" w:rsidR="00B16FDA" w:rsidRDefault="00000000">
            <w:pPr>
              <w:spacing w:before="60" w:after="60"/>
            </w:pPr>
            <w:r>
              <w:rPr>
                <w:b/>
                <w:bCs/>
                <w:color w:val="FFFFFF"/>
                <w:sz w:val="18"/>
                <w:szCs w:val="18"/>
              </w:rPr>
              <w:t>Benefit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BEC993C" w14:textId="77777777" w:rsidR="00B16FDA" w:rsidRDefault="00000000">
            <w:pPr>
              <w:spacing w:before="60" w:after="60"/>
            </w:pPr>
            <w:r>
              <w:rPr>
                <w:b/>
                <w:bCs/>
                <w:color w:val="FFFFFF"/>
                <w:sz w:val="18"/>
                <w:szCs w:val="18"/>
              </w:rPr>
              <w:t>Annual value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EBF8CEF" w14:textId="77777777" w:rsidR="00B16FDA" w:rsidRDefault="00000000">
            <w:pPr>
              <w:spacing w:before="60" w:after="60"/>
            </w:pPr>
            <w:r>
              <w:rPr>
                <w:b/>
                <w:bCs/>
                <w:color w:val="FFFFFF"/>
                <w:sz w:val="18"/>
                <w:szCs w:val="18"/>
              </w:rPr>
              <w:t>Basis</w:t>
            </w:r>
          </w:p>
        </w:tc>
      </w:tr>
      <w:tr w:rsidR="00B16FDA" w14:paraId="064FE09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7E76BB" w14:textId="77777777" w:rsidR="00B16FDA" w:rsidRDefault="00000000">
            <w:pPr>
              <w:spacing w:before="60" w:after="60"/>
            </w:pPr>
            <w:r>
              <w:rPr>
                <w:color w:val="000000"/>
                <w:sz w:val="18"/>
                <w:szCs w:val="18"/>
              </w:rPr>
              <w:t>BOM processing time savings (13 min → 90 sec)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9DBA2D" w14:textId="77777777" w:rsidR="00B16FDA" w:rsidRDefault="00000000">
            <w:pPr>
              <w:spacing w:before="60" w:after="60"/>
            </w:pPr>
            <w:r>
              <w:rPr>
                <w:color w:val="000000"/>
                <w:sz w:val="18"/>
                <w:szCs w:val="18"/>
              </w:rPr>
              <w:t>~$225,000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FC2CD0" w14:textId="77777777" w:rsidR="00B16FDA" w:rsidRDefault="00000000">
            <w:pPr>
              <w:spacing w:before="60" w:after="60"/>
            </w:pPr>
            <w:r>
              <w:rPr>
                <w:color w:val="000000"/>
                <w:sz w:val="18"/>
                <w:szCs w:val="18"/>
              </w:rPr>
              <w:t>~3,000 engineer-hours/year at $75/hour</w:t>
            </w:r>
          </w:p>
        </w:tc>
      </w:tr>
      <w:tr w:rsidR="00B16FDA" w14:paraId="2965692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16796BC" w14:textId="77777777" w:rsidR="00B16FDA" w:rsidRDefault="00000000">
            <w:pPr>
              <w:spacing w:before="60" w:after="60"/>
            </w:pPr>
            <w:r>
              <w:rPr>
                <w:color w:val="000000"/>
                <w:sz w:val="18"/>
                <w:szCs w:val="18"/>
              </w:rPr>
              <w:t>Better supplier pricing — automated best-price selection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0E85A3" w14:textId="77777777" w:rsidR="00B16FDA" w:rsidRDefault="00000000">
            <w:pPr>
              <w:spacing w:before="60" w:after="60"/>
            </w:pPr>
            <w:r>
              <w:rPr>
                <w:color w:val="000000"/>
                <w:sz w:val="18"/>
                <w:szCs w:val="18"/>
              </w:rPr>
              <w:t>~$100,000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E2981CD" w14:textId="77777777" w:rsidR="00B16FDA" w:rsidRDefault="00000000">
            <w:pPr>
              <w:spacing w:before="60" w:after="60"/>
            </w:pPr>
            <w:r>
              <w:rPr>
                <w:color w:val="000000"/>
                <w:sz w:val="18"/>
                <w:szCs w:val="18"/>
              </w:rPr>
              <w:t>2% saving on $5M annual parts spend</w:t>
            </w:r>
          </w:p>
        </w:tc>
      </w:tr>
      <w:tr w:rsidR="00B16FDA" w14:paraId="2E6862C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2806C57" w14:textId="77777777" w:rsidR="00B16FDA" w:rsidRDefault="00000000">
            <w:pPr>
              <w:spacing w:before="60" w:after="60"/>
            </w:pPr>
            <w:r>
              <w:rPr>
                <w:color w:val="000000"/>
                <w:sz w:val="18"/>
                <w:szCs w:val="18"/>
              </w:rPr>
              <w:t>Reduced BOM rework errors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3C917A8" w14:textId="77777777" w:rsidR="00B16FDA" w:rsidRDefault="00000000">
            <w:pPr>
              <w:spacing w:before="60" w:after="60"/>
            </w:pPr>
            <w:r>
              <w:rPr>
                <w:color w:val="000000"/>
                <w:sz w:val="18"/>
                <w:szCs w:val="18"/>
              </w:rPr>
              <w:t>~$24,000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9D3789" w14:textId="77777777" w:rsidR="00B16FDA" w:rsidRDefault="00000000">
            <w:pPr>
              <w:spacing w:before="60" w:after="60"/>
            </w:pPr>
            <w:r>
              <w:rPr>
                <w:color w:val="000000"/>
                <w:sz w:val="18"/>
                <w:szCs w:val="18"/>
              </w:rPr>
              <w:t>8% reduction in rework cost</w:t>
            </w:r>
          </w:p>
        </w:tc>
      </w:tr>
      <w:tr w:rsidR="00B16FDA" w14:paraId="21D28A3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A153BC" w14:textId="77777777" w:rsidR="00B16FDA" w:rsidRDefault="00000000">
            <w:pPr>
              <w:spacing w:before="60" w:after="60"/>
            </w:pPr>
            <w:r>
              <w:rPr>
                <w:color w:val="000000"/>
                <w:sz w:val="18"/>
                <w:szCs w:val="18"/>
              </w:rPr>
              <w:t>Engineer retention — reduced frustration-driven turnover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9165A64" w14:textId="77777777" w:rsidR="00B16FDA" w:rsidRDefault="00000000">
            <w:pPr>
              <w:spacing w:before="60" w:after="60"/>
            </w:pPr>
            <w:r>
              <w:rPr>
                <w:color w:val="000000"/>
                <w:sz w:val="18"/>
                <w:szCs w:val="18"/>
              </w:rPr>
              <w:t>~$30,000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969B58" w14:textId="77777777" w:rsidR="00B16FDA" w:rsidRDefault="00000000">
            <w:pPr>
              <w:spacing w:before="60" w:after="60"/>
            </w:pPr>
            <w:r>
              <w:rPr>
                <w:color w:val="000000"/>
                <w:sz w:val="18"/>
                <w:szCs w:val="18"/>
              </w:rPr>
              <w:t>2 fewer replacements at $15K each</w:t>
            </w:r>
          </w:p>
        </w:tc>
      </w:tr>
      <w:tr w:rsidR="00B16FDA" w14:paraId="5ECD214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0C19CC" w14:textId="77777777" w:rsidR="00B16FDA" w:rsidRDefault="00000000">
            <w:pPr>
              <w:spacing w:before="60" w:after="60"/>
            </w:pPr>
            <w:r>
              <w:rPr>
                <w:color w:val="000000"/>
                <w:sz w:val="18"/>
                <w:szCs w:val="18"/>
              </w:rPr>
              <w:t>ECN efficiency, IFS migration risk reduction, two-site savings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467017" w14:textId="77777777" w:rsidR="00B16FDA" w:rsidRDefault="00000000">
            <w:pPr>
              <w:spacing w:before="60" w:after="60"/>
            </w:pPr>
            <w:r>
              <w:rPr>
                <w:color w:val="000000"/>
                <w:sz w:val="18"/>
                <w:szCs w:val="18"/>
              </w:rPr>
              <w:t>Unquantified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46F90D" w14:textId="77777777" w:rsidR="00B16FDA" w:rsidRDefault="00000000">
            <w:pPr>
              <w:spacing w:before="60" w:after="60"/>
            </w:pPr>
            <w:r>
              <w:rPr>
                <w:color w:val="000000"/>
                <w:sz w:val="18"/>
                <w:szCs w:val="18"/>
              </w:rPr>
              <w:t>Strategic — architecture decisions, not estimates</w:t>
            </w:r>
          </w:p>
        </w:tc>
      </w:tr>
    </w:tbl>
    <w:p w14:paraId="7E821AB8" w14:textId="77777777" w:rsidR="00B16FDA" w:rsidRDefault="00B16FDA">
      <w:pPr>
        <w:spacing w:after="80"/>
      </w:pPr>
    </w:p>
    <w:p w14:paraId="6048100F" w14:textId="77777777" w:rsidR="00B16FDA" w:rsidRDefault="00000000">
      <w:pPr>
        <w:spacing w:after="140"/>
      </w:pPr>
      <w:r>
        <w:rPr>
          <w:color w:val="595959"/>
          <w:sz w:val="18"/>
          <w:szCs w:val="18"/>
        </w:rPr>
        <w:t>All quantified figures are from the January 2025 PLMServer system analysis and apply to the BOM module alone. The ECN replacement and the Organisational AI Platform value are additive and unquantified above.</w:t>
      </w:r>
    </w:p>
    <w:p w14:paraId="479CFC2C" w14:textId="38E041EF" w:rsidR="002D1511" w:rsidRDefault="002D1511">
      <w:pPr>
        <w:spacing w:after="160"/>
      </w:pPr>
      <w:r>
        <w:br/>
      </w:r>
    </w:p>
    <w:p w14:paraId="0E4E42DF" w14:textId="77777777" w:rsidR="002D1511" w:rsidRDefault="002D1511">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6FDA" w14:paraId="75C9966B"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6C82ECF6" w14:textId="77777777" w:rsidR="00B16FDA" w:rsidRDefault="00000000">
            <w:r>
              <w:rPr>
                <w:b/>
                <w:bCs/>
                <w:color w:val="FFFFFF"/>
              </w:rPr>
              <w:lastRenderedPageBreak/>
              <w:t>Programme — four phases, 24 weeks</w:t>
            </w:r>
          </w:p>
        </w:tc>
      </w:tr>
    </w:tbl>
    <w:p w14:paraId="519C8D37" w14:textId="77777777" w:rsidR="00B16FDA" w:rsidRDefault="00B16F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7200"/>
      </w:tblGrid>
      <w:tr w:rsidR="00B16FDA" w14:paraId="122886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DE26B0A" w14:textId="77777777" w:rsidR="00B16FDA" w:rsidRDefault="00000000">
            <w:pPr>
              <w:spacing w:before="60" w:after="60"/>
            </w:pPr>
            <w:r>
              <w:rPr>
                <w:b/>
                <w:bCs/>
                <w:color w:val="FFFFFF"/>
                <w:sz w:val="18"/>
                <w:szCs w:val="18"/>
              </w:rPr>
              <w:t>Phase</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2316CB2" w14:textId="77777777" w:rsidR="00B16FDA" w:rsidRDefault="00000000">
            <w:pPr>
              <w:spacing w:before="60" w:after="60"/>
            </w:pPr>
            <w:r>
              <w:rPr>
                <w:b/>
                <w:bCs/>
                <w:color w:val="FFFFFF"/>
                <w:sz w:val="18"/>
                <w:szCs w:val="18"/>
              </w:rPr>
              <w:t>Weeks</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6D23D17C" w14:textId="77777777" w:rsidR="00B16FDA" w:rsidRDefault="00000000">
            <w:pPr>
              <w:spacing w:before="60" w:after="60"/>
            </w:pPr>
            <w:r>
              <w:rPr>
                <w:b/>
                <w:bCs/>
                <w:color w:val="FFFFFF"/>
                <w:sz w:val="18"/>
                <w:szCs w:val="18"/>
              </w:rPr>
              <w:t>What gets resolved</w:t>
            </w:r>
          </w:p>
        </w:tc>
      </w:tr>
      <w:tr w:rsidR="00B16FDA" w14:paraId="38CD2F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C61B3D" w14:textId="77777777" w:rsidR="00B16FDA" w:rsidRDefault="00000000">
            <w:pPr>
              <w:spacing w:before="60" w:after="60"/>
            </w:pPr>
            <w:r>
              <w:rPr>
                <w:color w:val="000000"/>
                <w:sz w:val="18"/>
                <w:szCs w:val="18"/>
              </w:rPr>
              <w:t>1 — Discovery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0FC26F" w14:textId="77777777" w:rsidR="00B16FDA" w:rsidRDefault="00000000">
            <w:pPr>
              <w:spacing w:before="60" w:after="60"/>
            </w:pPr>
            <w:r>
              <w:rPr>
                <w:color w:val="000000"/>
                <w:sz w:val="18"/>
                <w:szCs w:val="18"/>
              </w:rPr>
              <w:t>1–4</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A2FCE8" w14:textId="77777777" w:rsidR="00B16FDA" w:rsidRDefault="00000000">
            <w:pPr>
              <w:spacing w:before="60" w:after="60"/>
            </w:pPr>
            <w:r>
              <w:rPr>
                <w:color w:val="000000"/>
                <w:sz w:val="18"/>
                <w:szCs w:val="18"/>
              </w:rPr>
              <w:t>Two-system source analysis · Stargile MI inventory and movex-rest-</w:t>
            </w:r>
            <w:proofErr w:type="spellStart"/>
            <w:r>
              <w:rPr>
                <w:color w:val="000000"/>
                <w:sz w:val="18"/>
                <w:szCs w:val="18"/>
              </w:rPr>
              <w:t>api</w:t>
            </w:r>
            <w:proofErr w:type="spellEnd"/>
            <w:r>
              <w:rPr>
                <w:color w:val="000000"/>
                <w:sz w:val="18"/>
                <w:szCs w:val="18"/>
              </w:rPr>
              <w:t xml:space="preserve"> gap analysis · SME behavioural sessions for both systems · Three adapter interfaces defined · SM-Portal integration decision · Data retention decisions · Two-site deployment model confirmed</w:t>
            </w:r>
          </w:p>
        </w:tc>
      </w:tr>
      <w:tr w:rsidR="00B16FDA" w14:paraId="108037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9C1003" w14:textId="77777777" w:rsidR="00B16FDA" w:rsidRDefault="00000000">
            <w:pPr>
              <w:spacing w:before="60" w:after="60"/>
            </w:pPr>
            <w:r>
              <w:rPr>
                <w:color w:val="000000"/>
                <w:sz w:val="18"/>
                <w:szCs w:val="18"/>
              </w:rPr>
              <w:t>2 — Architecture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81F0CAC" w14:textId="77777777" w:rsidR="00B16FDA" w:rsidRDefault="00000000">
            <w:pPr>
              <w:spacing w:before="60" w:after="60"/>
            </w:pPr>
            <w:r>
              <w:rPr>
                <w:color w:val="000000"/>
                <w:sz w:val="18"/>
                <w:szCs w:val="18"/>
              </w:rPr>
              <w:t>5–6</w:t>
            </w:r>
          </w:p>
        </w:tc>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A35E432" w14:textId="77777777" w:rsidR="00B16FDA" w:rsidRDefault="00000000">
            <w:pPr>
              <w:spacing w:before="60" w:after="60"/>
            </w:pPr>
            <w:r>
              <w:rPr>
                <w:color w:val="000000"/>
                <w:sz w:val="18"/>
                <w:szCs w:val="18"/>
              </w:rPr>
              <w:t>Architecture Decision Record · Shared data model · movex-rest-</w:t>
            </w:r>
            <w:proofErr w:type="spellStart"/>
            <w:r>
              <w:rPr>
                <w:color w:val="000000"/>
                <w:sz w:val="18"/>
                <w:szCs w:val="18"/>
              </w:rPr>
              <w:t>api</w:t>
            </w:r>
            <w:proofErr w:type="spellEnd"/>
            <w:r>
              <w:rPr>
                <w:color w:val="000000"/>
                <w:sz w:val="18"/>
                <w:szCs w:val="18"/>
              </w:rPr>
              <w:t xml:space="preserve"> extensions scoped and scheduled · Movex sandbox confirmed · All six supplier API test credentials confirmed</w:t>
            </w:r>
          </w:p>
        </w:tc>
      </w:tr>
      <w:tr w:rsidR="00B16FDA" w14:paraId="396D59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DCC040" w14:textId="77777777" w:rsidR="00B16FDA" w:rsidRDefault="00000000">
            <w:pPr>
              <w:spacing w:before="60" w:after="60"/>
            </w:pPr>
            <w:r>
              <w:rPr>
                <w:color w:val="000000"/>
                <w:sz w:val="18"/>
                <w:szCs w:val="18"/>
              </w:rPr>
              <w:t>3 — Build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CC81FEF" w14:textId="77777777" w:rsidR="00B16FDA" w:rsidRDefault="00000000">
            <w:pPr>
              <w:spacing w:before="60" w:after="60"/>
            </w:pPr>
            <w:r>
              <w:rPr>
                <w:color w:val="000000"/>
                <w:sz w:val="18"/>
                <w:szCs w:val="18"/>
              </w:rPr>
              <w:t>7–20</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7DCEA5" w14:textId="77777777" w:rsidR="00B16FDA" w:rsidRDefault="00000000">
            <w:pPr>
              <w:spacing w:before="60" w:after="60"/>
            </w:pPr>
            <w:r>
              <w:rPr>
                <w:color w:val="000000"/>
                <w:sz w:val="18"/>
                <w:szCs w:val="18"/>
              </w:rPr>
              <w:t>Five sprints: foundation → approval engine + BOM comparison → supplier intelligence (perf demo Sprint 3) → ERP push + IFS stub + Site B config → audit log + MAS agents + UAT</w:t>
            </w:r>
          </w:p>
        </w:tc>
      </w:tr>
      <w:tr w:rsidR="00B16FDA" w14:paraId="6EA5A0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3216A9E" w14:textId="77777777" w:rsidR="00B16FDA" w:rsidRDefault="00000000">
            <w:pPr>
              <w:spacing w:before="60" w:after="60"/>
            </w:pPr>
            <w:r>
              <w:rPr>
                <w:color w:val="000000"/>
                <w:sz w:val="18"/>
                <w:szCs w:val="18"/>
              </w:rPr>
              <w:t>4 — Cutover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403FBFA" w14:textId="77777777" w:rsidR="00B16FDA" w:rsidRDefault="00000000">
            <w:pPr>
              <w:spacing w:before="60" w:after="60"/>
            </w:pPr>
            <w:r>
              <w:rPr>
                <w:color w:val="000000"/>
                <w:sz w:val="18"/>
                <w:szCs w:val="18"/>
              </w:rPr>
              <w:t>21–24</w:t>
            </w:r>
          </w:p>
        </w:tc>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7E671B9" w14:textId="77777777" w:rsidR="00B16FDA" w:rsidRDefault="00000000">
            <w:pPr>
              <w:spacing w:before="60" w:after="60"/>
            </w:pPr>
            <w:r>
              <w:rPr>
                <w:color w:val="000000"/>
                <w:sz w:val="18"/>
                <w:szCs w:val="18"/>
              </w:rPr>
              <w:t>Two independent cutover sequences (Stargile and PLMServer) · ISO 13485 Software Validation (IQ/OQ/PQ) · Training records · Both legacy systems decommissioned · Vault handover</w:t>
            </w:r>
          </w:p>
        </w:tc>
      </w:tr>
    </w:tbl>
    <w:p w14:paraId="62FC9DE6" w14:textId="77777777" w:rsidR="00B16FDA" w:rsidRDefault="00B16F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6FDA" w14:paraId="61A5EBE8" w14:textId="77777777">
        <w:tblPrEx>
          <w:tblCellMar>
            <w:top w:w="0" w:type="dxa"/>
            <w:bottom w:w="0" w:type="dxa"/>
          </w:tblCellMar>
        </w:tblPrEx>
        <w:tc>
          <w:tcPr>
            <w:tcW w:w="9200" w:type="dxa"/>
            <w:tcBorders>
              <w:top w:val="single" w:sz="1" w:space="0" w:color="595959"/>
              <w:left w:val="single" w:sz="20" w:space="0" w:color="595959"/>
              <w:bottom w:val="single" w:sz="1" w:space="0" w:color="595959"/>
              <w:right w:val="single" w:sz="1" w:space="0" w:color="595959"/>
            </w:tcBorders>
            <w:shd w:val="clear" w:color="auto" w:fill="F2F2F2"/>
            <w:tcMar>
              <w:top w:w="120" w:type="dxa"/>
              <w:left w:w="200" w:type="dxa"/>
              <w:bottom w:w="120" w:type="dxa"/>
              <w:right w:w="160" w:type="dxa"/>
            </w:tcMar>
          </w:tcPr>
          <w:p w14:paraId="10427C44" w14:textId="77777777" w:rsidR="00B16FDA" w:rsidRDefault="00000000">
            <w:r>
              <w:rPr>
                <w:b/>
                <w:bCs/>
                <w:sz w:val="19"/>
                <w:szCs w:val="19"/>
              </w:rPr>
              <w:t xml:space="preserve">Hard gates before Phase 3: </w:t>
            </w:r>
            <w:r>
              <w:rPr>
                <w:sz w:val="19"/>
                <w:szCs w:val="19"/>
              </w:rPr>
              <w:t>(1) movex-rest-</w:t>
            </w:r>
            <w:proofErr w:type="spellStart"/>
            <w:r>
              <w:rPr>
                <w:sz w:val="19"/>
                <w:szCs w:val="19"/>
              </w:rPr>
              <w:t>api</w:t>
            </w:r>
            <w:proofErr w:type="spellEnd"/>
            <w:r>
              <w:rPr>
                <w:sz w:val="19"/>
                <w:szCs w:val="19"/>
              </w:rPr>
              <w:t xml:space="preserve"> gap endpoints specified and scheduled with .NET </w:t>
            </w:r>
            <w:proofErr w:type="gramStart"/>
            <w:r>
              <w:rPr>
                <w:sz w:val="19"/>
                <w:szCs w:val="19"/>
              </w:rPr>
              <w:t>team  (</w:t>
            </w:r>
            <w:proofErr w:type="gramEnd"/>
            <w:r>
              <w:rPr>
                <w:sz w:val="19"/>
                <w:szCs w:val="19"/>
              </w:rPr>
              <w:t xml:space="preserve">2) Movex sandbox environment confirmed by </w:t>
            </w:r>
            <w:proofErr w:type="gramStart"/>
            <w:r>
              <w:rPr>
                <w:sz w:val="19"/>
                <w:szCs w:val="19"/>
              </w:rPr>
              <w:t>IT  (</w:t>
            </w:r>
            <w:proofErr w:type="gramEnd"/>
            <w:r>
              <w:rPr>
                <w:sz w:val="19"/>
                <w:szCs w:val="19"/>
              </w:rPr>
              <w:t xml:space="preserve">3) All six supplier API test credentials </w:t>
            </w:r>
            <w:proofErr w:type="gramStart"/>
            <w:r>
              <w:rPr>
                <w:sz w:val="19"/>
                <w:szCs w:val="19"/>
              </w:rPr>
              <w:t>confirmed  (</w:t>
            </w:r>
            <w:proofErr w:type="gramEnd"/>
            <w:r>
              <w:rPr>
                <w:sz w:val="19"/>
                <w:szCs w:val="19"/>
              </w:rPr>
              <w:t xml:space="preserve">4) QA-signed data retention decisions for both </w:t>
            </w:r>
            <w:proofErr w:type="gramStart"/>
            <w:r>
              <w:rPr>
                <w:sz w:val="19"/>
                <w:szCs w:val="19"/>
              </w:rPr>
              <w:t>systems  (</w:t>
            </w:r>
            <w:proofErr w:type="gramEnd"/>
            <w:r>
              <w:rPr>
                <w:sz w:val="19"/>
                <w:szCs w:val="19"/>
              </w:rPr>
              <w:t>5) Docker on Windows Server working in staging.</w:t>
            </w:r>
          </w:p>
        </w:tc>
      </w:tr>
    </w:tbl>
    <w:p w14:paraId="35580DC1" w14:textId="77777777" w:rsidR="00B16FDA" w:rsidRDefault="00B16FDA">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6FDA" w14:paraId="43FB00F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0E14833A" w14:textId="77777777" w:rsidR="00B16FDA" w:rsidRDefault="00000000">
            <w:r>
              <w:rPr>
                <w:b/>
                <w:bCs/>
                <w:color w:val="FFFFFF"/>
              </w:rPr>
              <w:t>What this is also building — Organisational AI Platform foundation</w:t>
            </w:r>
          </w:p>
        </w:tc>
      </w:tr>
    </w:tbl>
    <w:p w14:paraId="0F5FF239" w14:textId="77777777" w:rsidR="00B16FDA" w:rsidRDefault="00B16FDA">
      <w:pPr>
        <w:spacing w:after="80"/>
      </w:pPr>
    </w:p>
    <w:p w14:paraId="6EDC31EC" w14:textId="741762DA" w:rsidR="00B16FDA" w:rsidRDefault="00000000">
      <w:pPr>
        <w:spacing w:after="140"/>
      </w:pPr>
      <w:r>
        <w:rPr>
          <w:color w:val="000000"/>
        </w:rPr>
        <w:t xml:space="preserve">Every decision in </w:t>
      </w:r>
      <w:r w:rsidR="002D1511">
        <w:rPr>
          <w:color w:val="000000"/>
        </w:rPr>
        <w:t>Nexus</w:t>
      </w:r>
      <w:r>
        <w:rPr>
          <w:color w:val="000000"/>
        </w:rPr>
        <w:t xml:space="preserve"> is a reusable pattern. The ERP Adapter pattern means the IFS migration affects one config file per site, not a platform rewrite. The Supplier Adapter means adding a new component distributor is one new class. The shared PostgreSQL data model means Routes, MSP, and MES join the same database when they are built — no integration contracts. The MAS v2.0 agent registrations mean the Knowledge Vault and every future agent can query engineering change and BOM intelligence from day one of go-live.</w:t>
      </w:r>
    </w:p>
    <w:p w14:paraId="107413F0" w14:textId="77777777" w:rsidR="00B16FDA" w:rsidRDefault="00B16F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800"/>
      </w:tblGrid>
      <w:tr w:rsidR="00B16FDA" w14:paraId="2F8FA6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502D9290" w14:textId="77777777" w:rsidR="00B16FDA" w:rsidRDefault="00000000">
            <w:pPr>
              <w:spacing w:before="60" w:after="60"/>
            </w:pPr>
            <w:r>
              <w:rPr>
                <w:b/>
                <w:bCs/>
                <w:color w:val="FFFFFF"/>
                <w:sz w:val="18"/>
                <w:szCs w:val="18"/>
              </w:rPr>
              <w:t>Iteration</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7F5C76E0" w14:textId="77777777" w:rsidR="00B16FDA" w:rsidRDefault="00000000">
            <w:pPr>
              <w:spacing w:before="60" w:after="60"/>
            </w:pPr>
            <w:r>
              <w:rPr>
                <w:b/>
                <w:bCs/>
                <w:color w:val="FFFFFF"/>
                <w:sz w:val="18"/>
                <w:szCs w:val="18"/>
              </w:rPr>
              <w:t>Modules added</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vAlign w:val="center"/>
          </w:tcPr>
          <w:p w14:paraId="1949640B" w14:textId="77777777" w:rsidR="00B16FDA" w:rsidRDefault="00000000">
            <w:pPr>
              <w:spacing w:before="60" w:after="60"/>
            </w:pPr>
            <w:r>
              <w:rPr>
                <w:b/>
                <w:bCs/>
                <w:color w:val="FFFFFF"/>
                <w:sz w:val="18"/>
                <w:szCs w:val="18"/>
              </w:rPr>
              <w:t>Source systems replaced</w:t>
            </w:r>
          </w:p>
        </w:tc>
      </w:tr>
      <w:tr w:rsidR="00B16FDA" w14:paraId="17FD88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F098C9" w14:textId="77777777" w:rsidR="00B16FDA" w:rsidRDefault="00000000">
            <w:pPr>
              <w:spacing w:before="60" w:after="60"/>
            </w:pPr>
            <w:r>
              <w:rPr>
                <w:color w:val="000000"/>
                <w:sz w:val="18"/>
                <w:szCs w:val="18"/>
              </w:rPr>
              <w:t>1 — this programme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223429" w14:textId="77777777" w:rsidR="00B16FDA" w:rsidRDefault="00000000">
            <w:pPr>
              <w:spacing w:before="60" w:after="60"/>
            </w:pPr>
            <w:r>
              <w:rPr>
                <w:color w:val="000000"/>
                <w:sz w:val="18"/>
                <w:szCs w:val="18"/>
              </w:rPr>
              <w:t>ECN · BOM · Supplier Intelligence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37B3E7" w14:textId="77777777" w:rsidR="00B16FDA" w:rsidRDefault="00000000">
            <w:pPr>
              <w:spacing w:before="60" w:after="60"/>
            </w:pPr>
            <w:r>
              <w:rPr>
                <w:color w:val="000000"/>
                <w:sz w:val="18"/>
                <w:szCs w:val="18"/>
              </w:rPr>
              <w:t>Stargile + PLMServer</w:t>
            </w:r>
          </w:p>
        </w:tc>
      </w:tr>
      <w:tr w:rsidR="00B16FDA" w14:paraId="1905E4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475D8E4" w14:textId="77777777" w:rsidR="00B16FDA" w:rsidRDefault="00000000">
            <w:pPr>
              <w:spacing w:before="60" w:after="60"/>
            </w:pPr>
            <w:r>
              <w:rPr>
                <w:color w:val="000000"/>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80E9A69" w14:textId="77777777" w:rsidR="00B16FDA" w:rsidRDefault="00000000">
            <w:pPr>
              <w:spacing w:before="60" w:after="60"/>
            </w:pPr>
            <w:r>
              <w:rPr>
                <w:color w:val="000000"/>
                <w:sz w:val="18"/>
                <w:szCs w:val="18"/>
              </w:rPr>
              <w:t>Route Management</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46AA74" w14:textId="77777777" w:rsidR="00B16FDA" w:rsidRDefault="00000000">
            <w:pPr>
              <w:spacing w:before="60" w:after="60"/>
            </w:pPr>
            <w:r>
              <w:rPr>
                <w:color w:val="000000"/>
                <w:sz w:val="18"/>
                <w:szCs w:val="18"/>
              </w:rPr>
              <w:t>Stargile route module</w:t>
            </w:r>
          </w:p>
        </w:tc>
      </w:tr>
      <w:tr w:rsidR="00B16FDA" w14:paraId="028D22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24A371" w14:textId="77777777" w:rsidR="00B16FDA" w:rsidRDefault="00000000">
            <w:pPr>
              <w:spacing w:before="60" w:after="60"/>
            </w:pPr>
            <w:r>
              <w:rPr>
                <w:color w:val="000000"/>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9EE0CC" w14:textId="77777777" w:rsidR="00B16FDA" w:rsidRDefault="00000000">
            <w:pPr>
              <w:spacing w:before="60" w:after="60"/>
            </w:pPr>
            <w:r>
              <w:rPr>
                <w:color w:val="000000"/>
                <w:sz w:val="18"/>
                <w:szCs w:val="18"/>
              </w:rPr>
              <w:t>MSP</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22B52C" w14:textId="77777777" w:rsidR="00B16FDA" w:rsidRDefault="00000000">
            <w:pPr>
              <w:spacing w:before="60" w:after="60"/>
            </w:pPr>
            <w:r>
              <w:rPr>
                <w:color w:val="000000"/>
                <w:sz w:val="18"/>
                <w:szCs w:val="18"/>
              </w:rPr>
              <w:t>New capability</w:t>
            </w:r>
          </w:p>
        </w:tc>
      </w:tr>
      <w:tr w:rsidR="00B16FDA" w14:paraId="5B891D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6856E7" w14:textId="77777777" w:rsidR="00B16FDA" w:rsidRDefault="00000000">
            <w:pPr>
              <w:spacing w:before="60" w:after="60"/>
            </w:pPr>
            <w:r>
              <w:rPr>
                <w:color w:val="000000"/>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CDAD1B5" w14:textId="77777777" w:rsidR="00B16FDA" w:rsidRDefault="00000000">
            <w:pPr>
              <w:spacing w:before="60" w:after="60"/>
            </w:pPr>
            <w:r>
              <w:rPr>
                <w:color w:val="000000"/>
                <w:sz w:val="18"/>
                <w:szCs w:val="18"/>
              </w:rPr>
              <w:t>MES</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ABEBFD" w14:textId="77777777" w:rsidR="00B16FDA" w:rsidRDefault="00000000">
            <w:pPr>
              <w:spacing w:before="60" w:after="60"/>
            </w:pPr>
            <w:r>
              <w:rPr>
                <w:color w:val="000000"/>
                <w:sz w:val="18"/>
                <w:szCs w:val="18"/>
              </w:rPr>
              <w:t>MES Modernisation Strategy v3.0</w:t>
            </w:r>
          </w:p>
        </w:tc>
      </w:tr>
    </w:tbl>
    <w:p w14:paraId="36437A38" w14:textId="428DAF5A" w:rsidR="002D1511" w:rsidRDefault="002D1511">
      <w:pPr>
        <w:spacing w:after="160"/>
      </w:pPr>
    </w:p>
    <w:p w14:paraId="508CEBC8" w14:textId="77777777" w:rsidR="002D1511" w:rsidRDefault="002D1511">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6FDA" w14:paraId="06FB9B91" w14:textId="77777777">
        <w:tblPrEx>
          <w:tblCellMar>
            <w:top w:w="0" w:type="dxa"/>
            <w:bottom w:w="0" w:type="dxa"/>
          </w:tblCellMar>
        </w:tblPrEx>
        <w:tc>
          <w:tcPr>
            <w:tcW w:w="920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60" w:type="dxa"/>
            </w:tcMar>
          </w:tcPr>
          <w:p w14:paraId="55B4750F" w14:textId="77777777" w:rsidR="00B16FDA" w:rsidRDefault="00000000">
            <w:r>
              <w:rPr>
                <w:b/>
                <w:bCs/>
                <w:color w:val="FFFFFF"/>
              </w:rPr>
              <w:lastRenderedPageBreak/>
              <w:t>What I need from you before the wider stakeholder presentation</w:t>
            </w:r>
          </w:p>
        </w:tc>
      </w:tr>
    </w:tbl>
    <w:p w14:paraId="7D8BB85A" w14:textId="77777777" w:rsidR="00B16FDA" w:rsidRDefault="00B16FDA">
      <w:pPr>
        <w:spacing w:after="80"/>
      </w:pPr>
    </w:p>
    <w:p w14:paraId="742C5B1D" w14:textId="77777777" w:rsidR="00B16FDA" w:rsidRDefault="00000000">
      <w:pPr>
        <w:pStyle w:val="ListParagraph"/>
        <w:numPr>
          <w:ilvl w:val="0"/>
          <w:numId w:val="2"/>
        </w:numPr>
        <w:spacing w:before="40" w:after="40"/>
      </w:pPr>
      <w:r>
        <w:t>Review the three v2.0 architectural corrections and confirm they are sound — particularly the data authority model and the two-site deployment approach</w:t>
      </w:r>
    </w:p>
    <w:p w14:paraId="5DC51833" w14:textId="7D8E5DD1" w:rsidR="00B16FDA" w:rsidRDefault="00000000">
      <w:pPr>
        <w:pStyle w:val="ListParagraph"/>
        <w:numPr>
          <w:ilvl w:val="0"/>
          <w:numId w:val="2"/>
        </w:numPr>
        <w:spacing w:before="40" w:after="40"/>
      </w:pPr>
      <w:r>
        <w:t>Advise whether the IT team can confirm the hard infrastructure gates: Docker on Windows Server need</w:t>
      </w:r>
      <w:r w:rsidR="00F847DB">
        <w:t>s</w:t>
      </w:r>
      <w:r>
        <w:t xml:space="preserve"> to be resolved before Phase 2 ends</w:t>
      </w:r>
    </w:p>
    <w:p w14:paraId="6D3E4892" w14:textId="680E277F" w:rsidR="00B16FDA" w:rsidRDefault="00000000">
      <w:pPr>
        <w:pStyle w:val="ListParagraph"/>
        <w:numPr>
          <w:ilvl w:val="0"/>
          <w:numId w:val="2"/>
        </w:numPr>
        <w:spacing w:before="40" w:after="40"/>
      </w:pPr>
      <w:r>
        <w:t>Flag any concerns about the movex-rest-</w:t>
      </w:r>
      <w:proofErr w:type="spellStart"/>
      <w:r>
        <w:t>api</w:t>
      </w:r>
      <w:proofErr w:type="spellEnd"/>
      <w:r>
        <w:t xml:space="preserve"> extension work — the .NET team will need to scope this in Phase 2 based on the Phase 1 MI gap analysis</w:t>
      </w:r>
      <w:r w:rsidR="00F847DB">
        <w:t>, this is in relation to enable more transactions within the Movex REST API</w:t>
      </w:r>
    </w:p>
    <w:p w14:paraId="09730666" w14:textId="28055EE1" w:rsidR="00B16FDA" w:rsidRDefault="00000000">
      <w:pPr>
        <w:pStyle w:val="ListParagraph"/>
        <w:numPr>
          <w:ilvl w:val="0"/>
          <w:numId w:val="2"/>
        </w:numPr>
        <w:spacing w:before="40" w:after="40"/>
      </w:pPr>
      <w:r>
        <w:t xml:space="preserve">Confirm </w:t>
      </w:r>
      <w:r w:rsidR="00F847DB">
        <w:t xml:space="preserve">if we need to communicate to a wider </w:t>
      </w:r>
      <w:r>
        <w:t>stakeholder audience</w:t>
      </w:r>
      <w:r w:rsidR="00F847DB">
        <w:t xml:space="preserve"> </w:t>
      </w:r>
      <w:r>
        <w:t>so the detail level can be calibrated accordingly</w:t>
      </w:r>
    </w:p>
    <w:p w14:paraId="1CC92630" w14:textId="77777777" w:rsidR="00B16FDA" w:rsidRDefault="00B16FDA">
      <w:pPr>
        <w:spacing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16FDA" w14:paraId="3E232492" w14:textId="77777777">
        <w:tblPrEx>
          <w:tblCellMar>
            <w:top w:w="0" w:type="dxa"/>
            <w:bottom w:w="0" w:type="dxa"/>
          </w:tblCellMar>
        </w:tblPrEx>
        <w:tc>
          <w:tcPr>
            <w:tcW w:w="9200" w:type="dxa"/>
            <w:tcBorders>
              <w:top w:val="single" w:sz="1" w:space="0" w:color="595959"/>
              <w:left w:val="single" w:sz="20" w:space="0" w:color="595959"/>
              <w:bottom w:val="single" w:sz="1" w:space="0" w:color="595959"/>
              <w:right w:val="single" w:sz="1" w:space="0" w:color="595959"/>
            </w:tcBorders>
            <w:shd w:val="clear" w:color="auto" w:fill="F7F7F7"/>
            <w:tcMar>
              <w:top w:w="120" w:type="dxa"/>
              <w:left w:w="200" w:type="dxa"/>
              <w:bottom w:w="120" w:type="dxa"/>
              <w:right w:w="160" w:type="dxa"/>
            </w:tcMar>
          </w:tcPr>
          <w:p w14:paraId="6BCABC94" w14:textId="77777777" w:rsidR="00B16FDA" w:rsidRDefault="00000000">
            <w:pPr>
              <w:spacing w:after="40"/>
            </w:pPr>
            <w:r>
              <w:rPr>
                <w:b/>
                <w:bCs/>
                <w:color w:val="1F3864"/>
                <w:sz w:val="17"/>
                <w:szCs w:val="17"/>
              </w:rPr>
              <w:t>Full strategy document: Engineering_Intelligence_Platform_Strategy_v2.</w:t>
            </w:r>
            <w:proofErr w:type="gramStart"/>
            <w:r>
              <w:rPr>
                <w:b/>
                <w:bCs/>
                <w:color w:val="1F3864"/>
                <w:sz w:val="17"/>
                <w:szCs w:val="17"/>
              </w:rPr>
              <w:t>0  (</w:t>
            </w:r>
            <w:proofErr w:type="gramEnd"/>
            <w:r>
              <w:rPr>
                <w:b/>
                <w:bCs/>
                <w:color w:val="1F3864"/>
                <w:sz w:val="17"/>
                <w:szCs w:val="17"/>
              </w:rPr>
              <w:t>Word + Markdown with Mermaid diagrams)</w:t>
            </w:r>
          </w:p>
          <w:p w14:paraId="5BB15BFF" w14:textId="77777777" w:rsidR="00B16FDA" w:rsidRDefault="00000000">
            <w:r>
              <w:rPr>
                <w:color w:val="595959"/>
                <w:sz w:val="17"/>
                <w:szCs w:val="17"/>
              </w:rPr>
              <w:t>The Markdown file contains 13 Mermaid diagrams (architecture overview, state machine, two-site deployment, programme Gantt, cutover sequence, platform evolution roadmap, and more) that render interactively in VS Code, GitHub, or Notion.</w:t>
            </w:r>
          </w:p>
        </w:tc>
      </w:tr>
    </w:tbl>
    <w:p w14:paraId="653ED432" w14:textId="77777777" w:rsidR="00794E5A" w:rsidRDefault="00794E5A"/>
    <w:sectPr w:rsidR="00794E5A">
      <w:pgSz w:w="12240" w:h="15840"/>
      <w:pgMar w:top="800" w:right="900" w:bottom="8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8F7"/>
    <w:multiLevelType w:val="hybridMultilevel"/>
    <w:tmpl w:val="E1F88652"/>
    <w:lvl w:ilvl="0" w:tplc="78446DD0">
      <w:start w:val="1"/>
      <w:numFmt w:val="bullet"/>
      <w:lvlText w:val="•"/>
      <w:lvlJc w:val="left"/>
      <w:pPr>
        <w:ind w:left="560" w:hanging="280"/>
      </w:pPr>
    </w:lvl>
    <w:lvl w:ilvl="1" w:tplc="2BC8F176">
      <w:numFmt w:val="decimal"/>
      <w:lvlText w:val=""/>
      <w:lvlJc w:val="left"/>
    </w:lvl>
    <w:lvl w:ilvl="2" w:tplc="D01AFDC0">
      <w:numFmt w:val="decimal"/>
      <w:lvlText w:val=""/>
      <w:lvlJc w:val="left"/>
    </w:lvl>
    <w:lvl w:ilvl="3" w:tplc="6AD26448">
      <w:numFmt w:val="decimal"/>
      <w:lvlText w:val=""/>
      <w:lvlJc w:val="left"/>
    </w:lvl>
    <w:lvl w:ilvl="4" w:tplc="8A38FCBA">
      <w:numFmt w:val="decimal"/>
      <w:lvlText w:val=""/>
      <w:lvlJc w:val="left"/>
    </w:lvl>
    <w:lvl w:ilvl="5" w:tplc="2EFE0B48">
      <w:numFmt w:val="decimal"/>
      <w:lvlText w:val=""/>
      <w:lvlJc w:val="left"/>
    </w:lvl>
    <w:lvl w:ilvl="6" w:tplc="2F121596">
      <w:numFmt w:val="decimal"/>
      <w:lvlText w:val=""/>
      <w:lvlJc w:val="left"/>
    </w:lvl>
    <w:lvl w:ilvl="7" w:tplc="7CC409BA">
      <w:numFmt w:val="decimal"/>
      <w:lvlText w:val=""/>
      <w:lvlJc w:val="left"/>
    </w:lvl>
    <w:lvl w:ilvl="8" w:tplc="972CFD58">
      <w:numFmt w:val="decimal"/>
      <w:lvlText w:val=""/>
      <w:lvlJc w:val="left"/>
    </w:lvl>
  </w:abstractNum>
  <w:abstractNum w:abstractNumId="1" w15:restartNumberingAfterBreak="0">
    <w:nsid w:val="393C6D01"/>
    <w:multiLevelType w:val="hybridMultilevel"/>
    <w:tmpl w:val="260E6BFA"/>
    <w:lvl w:ilvl="0" w:tplc="E186565E">
      <w:start w:val="1"/>
      <w:numFmt w:val="bullet"/>
      <w:lvlText w:val="●"/>
      <w:lvlJc w:val="left"/>
      <w:pPr>
        <w:ind w:left="720" w:hanging="360"/>
      </w:pPr>
    </w:lvl>
    <w:lvl w:ilvl="1" w:tplc="C2F6F13A">
      <w:start w:val="1"/>
      <w:numFmt w:val="bullet"/>
      <w:lvlText w:val="○"/>
      <w:lvlJc w:val="left"/>
      <w:pPr>
        <w:ind w:left="1440" w:hanging="360"/>
      </w:pPr>
    </w:lvl>
    <w:lvl w:ilvl="2" w:tplc="F058061A">
      <w:start w:val="1"/>
      <w:numFmt w:val="bullet"/>
      <w:lvlText w:val="■"/>
      <w:lvlJc w:val="left"/>
      <w:pPr>
        <w:ind w:left="2160" w:hanging="360"/>
      </w:pPr>
    </w:lvl>
    <w:lvl w:ilvl="3" w:tplc="53020052">
      <w:start w:val="1"/>
      <w:numFmt w:val="bullet"/>
      <w:lvlText w:val="●"/>
      <w:lvlJc w:val="left"/>
      <w:pPr>
        <w:ind w:left="2880" w:hanging="360"/>
      </w:pPr>
    </w:lvl>
    <w:lvl w:ilvl="4" w:tplc="A53C711C">
      <w:start w:val="1"/>
      <w:numFmt w:val="bullet"/>
      <w:lvlText w:val="○"/>
      <w:lvlJc w:val="left"/>
      <w:pPr>
        <w:ind w:left="3600" w:hanging="360"/>
      </w:pPr>
    </w:lvl>
    <w:lvl w:ilvl="5" w:tplc="C332F16E">
      <w:start w:val="1"/>
      <w:numFmt w:val="bullet"/>
      <w:lvlText w:val="■"/>
      <w:lvlJc w:val="left"/>
      <w:pPr>
        <w:ind w:left="4320" w:hanging="360"/>
      </w:pPr>
    </w:lvl>
    <w:lvl w:ilvl="6" w:tplc="A792F59E">
      <w:start w:val="1"/>
      <w:numFmt w:val="bullet"/>
      <w:lvlText w:val="●"/>
      <w:lvlJc w:val="left"/>
      <w:pPr>
        <w:ind w:left="5040" w:hanging="360"/>
      </w:pPr>
    </w:lvl>
    <w:lvl w:ilvl="7" w:tplc="662E7E28">
      <w:start w:val="1"/>
      <w:numFmt w:val="bullet"/>
      <w:lvlText w:val="●"/>
      <w:lvlJc w:val="left"/>
      <w:pPr>
        <w:ind w:left="5760" w:hanging="360"/>
      </w:pPr>
    </w:lvl>
    <w:lvl w:ilvl="8" w:tplc="22B4AB22">
      <w:start w:val="1"/>
      <w:numFmt w:val="bullet"/>
      <w:lvlText w:val="●"/>
      <w:lvlJc w:val="left"/>
      <w:pPr>
        <w:ind w:left="6480" w:hanging="360"/>
      </w:pPr>
    </w:lvl>
  </w:abstractNum>
  <w:num w:numId="1" w16cid:durableId="175459122">
    <w:abstractNumId w:val="1"/>
    <w:lvlOverride w:ilvl="0">
      <w:startOverride w:val="1"/>
    </w:lvlOverride>
  </w:num>
  <w:num w:numId="2" w16cid:durableId="861474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FDA"/>
    <w:rsid w:val="002D1511"/>
    <w:rsid w:val="00794E5A"/>
    <w:rsid w:val="007E487D"/>
    <w:rsid w:val="00B16FDA"/>
    <w:rsid w:val="00F847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37696"/>
  <w15:docId w15:val="{B37BED5C-FF50-4449-AFF1-CA0875D0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1065</Words>
  <Characters>6416</Characters>
  <Application>Microsoft Office Word</Application>
  <DocSecurity>0</DocSecurity>
  <Lines>291</Lines>
  <Paragraphs>213</Paragraphs>
  <ScaleCrop>false</ScaleCrop>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Hector Salazar</cp:lastModifiedBy>
  <cp:revision>3</cp:revision>
  <dcterms:created xsi:type="dcterms:W3CDTF">2026-03-17T00:20:00Z</dcterms:created>
  <dcterms:modified xsi:type="dcterms:W3CDTF">2026-03-17T00:27:00Z</dcterms:modified>
</cp:coreProperties>
</file>