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Reunión #2 - 2022-03-31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Asistentes: Claudio Gutiérrez, Ariel Barraza, Hernán Sarmiento, Sebastián Bugedo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Programa</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Discusión de la lectura del Capítulo 5 “Introduction to the Case Study Research” de [1]</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Discusión de la lectura</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Plan para la semana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Ideas y posibles aristas</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Dos clasificaciones de granularidad que son relevantes: (1) ámbito regional (local, nacional, europeo, etc) y (2) facetas de transversalidad (grupos con características y dinámicas diferentes, e.g. disposición a participar dentro de un partido político)</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En tipos de participación/involucramiento, no cerrarnos a la posibilidad de incluir más opciones que solo monitoreo+poner_agenda+toma_decisiones</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Incidencia como impacto potencial de una actividad en el proceso político. Este aspecto no está considerado en las dimensiones de la toma de decisiones. Al considerar el carácter vinculante de estas, ¿se genera una matriz de 2x2 o un árbol al incorporar la incidencia?</w:t>
      </w:r>
    </w:p>
    <w:p w:rsidR="00000000" w:rsidDel="00000000" w:rsidP="00000000" w:rsidRDefault="00000000" w:rsidRPr="00000000" w14:paraId="0000000E">
      <w:pPr>
        <w:numPr>
          <w:ilvl w:val="0"/>
          <w:numId w:val="4"/>
        </w:numPr>
        <w:ind w:left="720" w:hanging="360"/>
        <w:jc w:val="both"/>
        <w:rPr>
          <w:u w:val="none"/>
        </w:rPr>
      </w:pPr>
      <w:r w:rsidDel="00000000" w:rsidR="00000000" w:rsidRPr="00000000">
        <w:rPr>
          <w:rtl w:val="0"/>
        </w:rPr>
        <w:t xml:space="preserve">Interés de aplicar/pensar este approach para latinoamérica, pudiendo añadirse más elementos a los descritos en la tabla 5.2</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Tener en cuenta que los criterios de la tabla 5.2 pueden no ser suficientes para evaluar determinada herramienta, en cuyo caso se deben incorporar preguntas adicionales.</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Poner ojo en la igualdad de oportunidades de los ciudadanos y cómo las descripciones de la tabla 5.2 se hacen o no cargo de esta. Otras consideraciones involucran el cómo se incorpora una dimensión temporal del proceso en que se aplica una herramienta dada</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¿Cómo distinguir la separación entre una herramienta de software y el proceso que apoya? Preocuparnos de que esa separación puede no ser posible y al caracterizar una herramienta con criterios como la tabla 5.2, debe tomarse en cuenta el proceso</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En lo estudiado no se aborda el tema del software, en particular 3 dimensiones: software (qué condiciones tiene, es propietario? Abierto? Dificil de instalar? costoso?), datos (flujo de esto, generación, traspaso, almacenamiento, cuál es el historial de los datos?) y seguridad (hay garantías de trazabilidad, voto secreto, resistencia a fraude?)</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Pregunta mortal: ¿cómo se pueden lograr nuevas formas de participación a través de herramientas tec.? ¿Motivar gente que no participa? ¿Atraer nuevos grupos?</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¿Cómo se ponderan las distintas componentes de la participación?</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Un software general que parametrice cualquier mecanismo de participación… ¿existirá? ¿Cuál es su arquitectura? ¿limitaciones? ¿control interno?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Propuestas a seguir</w:t>
      </w:r>
    </w:p>
    <w:p w:rsidR="00000000" w:rsidDel="00000000" w:rsidP="00000000" w:rsidRDefault="00000000" w:rsidRPr="00000000" w14:paraId="00000018">
      <w:pPr>
        <w:numPr>
          <w:ilvl w:val="0"/>
          <w:numId w:val="2"/>
        </w:numPr>
        <w:ind w:left="720" w:hanging="360"/>
        <w:jc w:val="both"/>
      </w:pPr>
      <w:r w:rsidDel="00000000" w:rsidR="00000000" w:rsidRPr="00000000">
        <w:rPr>
          <w:rtl w:val="0"/>
        </w:rPr>
        <w:t xml:space="preserve">Caracterizar proceso de las iniciativas populares de norma de acuerdo a la propuesta de requisitos y preguntas para evaluar legitimidad (input, output, throughput) en [1] (tabla 5.2)</w:t>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rtl w:val="0"/>
        </w:rPr>
        <w:t xml:space="preserve">Lista de problemas por resolver, en paralelo a las otras actividades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Organización próxima sesión</w:t>
      </w:r>
    </w:p>
    <w:p w:rsidR="00000000" w:rsidDel="00000000" w:rsidP="00000000" w:rsidRDefault="00000000" w:rsidRPr="00000000" w14:paraId="0000001C">
      <w:pPr>
        <w:numPr>
          <w:ilvl w:val="0"/>
          <w:numId w:val="3"/>
        </w:numPr>
        <w:ind w:left="720" w:hanging="360"/>
        <w:jc w:val="both"/>
      </w:pPr>
      <w:r w:rsidDel="00000000" w:rsidR="00000000" w:rsidRPr="00000000">
        <w:rPr>
          <w:rtl w:val="0"/>
        </w:rPr>
        <w:t xml:space="preserve">Reunión presencial jueves 7 abril 11:00 hrs</w:t>
      </w:r>
    </w:p>
    <w:p w:rsidR="00000000" w:rsidDel="00000000" w:rsidP="00000000" w:rsidRDefault="00000000" w:rsidRPr="00000000" w14:paraId="0000001D">
      <w:pPr>
        <w:numPr>
          <w:ilvl w:val="0"/>
          <w:numId w:val="3"/>
        </w:numPr>
        <w:ind w:left="720" w:hanging="360"/>
        <w:jc w:val="both"/>
      </w:pPr>
      <w:r w:rsidDel="00000000" w:rsidR="00000000" w:rsidRPr="00000000">
        <w:rPr>
          <w:rtl w:val="0"/>
        </w:rPr>
        <w:t xml:space="preserve">Programa: proceso constituyente en presentación de Ariel, resumen de caso estudiado por cada uno, discusión de cómo abordar el caso de Iniciativas populares de norma en la CC</w:t>
      </w:r>
    </w:p>
    <w:p w:rsidR="00000000" w:rsidDel="00000000" w:rsidP="00000000" w:rsidRDefault="00000000" w:rsidRPr="00000000" w14:paraId="0000001E">
      <w:pPr>
        <w:numPr>
          <w:ilvl w:val="0"/>
          <w:numId w:val="3"/>
        </w:numPr>
        <w:ind w:left="720" w:hanging="360"/>
        <w:jc w:val="both"/>
      </w:pPr>
      <w:r w:rsidDel="00000000" w:rsidR="00000000" w:rsidRPr="00000000">
        <w:rPr>
          <w:rtl w:val="0"/>
        </w:rPr>
        <w:t xml:space="preserve">Asignación de casos de estudio de [1]</w:t>
      </w:r>
    </w:p>
    <w:p w:rsidR="00000000" w:rsidDel="00000000" w:rsidP="00000000" w:rsidRDefault="00000000" w:rsidRPr="00000000" w14:paraId="0000001F">
      <w:pPr>
        <w:numPr>
          <w:ilvl w:val="1"/>
          <w:numId w:val="3"/>
        </w:numPr>
        <w:ind w:left="1440" w:hanging="360"/>
        <w:jc w:val="both"/>
        <w:rPr>
          <w:u w:val="none"/>
        </w:rPr>
      </w:pPr>
      <w:r w:rsidDel="00000000" w:rsidR="00000000" w:rsidRPr="00000000">
        <w:rPr>
          <w:rtl w:val="0"/>
        </w:rPr>
        <w:t xml:space="preserve">Ariel: sección 7.2. Caso Finlandia</w:t>
      </w:r>
    </w:p>
    <w:p w:rsidR="00000000" w:rsidDel="00000000" w:rsidP="00000000" w:rsidRDefault="00000000" w:rsidRPr="00000000" w14:paraId="00000020">
      <w:pPr>
        <w:numPr>
          <w:ilvl w:val="1"/>
          <w:numId w:val="3"/>
        </w:numPr>
        <w:ind w:left="1440" w:hanging="360"/>
        <w:jc w:val="both"/>
        <w:rPr>
          <w:u w:val="none"/>
        </w:rPr>
      </w:pPr>
      <w:r w:rsidDel="00000000" w:rsidR="00000000" w:rsidRPr="00000000">
        <w:rPr>
          <w:rtl w:val="0"/>
        </w:rPr>
        <w:t xml:space="preserve">Claudio: sección 10.3 Podemos (+ sec 10.6 Presupuesto participativo Islandia)</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Hernán: sección 10.2 Five Star Movement</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Seba: sección 10.1 Partido Pirata Alemania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Bibliografía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 NIELSEN, R. O. (2020). </w:t>
      </w:r>
      <w:r w:rsidDel="00000000" w:rsidR="00000000" w:rsidRPr="00000000">
        <w:rPr>
          <w:i w:val="1"/>
          <w:rtl w:val="0"/>
        </w:rPr>
        <w:t xml:space="preserve">European E-DEMOCRACY in practice</w:t>
      </w:r>
      <w:r w:rsidDel="00000000" w:rsidR="00000000" w:rsidRPr="00000000">
        <w:rPr>
          <w:rtl w:val="0"/>
        </w:rPr>
        <w:t xml:space="preserve">. SAINT PHILIP STREET PRESS.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