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CIB Asia &amp; MENAT — June 2026 commentary</w:t>
      </w:r>
    </w:p>
    <w:p>
      <w:r>
        <w:t>The half closed ahead of plan on revenue and behind on costs; the second half depends on the cost actions landing in Q3.</w:t>
      </w:r>
    </w:p>
    <w:p>
      <w:r>
        <w:t>Markets and Securities Services led the half. Rates and FX carried the quarter while Custody was flat on Q1, and the securities services fee pool held up better than the pack expected.</w:t>
      </w:r>
    </w:p>
    <w:p>
      <w:r>
        <w:t>Global Payments Solutions held its volumes through the half, but the liquidity margin is thinner than a year ago and that is unlikely to reverse before the rate path turns.</w:t>
      </w:r>
    </w:p>
    <w:p>
      <w:r>
        <w:t>Global Trade Solutions came in light. Drawdowns slipped into July, which is timing rather than demand, and the pipeline going into the second half is unchanged.</w:t>
      </w:r>
    </w:p>
    <w:p>
      <w:r>
        <w:t>Credit and Lending was steady with no single name driving the movement.</w:t>
      </w:r>
    </w:p>
    <w:p>
      <w:r>
        <w:t>Indirect Costs remain the main watch item for the second 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