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What a tile prints above its figure.</w:t>
      </w:r>
      <w:r>
        <w:t xml:space="preserve"> The page header already names the period and the scope, so a tile repeating </w:t>
      </w:r>
      <w:r>
        <w:rPr>
          <w:i/>
          <w:iCs/>
        </w:rPr>
        <w:t xml:space="preserve">JUN YTD</w:t>
      </w:r>
      <w:r>
        <w:t xml:space="preserve"> on every card is noise. What it must always say is its </w:t>
      </w:r>
      <w:r>
        <w:rPr>
          <w:b/>
          <w:bCs/>
        </w:rPr>
        <w:t xml:space="preserve">unit</w:t>
      </w:r>
      <w:r>
        <w:t xml:space="preserve">, because that is the one thing the header cannot say for it — the cards are not all in the same unit, and a balance in billions sitting beside a result in millions has to be told apart at a glance. </w:t>
      </w:r>
      <w:r>
        <w:rPr>
          <w:rFonts w:ascii="Consolas" w:cs="Consolas" w:eastAsia="Consolas" w:hAnsi="Consolas"/>
          <w:shd w:fill="F2F1ED" w:val="clear"/>
        </w:rPr>
        <w:t xml:space="preserve">tile_unit_label</w:t>
      </w:r>
      <w:r>
        <w:t xml:space="preserve"> chooses: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Setting</w:t>
            </w:r>
          </w:p>
        </w:tc>
        <w:tc>
          <w:tcPr>
            <w:shd w:fill="F7E9EA" w:val="clear"/>
            <w:tcMar>
              <w:top w:type="dxa" w:w="60"/>
              <w:left w:type="dxa" w:w="100"/>
              <w:bottom w:type="dxa" w:w="60"/>
              <w:right w:type="dxa" w:w="100"/>
            </w:tcMar>
          </w:tcPr>
          <w:p>
            <w:r>
              <w:rPr>
                <w:b/>
                <w:bCs/>
                <w:color w:val="DB0011"/>
              </w:rPr>
              <w:t xml:space="preserve">A tile reads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unit</w:t>
            </w:r>
            <w:r>
              <w:t xml:space="preserve"> </w:t>
            </w:r>
            <w:r>
              <w:rPr>
                <w:i/>
                <w:iCs/>
              </w:rPr>
              <w:t xml:space="preserve">(default)</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US$m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period</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JUN YTD · US$m</w:t>
            </w:r>
            <w:r>
              <w:t xml:space="preserve"> — the older form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off</w:t>
            </w:r>
          </w:p>
        </w:tc>
        <w:tc>
          <w:tcPr>
            <w:tcMar>
              <w:top w:type="dxa" w:w="60"/>
              <w:left w:type="dxa" w:w="100"/>
              <w:bottom w:type="dxa" w:w="60"/>
              <w:right w:type="dxa" w:w="100"/>
            </w:tcMar>
          </w:tcPr>
          <w:p>
            <w:pPr>
              <w:spacing w:after="0"/>
            </w:pPr>
            <w:r>
              <w:t xml:space="preserve">no label at all</w:t>
            </w:r>
          </w:p>
        </w:tc>
      </w:tr>
    </w:tbl>
    <w:p>
      <w:pPr>
        <w:spacing w:after="160"/>
      </w:pPr>
    </w:p>
    <w:p>
      <w:pPr>
        <w:spacing w:after="140"/>
        <w:ind w:left="360"/>
      </w:pPr>
      <w:r>
        <w:rPr>
          <w:b/>
          <w:bCs/>
        </w:rPr>
        <w:t xml:space="preserve">Where `US$m`, `US$bn` and `%` come from</w:t>
      </w:r>
      <w:r>
        <w:t xml:space="preserve">, in the order the page asks:</w:t>
      </w:r>
    </w:p>
    <w:p>
      <w:pPr>
        <w:spacing w:after="140"/>
        <w:ind w:left="360"/>
      </w:pPr>
      <w:r>
        <w:t xml:space="preserve">1. the </w:t>
      </w:r>
      <w:r>
        <w:rPr>
          <w:b/>
          <w:bCs/>
        </w:rPr>
        <w:t xml:space="preserve">`Unit` column on the Tiles tab</w:t>
      </w:r>
      <w:r>
        <w:t xml:space="preserve">, beside the tile it belongs to — the most direct thing a pack can say, and it speaks over everything below; 2. the </w:t>
      </w:r>
      <w:r>
        <w:rPr>
          <w:b/>
          <w:bCs/>
        </w:rPr>
        <w:t xml:space="preserve">`Unit` column on the Rollup tab</w:t>
      </w:r>
      <w:r>
        <w:t xml:space="preserve">, which declares a line's unit wherever that line appears; 3. the </w:t>
      </w:r>
      <w:r>
        <w:rPr>
          <w:b/>
          <w:bCs/>
        </w:rPr>
        <w:t xml:space="preserve">extract's own `Unit` column</w:t>
      </w:r>
      <w:r>
        <w:t xml:space="preserve">, where the file states it per row; 4. failing all three, the convention: </w:t>
      </w:r>
      <w:r>
        <w:rPr>
          <w:rFonts w:ascii="Consolas" w:cs="Consolas" w:eastAsia="Consolas" w:hAnsi="Consolas"/>
          <w:shd w:fill="F2F1ED" w:val="clear"/>
        </w:rPr>
        <w:t xml:space="preserve">unit_label</w:t>
      </w:r>
      <w:r>
        <w:t xml:space="preserve"> (default </w:t>
      </w:r>
      <w:r>
        <w:rPr>
          <w:rFonts w:ascii="Consolas" w:cs="Consolas" w:eastAsia="Consolas" w:hAnsi="Consolas"/>
          <w:shd w:fill="F2F1ED" w:val="clear"/>
        </w:rPr>
        <w:t xml:space="preserve">US$m</w:t>
      </w:r>
      <w:r>
        <w:t xml:space="preserve">) for a result, </w:t>
      </w:r>
      <w:r>
        <w:rPr>
          <w:rFonts w:ascii="Consolas" w:cs="Consolas" w:eastAsia="Consolas" w:hAnsi="Consolas"/>
          <w:shd w:fill="F2F1ED" w:val="clear"/>
        </w:rPr>
        <w:t xml:space="preserve">bs_unit</w:t>
      </w:r>
      <w:r>
        <w:t xml:space="preserve"> (default </w:t>
      </w:r>
      <w:r>
        <w:rPr>
          <w:rFonts w:ascii="Consolas" w:cs="Consolas" w:eastAsia="Consolas" w:hAnsi="Consolas"/>
          <w:shd w:fill="F2F1ED" w:val="clear"/>
        </w:rPr>
        <w:t xml:space="preserve">bn</w:t>
      </w:r>
      <w:r>
        <w:t xml:space="preserve">) for a balance, </w:t>
      </w:r>
      <w:r>
        <w:rPr>
          <w:rFonts w:ascii="Consolas" w:cs="Consolas" w:eastAsia="Consolas" w:hAnsi="Consolas"/>
          <w:shd w:fill="F2F1ED" w:val="clear"/>
        </w:rPr>
        <w:t xml:space="preserve">%</w:t>
      </w:r>
      <w:r>
        <w:t xml:space="preserve"> for a line matching </w:t>
      </w:r>
      <w:r>
        <w:rPr>
          <w:rFonts w:ascii="Consolas" w:cs="Consolas" w:eastAsia="Consolas" w:hAnsi="Consolas"/>
          <w:shd w:fill="F2F1ED" w:val="clear"/>
        </w:rPr>
        <w:t xml:space="preserve">ratio_patterns</w:t>
      </w:r>
      <w:r>
        <w:t xml:space="preserve">, and a plain number for one matching </w:t>
      </w:r>
      <w:r>
        <w:rPr>
          <w:rFonts w:ascii="Consolas" w:cs="Consolas" w:eastAsia="Consolas" w:hAnsi="Consolas"/>
          <w:shd w:fill="F2F1ED" w:val="clear"/>
        </w:rPr>
        <w:t xml:space="preserve">count_patterns</w:t>
      </w:r>
      <w:r>
        <w:t xml:space="preserve">.</w:t>
      </w:r>
    </w:p>
    <w:p>
      <w:pPr>
        <w:spacing w:after="140"/>
        <w:ind w:left="360"/>
      </w:pPr>
      <w:r>
        <w:t xml:space="preserve">Writing </w:t>
      </w:r>
      <w:r>
        <w:rPr>
          <w:rFonts w:ascii="Consolas" w:cs="Consolas" w:eastAsia="Consolas" w:hAnsi="Consolas"/>
          <w:shd w:fill="F2F1ED" w:val="clear"/>
        </w:rPr>
        <w:t xml:space="preserve">US$bn</w:t>
      </w:r>
      <w:r>
        <w:t xml:space="preserve"> beside </w:t>
      </w:r>
      <w:r>
        <w:rPr>
          <w:rFonts w:ascii="Consolas" w:cs="Consolas" w:eastAsia="Consolas" w:hAnsi="Consolas"/>
          <w:shd w:fill="F2F1ED" w:val="clear"/>
        </w:rPr>
        <w:t xml:space="preserve">Revenue</w:t>
      </w:r>
      <w:r>
        <w:t xml:space="preserve"> on the Tiles tab restates that tile and labels it: 2,967 US$m is printed as </w:t>
      </w:r>
      <w:r>
        <w:rPr>
          <w:b/>
          <w:bCs/>
        </w:rPr>
        <w:t xml:space="preserve">3.0 US$bn</w:t>
      </w:r>
      <w:r>
        <w:t xml:space="preserve">. Nothing else moves.</w:t>
      </w:r>
    </w:p>
    <w:p>
      <w:pPr>
        <w:spacing w:after="140"/>
        <w:ind w:left="360"/>
      </w:pPr>
      <w:r>
        <w:rPr>
          <w:b/>
          <w:bCs/>
        </w:rPr>
        <w:t xml:space="preserve">A headcount is a count, not a ratio.</w:t>
      </w:r>
      <w:r>
        <w:t xml:space="preserve"> The shipped packs listed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under </w:t>
      </w:r>
      <w:r>
        <w:rPr>
          <w:rFonts w:ascii="Consolas" w:cs="Consolas" w:eastAsia="Consolas" w:hAnsi="Consolas"/>
          <w:shd w:fill="F2F1ED" w:val="clear"/>
        </w:rPr>
        <w:t xml:space="preserve">ratio_patterns</w:t>
      </w:r>
      <w:r>
        <w:t xml:space="preserve">, so an FTE tile was labelled </w:t>
      </w:r>
      <w:r>
        <w:rPr>
          <w:rFonts w:ascii="Consolas" w:cs="Consolas" w:eastAsia="Consolas" w:hAnsi="Consolas"/>
          <w:shd w:fill="F2F1ED" w:val="clear"/>
        </w:rPr>
        <w:t xml:space="preserve">%</w:t>
      </w:r>
      <w:r>
        <w:t xml:space="preserve"> while printing 1,286. Those names live in </w:t>
      </w:r>
      <w:r>
        <w:rPr>
          <w:rFonts w:ascii="Consolas" w:cs="Consolas" w:eastAsia="Consolas" w:hAnsi="Consolas"/>
          <w:shd w:fill="F2F1ED" w:val="clear"/>
        </w:rPr>
        <w:t xml:space="preserve">count_patterns</w:t>
      </w:r>
      <w:r>
        <w:t xml:space="preserve"> now, where they belong; </w:t>
      </w:r>
      <w:r>
        <w:rPr>
          <w:rFonts w:ascii="Consolas" w:cs="Consolas" w:eastAsia="Consolas" w:hAnsi="Consolas"/>
          <w:shd w:fill="F2F1ED" w:val="clear"/>
        </w:rPr>
        <w:t xml:space="preserve">ratio_patterns</w:t>
      </w:r>
      <w:r>
        <w:t xml:space="preserve"> keeps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and </w:t>
      </w:r>
      <w:r>
        <w:rPr>
          <w:rFonts w:ascii="Consolas" w:cs="Consolas" w:eastAsia="Consolas" w:hAnsi="Consolas"/>
          <w:shd w:fill="F2F1ED" w:val="clear"/>
        </w:rPr>
        <w:t xml:space="preserve">ratio</w:t>
      </w:r>
      <w:r>
        <w:t xml:space="preserve">.</w:t>
      </w:r>
    </w:p>
    <w:p>
      <w:pPr>
        <w:spacing w:after="140"/>
        <w:ind w:left="360"/>
      </w:pPr>
      <w:r>
        <w:rPr>
          <w:b/>
          <w:bCs/>
        </w:rPr>
        <w:t xml:space="preserve">A large extract is read once, a tab at a time.</w:t>
      </w:r>
      <w:r>
        <w:t xml:space="preserve"> The page used to read the whole workbook twice over: once at the door, to tell a configuration pack from a data extract, and again to ingest it. On a global extract — a dozen country tabs, a million cells — that is the entire parse cost paid twice, in two unbroken blocks, and the browser answers with </w:t>
      </w:r>
      <w:r>
        <w:rPr>
          <w:i/>
          <w:iCs/>
        </w:rPr>
        <w:t xml:space="preserve">"This page isn't responding"</w:t>
      </w:r>
      <w:r>
        <w:t xml:space="preserve">. Three things changed:</w:t>
      </w:r>
    </w:p>
    <w:p>
      <w:pPr>
        <w:spacing w:after="140"/>
        <w:ind w:left="360"/>
      </w:pPr>
      <w:r>
        <w:t xml:space="preserve">- the door reads the sheet </w:t>
      </w:r>
      <w:r>
        <w:rPr>
          <w:b/>
          <w:bCs/>
        </w:rPr>
        <w:t xml:space="preserve">names</w:t>
      </w:r>
      <w:r>
        <w:t xml:space="preserve"> and the first data tab, not the whole book, which is the only part the question turns on; - the ingest reads </w:t>
      </w:r>
      <w:r>
        <w:rPr>
          <w:b/>
          <w:bCs/>
        </w:rPr>
        <w:t xml:space="preserve">one tab at a time</w:t>
      </w:r>
      <w:r>
        <w:t xml:space="preserve">, with a breath between each, and says where it is — </w:t>
      </w:r>
      <w:r>
        <w:rPr>
          <w:i/>
          <w:iCs/>
        </w:rPr>
        <w:t xml:space="preserve">"Reading … tab 4 of 11 — IWPB Australia"</w:t>
      </w:r>
      <w:r>
        <w:t xml:space="preserve">. The work after the tabs — merging them, looking for duplicates, writing the report — is broken up the same way; - SheetJS is told not to build formatted text, a style record and a number format for every cell. The page reads raw values and never used them.</w:t>
      </w:r>
    </w:p>
    <w:p>
      <w:pPr>
        <w:spacing w:after="140"/>
        <w:ind w:left="360"/>
      </w:pPr>
      <w:r>
        <w:t xml:space="preserve">On 21,780 rows across 11 country tabs the longest stretch the browser is held falls from </w:t>
      </w:r>
      <w:r>
        <w:rPr>
          <w:b/>
          <w:bCs/>
        </w:rPr>
        <w:t xml:space="preserve">51 seconds to 7.9</w:t>
      </w:r>
      <w:r>
        <w:t xml:space="preserve"> — under the threshold at which Chrome calls the page dead. The total is still around 53 seconds on a file that size: the parse itself is slow and still runs on the main thread, so the dialog stops but the wait does not. Moving the parse to a worker is the remaining step.</w:t>
      </w:r>
    </w:p>
    <w:p>
      <w:pPr>
        <w:spacing w:after="140"/>
        <w:ind w:left="360"/>
      </w:pPr>
      <w:r>
        <w:rPr>
          <w:b/>
          <w:bCs/>
        </w:rPr>
        <w:t xml:space="preserve">Re-opening the page no longer re-reads the workbook.</w:t>
      </w:r>
      <w:r>
        <w:t xml:space="preserve"> The page keeps the last file so it need not be uploaded again each morning — but it kept the </w:t>
      </w:r>
      <w:r>
        <w:rPr>
          <w:i/>
          <w:iCs/>
        </w:rPr>
        <w:t xml:space="preserve">workbook</w:t>
      </w:r>
      <w:r>
        <w:t xml:space="preserve">, and re-parsed it on every open, to arrive at precisely the model it already had. On a global extract that is the whole 40-second parse, paid again, before anything appears. Measured on 21,780 rows across 11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 </w:t>
            </w:r>
          </w:p>
        </w:tc>
      </w:tr>
      <w:tr>
        <w:tc>
          <w:tcPr>
            <w:tcMar>
              <w:top w:type="dxa" w:w="60"/>
              <w:left w:type="dxa" w:w="100"/>
              <w:bottom w:type="dxa" w:w="60"/>
              <w:right w:type="dxa" w:w="100"/>
            </w:tcMar>
          </w:tcPr>
          <w:p>
            <w:pPr>
              <w:spacing w:after="0"/>
            </w:pPr>
            <w:r>
              <w:t xml:space="preserve">opening with nothing cached</w:t>
            </w:r>
          </w:p>
        </w:tc>
        <w:tc>
          <w:tcPr>
            <w:tcMar>
              <w:top w:type="dxa" w:w="60"/>
              <w:left w:type="dxa" w:w="100"/>
              <w:bottom w:type="dxa" w:w="60"/>
              <w:right w:type="dxa" w:w="100"/>
            </w:tcMar>
          </w:tcPr>
          <w:p>
            <w:pPr>
              <w:spacing w:after="0"/>
            </w:pPr>
            <w:r>
              <w:rPr>
                <w:b/>
                <w:bCs/>
              </w:rPr>
              <w:t xml:space="preserve">190 ms</w:t>
            </w:r>
            <w:r>
              <w:t xml:space="preserve"> — the page itself was never the problem</w:t>
            </w:r>
          </w:p>
        </w:tc>
      </w:tr>
      <w:tr>
        <w:tc>
          <w:tcPr>
            <w:tcMar>
              <w:top w:type="dxa" w:w="60"/>
              <w:left w:type="dxa" w:w="100"/>
              <w:bottom w:type="dxa" w:w="60"/>
              <w:right w:type="dxa" w:w="100"/>
            </w:tcMar>
          </w:tcPr>
          <w:p>
            <w:pPr>
              <w:spacing w:after="0"/>
            </w:pPr>
            <w:r>
              <w:t xml:space="preserve">opening with a file cached, before</w:t>
            </w:r>
          </w:p>
        </w:tc>
        <w:tc>
          <w:tcPr>
            <w:tcMar>
              <w:top w:type="dxa" w:w="60"/>
              <w:left w:type="dxa" w:w="100"/>
              <w:bottom w:type="dxa" w:w="60"/>
              <w:right w:type="dxa" w:w="100"/>
            </w:tcMar>
          </w:tcPr>
          <w:p>
            <w:pPr>
              <w:spacing w:after="0"/>
            </w:pPr>
            <w:r>
              <w:rPr>
                <w:b/>
                <w:bCs/>
              </w:rPr>
              <w:t xml:space="preserve">30,840 ms</w:t>
            </w:r>
          </w:p>
        </w:tc>
      </w:tr>
      <w:tr>
        <w:tc>
          <w:tcPr>
            <w:tcMar>
              <w:top w:type="dxa" w:w="60"/>
              <w:left w:type="dxa" w:w="100"/>
              <w:bottom w:type="dxa" w:w="60"/>
              <w:right w:type="dxa" w:w="100"/>
            </w:tcMar>
          </w:tcPr>
          <w:p>
            <w:pPr>
              <w:spacing w:after="0"/>
            </w:pPr>
            <w:r>
              <w:t xml:space="preserve">opening with a file cached, now</w:t>
            </w:r>
          </w:p>
        </w:tc>
        <w:tc>
          <w:tcPr>
            <w:tcMar>
              <w:top w:type="dxa" w:w="60"/>
              <w:left w:type="dxa" w:w="100"/>
              <w:bottom w:type="dxa" w:w="60"/>
              <w:right w:type="dxa" w:w="100"/>
            </w:tcMar>
          </w:tcPr>
          <w:p>
            <w:pPr>
              <w:spacing w:after="0"/>
            </w:pPr>
            <w:r>
              <w:rPr>
                <w:b/>
                <w:bCs/>
              </w:rPr>
              <w:t xml:space="preserve">1,292 ms</w:t>
            </w:r>
          </w:p>
        </w:tc>
      </w:tr>
    </w:tbl>
    <w:p>
      <w:pPr>
        <w:spacing w:after="160"/>
      </w:pPr>
    </w:p>
    <w:p>
      <w:pPr>
        <w:spacing w:after="140"/>
        <w:ind w:left="360"/>
      </w:pPr>
      <w:r>
        <w:t xml:space="preserve">The parsed model is stored beside the workbook and restored instead. The rows are plain data — dimension strings and numbers — so they survive the round trip as they are; everything </w:t>
      </w:r>
      <w:r>
        <w:rPr>
          <w:i/>
          <w:iCs/>
        </w:rPr>
        <w:t xml:space="preserve">derived</w:t>
      </w:r>
      <w:r>
        <w:t xml:space="preserve"> from them (units, grain, the account and country hierarchies, the duplication checks) is deliberately left out and worked out again on restore, which is quick and cannot go stale against a configuration that has changed since.</w:t>
      </w:r>
    </w:p>
    <w:p>
      <w:pPr>
        <w:spacing w:after="140"/>
        <w:ind w:left="360"/>
      </w:pPr>
      <w:r>
        <w:t xml:space="preserve">Two things this must not break, both checked: a restored page has to be </w:t>
      </w:r>
      <w:r>
        <w:rPr>
          <w:b/>
          <w:bCs/>
        </w:rPr>
        <w:t xml:space="preserve">identical</w:t>
      </w:r>
      <w:r>
        <w:t xml:space="preserve">, not merely fast — same rows, dimensions, countries and tile figures as a fresh parse, verified across seven sample shapes including the multi-tab, group-tab and mixed-grain ones. And a cache written before this existed, holding only the workbook, still opens by parsing it exactly as it used to. </w:t>
      </w:r>
      <w:r>
        <w:rPr>
          <w:rFonts w:ascii="Consolas" w:cs="Consolas" w:eastAsia="Consolas" w:hAnsi="Consolas"/>
          <w:shd w:fill="F2F1ED" w:val="clear"/>
        </w:rPr>
        <w:t xml:space="preserve">check_reopen</w:t>
      </w:r>
      <w:r>
        <w:t xml:space="preserve"> proves the restore does no parsing at all by deleting the workbook from the cache first and requiring the page to come up anyway.</w:t>
      </w:r>
    </w:p>
    <w:p>
      <w:pPr>
        <w:spacing w:after="140"/>
        <w:ind w:left="360"/>
      </w:pPr>
      <w:r>
        <w:rPr>
          <w:b/>
          <w:bCs/>
        </w:rPr>
        <w:t xml:space="preserve">Switching country or business is instant again.</w:t>
      </w:r>
      <w:r>
        <w:t xml:space="preserve"> After ingest, three things a render leans on hardest were rebuilt from scratch on every call — and on a global file, one click could cost seconds:</w:t>
      </w:r>
    </w:p>
    <w:p>
      <w:pPr>
        <w:spacing w:after="140"/>
        <w:ind w:left="360"/>
      </w:pPr>
      <w:r>
        <w:t xml:space="preserve">- </w:t>
      </w:r>
      <w:r>
        <w:rPr>
          <w:b/>
          <w:bCs/>
        </w:rPr>
        <w:t xml:space="preserve">`filteredRows()`</w:t>
      </w:r>
      <w:r>
        <w:t xml:space="preserve"> — the rows the current scope holds — is asked for fifty-odd times over one render. It re-filtered the whole file every single time, even for the same scope asked a moment before. It is now cached against everything that decides its answer — the loaded file, the active filters, breakdown mode, </w:t>
      </w:r>
      <w:r>
        <w:rPr>
          <w:rFonts w:ascii="Consolas" w:cs="Consolas" w:eastAsia="Consolas" w:hAnsi="Consolas"/>
          <w:shd w:fill="F2F1ED" w:val="clear"/>
        </w:rPr>
        <w:t xml:space="preserve">grain_reported</w:t>
      </w:r>
      <w:r>
        <w:t xml:space="preserve"> — so the same question within one scope is answered once. - </w:t>
      </w:r>
      <w:r>
        <w:rPr>
          <w:b/>
          <w:bCs/>
        </w:rPr>
        <w:t xml:space="preserve">`cfgMetricList()`</w:t>
      </w:r>
      <w:r>
        <w:t xml:space="preserve"> — every named calculation, read off the Definitions and Metrics tabs — rebuilt fresh new objects on every call, which meant nothing that cached </w:t>
      </w:r>
      <w:r>
        <w:rPr>
          <w:i/>
          <w:iCs/>
        </w:rPr>
        <w:t xml:space="preserve">against</w:t>
      </w:r>
      <w:r>
        <w:t xml:space="preserve"> those objects could ever recognise the same question twice.</w:t>
      </w:r>
    </w:p>
    <w:p>
      <w:pPr>
        <w:spacing w:after="140"/>
        <w:ind w:left="360"/>
      </w:pPr>
      <w:r>
        <w:t xml:space="preserve">It is now rebuilt only when the configuration actually changes. - </w:t>
      </w:r>
      <w:r>
        <w:rPr>
          <w:b/>
          <w:bCs/>
        </w:rPr>
        <w:t xml:space="preserve">`metricRows()`</w:t>
      </w:r>
      <w:r>
        <w:t xml:space="preserve"> — which rows answer a given calculation — is asked for the same calculation many times over one render: once for its tile, again for the tooltip, again in Business performance. With the two caches above making its inputs stable, it now caches its own answer per (calculation, scope) pair instead of rescanning the file each time.</w:t>
      </w:r>
    </w:p>
    <w:p>
      <w:pPr>
        <w:spacing w:after="140"/>
        <w:ind w:left="360"/>
      </w:pPr>
      <w:r>
        <w:t xml:space="preserve">On a 21,780-row file with one calculated metric (Banking NII) declared, switching from the full file to one country used to cost </w:t>
      </w:r>
      <w:r>
        <w:rPr>
          <w:b/>
          <w:bCs/>
        </w:rPr>
        <w:t xml:space="preserve">3.7–4.9 seconds</w:t>
      </w:r>
      <w:r>
        <w:t xml:space="preserve"> — the visible cause of </w:t>
      </w:r>
      <w:r>
        <w:rPr>
          <w:i/>
          <w:iCs/>
        </w:rPr>
        <w:t xml:space="preserve">"opening and reading tab sheet has become extremely slow"</w:t>
      </w:r>
      <w:r>
        <w:t xml:space="preserve">. It now costs </w:t>
      </w:r>
      <w:r>
        <w:rPr>
          <w:b/>
          <w:bCs/>
        </w:rPr>
        <w:t xml:space="preserve">240–290 ms</w:t>
      </w:r>
      <w:r>
        <w:t xml:space="preserve"> for a single country and </w:t>
      </w:r>
      <w:r>
        <w:rPr>
          <w:b/>
          <w:bCs/>
        </w:rPr>
        <w:t xml:space="preserve">around 1.2 seconds</w:t>
      </w:r>
      <w:r>
        <w:t xml:space="preserve"> to go back to the whole file. Nothing about what a figure reads has changed — every check that exercises Banking NII, roll-up, units, grain, or a second file loaded after the first, passes unchanged; a new one (</w:t>
      </w:r>
      <w:r>
        <w:rPr>
          <w:rFonts w:ascii="Consolas" w:cs="Consolas" w:eastAsia="Consolas" w:hAnsi="Consolas"/>
          <w:shd w:fill="F2F1ED" w:val="clear"/>
        </w:rPr>
        <w:t xml:space="preserve">check_frcache</w:t>
      </w:r>
      <w:r>
        <w:t xml:space="preserve">) exists solely to prove that loading a second, different file is never answered from the first file's cached rows.</w:t>
      </w:r>
    </w:p>
    <w:p>
      <w:pPr>
        <w:spacing w:after="140"/>
        <w:ind w:left="360"/>
      </w:pPr>
      <w:r>
        <w:rPr>
          <w:b/>
          <w:bCs/>
        </w:rPr>
        <w:t xml:space="preserve">A subtotal that also carries its own detail rows, under one MICA parent.</w:t>
      </w:r>
      <w:r>
        <w:t xml:space="preserve"> </w:t>
      </w:r>
      <w:r>
        <w:rPr>
          <w:rFonts w:ascii="Consolas" w:cs="Consolas" w:eastAsia="Consolas" w:hAnsi="Consolas"/>
          <w:shd w:fill="F2F1ED" w:val="clear"/>
        </w:rPr>
        <w:t xml:space="preserve">totMix</w:t>
      </w:r>
      <w:r>
        <w:t xml:space="preserve"> (above) catches a value literally named </w:t>
      </w:r>
      <w:r>
        <w:rPr>
          <w:i/>
          <w:iCs/>
        </w:rPr>
        <w:t xml:space="preserve">"Total …"</w:t>
      </w:r>
      <w:r>
        <w:t xml:space="preserve"> that weighs about as much as the rest of the WHOLE file — built for a Level 1-style grand total sitting beside everything else. It does nothing for a smaller, more local shape: one MICA_Level_2 parent whose own detail already includes a row that speaks for the parent in full — no further breakdown, or its Level_3 simply repeating the Level_2 name — sitting beside OTHER rows that genuinely break that same parent down. Every tile groups by the parent, so the whole and its own pieces add together.</w:t>
      </w:r>
    </w:p>
    <w:p>
      <w:pPr>
        <w:spacing w:after="140"/>
        <w:ind w:left="360"/>
      </w:pPr>
      <w:r>
        <w:t xml:space="preserve">The name proves nothing on its own — </w:t>
      </w:r>
      <w:r>
        <w:rPr>
          <w:i/>
          <w:iCs/>
        </w:rPr>
        <w:t xml:space="preserve">"Total Indirect Costs"</w:t>
      </w:r>
      <w:r>
        <w:t xml:space="preserve"> is an ordinary P&amp;L line, not a marker, and an earlier version of this check treated any line starting with "Total" as one, which is exactly the mistake </w:t>
      </w:r>
      <w:r>
        <w:rPr>
          <w:rFonts w:ascii="Consolas" w:cs="Consolas" w:eastAsia="Consolas" w:hAnsi="Consolas"/>
          <w:shd w:fill="F2F1ED" w:val="clear"/>
        </w:rPr>
        <w:t xml:space="preserve">totMix</w:t>
      </w:r>
      <w:r>
        <w:t xml:space="preserve">'s own comment warns against. What proves it is the arithmetic: a genuine subtotal's own value is close to what its children sum to (within 5%, in practice); a coincidence is not. Where it holds, the ingest report names the line and both sides' row counts, and the tile itself carries the warning — the report alone is too easy to miss:</w:t>
      </w:r>
    </w:p>
    <w:p>
      <w:pPr>
        <w:pBdr>
          <w:left w:val="single" w:color="DB0011" w:sz="12" w:space="12"/>
        </w:pBdr>
        <w:spacing w:after="160" w:before="60"/>
        <w:ind w:left="360"/>
      </w:pPr>
      <w:r>
        <w:rPr>
          <w:i/>
          <w:iCs/>
        </w:rPr>
        <w:t xml:space="preserve">⚠ counted twice — 1 row already speaks for the whole; 2 more break it down again — see the ingest report</w:t>
      </w:r>
    </w:p>
    <w:p>
      <w:pPr>
        <w:spacing w:after="140"/>
        <w:ind w:left="360"/>
      </w:pPr>
      <w:r>
        <w:t xml:space="preserve">This is reported, not silently corrected — the reader chooses which side to keep, or fixes it in the extract mapping. Six shipped sample files were swept for false positives before this shipped; none raised anything.</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2026-08-18T20:27:30.603Z</dcterms:created>
  <dcterms:modified xsi:type="dcterms:W3CDTF">2026-08-18T20:27:30.603Z</dcterms:modified>
</cp:coreProperties>
</file>

<file path=docProps/custom.xml><?xml version="1.0" encoding="utf-8"?>
<Properties xmlns="http://schemas.openxmlformats.org/officeDocument/2006/custom-properties" xmlns:vt="http://schemas.openxmlformats.org/officeDocument/2006/docPropsVTypes"/>
</file>