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the prior year, the forecast and the target, balances included. Every variance period is one of those three comparisons at some grain, so the selected period never adds a fourth row: it takes over its own family's row, in its own words — Current QTR vs PY puts the quarter movement in the PY row as </w:t>
      </w:r>
      <w:r>
        <w:rPr>
          <w:rFonts w:ascii="Consolas" w:cs="Consolas" w:eastAsia="Consolas" w:hAnsi="Consolas"/>
          <w:shd w:fill="F2F1ED" w:val="clear"/>
        </w:rPr>
        <w:t xml:space="preserve">vs Q2 2025</w:t>
      </w:r>
      <w:r>
        <w:t xml:space="preserve">, FY vs Target puts the full-year read in the target row as </w:t>
      </w:r>
      <w:r>
        <w:rPr>
          <w:rFonts w:ascii="Consolas" w:cs="Consolas" w:eastAsia="Consolas" w:hAnsi="Consolas"/>
          <w:shd w:fill="F2F1ED" w:val="clear"/>
        </w:rPr>
        <w:t xml:space="preserve">vs FY26 target</w:t>
      </w:r>
      <w:r>
        <w:t xml:space="preserve"> — and the other two stay at the year-to-date grain of the headline. The tile changes as the period changes; the headline does not.</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2026-08-15T13:31:44.919Z</dcterms:created>
  <dcterms:modified xsi:type="dcterms:W3CDTF">2026-08-15T13:31:44.919Z</dcterms:modified>
</cp:coreProperties>
</file>

<file path=docProps/custom.xml><?xml version="1.0" encoding="utf-8"?>
<Properties xmlns="http://schemas.openxmlformats.org/officeDocument/2006/custom-properties" xmlns:vt="http://schemas.openxmlformats.org/officeDocument/2006/docPropsVTypes"/>
</file>